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67F3" w14:textId="77777777" w:rsidR="00000000" w:rsidRPr="003F3F64" w:rsidRDefault="00EF2926">
      <w:pPr>
        <w:pStyle w:val="HEADINGB"/>
        <w:rPr>
          <w:rFonts w:ascii="Arial" w:hAnsi="Arial" w:cs="Arial"/>
          <w:color w:val="auto"/>
        </w:rPr>
      </w:pPr>
      <w:r w:rsidRPr="003F3F64">
        <w:rPr>
          <w:rFonts w:ascii="Arial" w:hAnsi="Arial" w:cs="Arial"/>
          <w:color w:val="auto"/>
        </w:rPr>
        <w:t>Fisheries Regulations 2019</w:t>
      </w:r>
    </w:p>
    <w:p w14:paraId="090BB03E" w14:textId="77777777" w:rsidR="00000000" w:rsidRPr="003F3F64" w:rsidRDefault="00EF2926">
      <w:pPr>
        <w:pStyle w:val="HEADINGA"/>
        <w:rPr>
          <w:rFonts w:ascii="Arial" w:hAnsi="Arial" w:cs="Arial"/>
          <w:color w:val="auto"/>
        </w:rPr>
      </w:pPr>
      <w:r w:rsidRPr="003F3F64">
        <w:rPr>
          <w:rFonts w:ascii="Arial" w:hAnsi="Arial" w:cs="Arial"/>
          <w:color w:val="auto"/>
        </w:rPr>
        <w:t>New Pipi Fishery Access Licence Class</w:t>
      </w:r>
    </w:p>
    <w:p w14:paraId="207501A2" w14:textId="77777777" w:rsidR="00000000" w:rsidRPr="003F3F64" w:rsidRDefault="00EF2926">
      <w:pPr>
        <w:pStyle w:val="Introparagraph"/>
        <w:rPr>
          <w:rFonts w:ascii="Arial" w:hAnsi="Arial" w:cs="Arial"/>
          <w:color w:val="auto"/>
        </w:rPr>
      </w:pPr>
      <w:r w:rsidRPr="003F3F64">
        <w:rPr>
          <w:rFonts w:ascii="Arial" w:hAnsi="Arial" w:cs="Arial"/>
          <w:color w:val="auto"/>
        </w:rPr>
        <w:t>New commercial fishing opportunities help increase the economic, social and cultural value of Victoria’s commercial fishing sector. They provide economic development opportunities for current fishers to add value to their operations and provide a pathway f</w:t>
      </w:r>
      <w:r w:rsidRPr="003F3F64">
        <w:rPr>
          <w:rFonts w:ascii="Arial" w:hAnsi="Arial" w:cs="Arial"/>
          <w:color w:val="auto"/>
        </w:rPr>
        <w:t xml:space="preserve">or new entrants into our fisheries.  </w:t>
      </w:r>
    </w:p>
    <w:p w14:paraId="43CC65CA" w14:textId="77777777" w:rsidR="00000000" w:rsidRPr="003F3F64" w:rsidRDefault="00EF2926">
      <w:pPr>
        <w:pStyle w:val="Introparagraph"/>
        <w:rPr>
          <w:rFonts w:ascii="Arial" w:hAnsi="Arial" w:cs="Arial"/>
          <w:color w:val="auto"/>
        </w:rPr>
      </w:pPr>
      <w:r w:rsidRPr="003F3F64">
        <w:rPr>
          <w:rFonts w:ascii="Arial" w:hAnsi="Arial" w:cs="Arial"/>
          <w:color w:val="auto"/>
        </w:rPr>
        <w:t xml:space="preserve">Under the Fisheries Regulations 2019, the VFA are establishing a Victorian Pipi Fishery; a sustainable and healthy fishery that offers economic opportunities to the commercial fishing sector and a high-quality seafood </w:t>
      </w:r>
      <w:r w:rsidRPr="003F3F64">
        <w:rPr>
          <w:rFonts w:ascii="Arial" w:hAnsi="Arial" w:cs="Arial"/>
          <w:color w:val="auto"/>
        </w:rPr>
        <w:t>product to the consumer.</w:t>
      </w:r>
    </w:p>
    <w:p w14:paraId="1369CA3B" w14:textId="77777777" w:rsidR="00000000" w:rsidRPr="003F3F64" w:rsidRDefault="00EF2926">
      <w:pPr>
        <w:pStyle w:val="HEADINGB"/>
        <w:rPr>
          <w:rFonts w:ascii="Arial" w:hAnsi="Arial" w:cs="Arial"/>
          <w:color w:val="auto"/>
        </w:rPr>
      </w:pPr>
      <w:r w:rsidRPr="003F3F64">
        <w:rPr>
          <w:rFonts w:ascii="Arial" w:hAnsi="Arial" w:cs="Arial"/>
          <w:color w:val="auto"/>
        </w:rPr>
        <w:t>Why is this licence class being established?</w:t>
      </w:r>
    </w:p>
    <w:p w14:paraId="5C7FF6B9" w14:textId="77777777" w:rsidR="00000000" w:rsidRPr="003F3F64" w:rsidRDefault="00EF2926">
      <w:pPr>
        <w:pStyle w:val="Bodycopy"/>
        <w:rPr>
          <w:rFonts w:ascii="Arial" w:hAnsi="Arial" w:cs="Arial"/>
          <w:color w:val="auto"/>
          <w:spacing w:val="0"/>
        </w:rPr>
      </w:pPr>
      <w:r w:rsidRPr="003F3F64">
        <w:rPr>
          <w:rFonts w:ascii="Arial" w:hAnsi="Arial" w:cs="Arial"/>
          <w:color w:val="auto"/>
          <w:spacing w:val="0"/>
        </w:rPr>
        <w:t xml:space="preserve">Following on from the declaration of the Victorian Pipi Fishery Management Plan in 2018, the Victorian pipi fishery is being transitioned to an ongoing quota-managed fishery, authorised </w:t>
      </w:r>
      <w:r w:rsidRPr="003F3F64">
        <w:rPr>
          <w:rFonts w:ascii="Arial" w:hAnsi="Arial" w:cs="Arial"/>
          <w:color w:val="auto"/>
          <w:spacing w:val="0"/>
        </w:rPr>
        <w:t xml:space="preserve">by a Pipi Fishery Access Licence. These changes will be enacted through the Fisheries Regulations 2019. </w:t>
      </w:r>
    </w:p>
    <w:p w14:paraId="34290760" w14:textId="77777777" w:rsidR="00000000" w:rsidRPr="003F3F64" w:rsidRDefault="00EF2926">
      <w:pPr>
        <w:pStyle w:val="Bodycopy"/>
        <w:rPr>
          <w:rStyle w:val="Hyperlink"/>
          <w:rFonts w:ascii="Arial" w:hAnsi="Arial" w:cs="Arial"/>
          <w:color w:val="auto"/>
          <w:spacing w:val="0"/>
          <w:lang w:val="en-US"/>
        </w:rPr>
      </w:pPr>
      <w:r w:rsidRPr="003F3F64">
        <w:rPr>
          <w:rFonts w:ascii="Arial" w:hAnsi="Arial" w:cs="Arial"/>
          <w:color w:val="auto"/>
          <w:spacing w:val="0"/>
        </w:rPr>
        <w:t xml:space="preserve">For those interested, a copy of the Management Plan can be found at: </w:t>
      </w:r>
      <w:r w:rsidRPr="003F3F64">
        <w:rPr>
          <w:rStyle w:val="Hyperlink"/>
          <w:rFonts w:ascii="Arial" w:hAnsi="Arial" w:cs="Arial"/>
          <w:color w:val="auto"/>
          <w:spacing w:val="0"/>
        </w:rPr>
        <w:t>www.vfa.vic.gov.au/commercial-fishing/pipi-fishery/victorian-pipi-fishery-manageme</w:t>
      </w:r>
      <w:r w:rsidRPr="003F3F64">
        <w:rPr>
          <w:rStyle w:val="Hyperlink"/>
          <w:rFonts w:ascii="Arial" w:hAnsi="Arial" w:cs="Arial"/>
          <w:color w:val="auto"/>
          <w:spacing w:val="0"/>
        </w:rPr>
        <w:t>nt-plan</w:t>
      </w:r>
    </w:p>
    <w:p w14:paraId="250CC47E" w14:textId="77777777" w:rsidR="00000000" w:rsidRPr="003F3F64" w:rsidRDefault="00EF2926">
      <w:pPr>
        <w:pStyle w:val="HEADINGB"/>
        <w:rPr>
          <w:rFonts w:ascii="Arial" w:hAnsi="Arial" w:cs="Arial"/>
          <w:color w:val="auto"/>
        </w:rPr>
      </w:pPr>
      <w:r w:rsidRPr="003F3F64">
        <w:rPr>
          <w:rFonts w:ascii="Arial" w:hAnsi="Arial" w:cs="Arial"/>
          <w:color w:val="auto"/>
        </w:rPr>
        <w:t>How many licences will be available?</w:t>
      </w:r>
    </w:p>
    <w:p w14:paraId="75DAEEB6" w14:textId="77777777" w:rsidR="00000000" w:rsidRPr="003F3F64" w:rsidRDefault="00EF2926">
      <w:pPr>
        <w:pStyle w:val="Bodycopy"/>
        <w:rPr>
          <w:rFonts w:ascii="Arial" w:hAnsi="Arial" w:cs="Arial"/>
          <w:color w:val="auto"/>
          <w:spacing w:val="0"/>
        </w:rPr>
      </w:pPr>
      <w:r w:rsidRPr="003F3F64">
        <w:rPr>
          <w:rFonts w:ascii="Arial" w:hAnsi="Arial" w:cs="Arial"/>
          <w:color w:val="auto"/>
          <w:spacing w:val="0"/>
        </w:rPr>
        <w:t>As specified in the Victorian Pipi Fishery Management Plan, the VFA appointed an Independent Allocation Panel (the Panel) to provide advice to the Minister for Fishing and Boating on the commercial licence holde</w:t>
      </w:r>
      <w:r w:rsidRPr="003F3F64">
        <w:rPr>
          <w:rFonts w:ascii="Arial" w:hAnsi="Arial" w:cs="Arial"/>
          <w:color w:val="auto"/>
          <w:spacing w:val="0"/>
        </w:rPr>
        <w:t xml:space="preserve">rs who are eligible for the allocation process, as well as the most appropriate method for allocating the pipi resource amongst these eligible licence holders. </w:t>
      </w:r>
    </w:p>
    <w:p w14:paraId="6B04AD42" w14:textId="77777777" w:rsidR="00000000" w:rsidRPr="003F3F64" w:rsidRDefault="00EF2926">
      <w:pPr>
        <w:pStyle w:val="Bodycopy"/>
        <w:rPr>
          <w:rFonts w:ascii="Arial" w:hAnsi="Arial" w:cs="Arial"/>
          <w:color w:val="auto"/>
          <w:spacing w:val="0"/>
        </w:rPr>
      </w:pPr>
      <w:r w:rsidRPr="003F3F64">
        <w:rPr>
          <w:rFonts w:ascii="Arial" w:hAnsi="Arial" w:cs="Arial"/>
          <w:color w:val="auto"/>
          <w:spacing w:val="0"/>
        </w:rPr>
        <w:t>It is expected that a small number of licences will be issued for the Discovery Bay zone and on</w:t>
      </w:r>
      <w:r w:rsidRPr="003F3F64">
        <w:rPr>
          <w:rFonts w:ascii="Arial" w:hAnsi="Arial" w:cs="Arial"/>
          <w:color w:val="auto"/>
          <w:spacing w:val="0"/>
        </w:rPr>
        <w:t xml:space="preserve">e licence for the Venus Bay zone. After the fishery has been established through the new Fisheries Regulations, an Expression of Interest process will be conducted for a limited number of temporary permits to enable pipi fishing under strict conditions in </w:t>
      </w:r>
      <w:r w:rsidRPr="003F3F64">
        <w:rPr>
          <w:rFonts w:ascii="Arial" w:hAnsi="Arial" w:cs="Arial"/>
          <w:color w:val="auto"/>
          <w:spacing w:val="0"/>
        </w:rPr>
        <w:t>the Western and Eastern zones. This will give OFAL holders an opportunity to fish for pipi in relatively unfished areas.</w:t>
      </w:r>
    </w:p>
    <w:p w14:paraId="2D77A19B" w14:textId="77777777" w:rsidR="00000000" w:rsidRPr="003F3F64" w:rsidRDefault="00EF2926">
      <w:pPr>
        <w:pStyle w:val="HEADINGB"/>
        <w:rPr>
          <w:rFonts w:ascii="Arial" w:hAnsi="Arial" w:cs="Arial"/>
          <w:color w:val="auto"/>
        </w:rPr>
      </w:pPr>
      <w:r w:rsidRPr="003F3F64">
        <w:rPr>
          <w:rFonts w:ascii="Arial" w:hAnsi="Arial" w:cs="Arial"/>
          <w:color w:val="auto"/>
        </w:rPr>
        <w:t xml:space="preserve">When will the licences be available? </w:t>
      </w:r>
    </w:p>
    <w:p w14:paraId="617F8F0C" w14:textId="454576CE" w:rsidR="00000000" w:rsidRPr="003F3F64" w:rsidRDefault="00EF2926">
      <w:pPr>
        <w:pStyle w:val="Bodycopy"/>
        <w:rPr>
          <w:rFonts w:ascii="Arial" w:hAnsi="Arial" w:cs="Arial"/>
          <w:color w:val="auto"/>
          <w:spacing w:val="0"/>
        </w:rPr>
      </w:pPr>
      <w:r w:rsidRPr="003F3F64">
        <w:rPr>
          <w:rFonts w:ascii="Arial" w:hAnsi="Arial" w:cs="Arial"/>
          <w:color w:val="auto"/>
          <w:spacing w:val="0"/>
        </w:rPr>
        <w:t xml:space="preserve">The new Fisheries Regulations will come into operation </w:t>
      </w:r>
      <w:r w:rsidRPr="003F3F64">
        <w:rPr>
          <w:rFonts w:ascii="Arial" w:hAnsi="Arial" w:cs="Arial"/>
          <w:color w:val="auto"/>
          <w:spacing w:val="0"/>
        </w:rPr>
        <w:t>on 1 February 2020. At this stage, the ex</w:t>
      </w:r>
      <w:r w:rsidRPr="003F3F64">
        <w:rPr>
          <w:rFonts w:ascii="Arial" w:hAnsi="Arial" w:cs="Arial"/>
          <w:color w:val="auto"/>
          <w:spacing w:val="0"/>
        </w:rPr>
        <w:t xml:space="preserve">pectation is </w:t>
      </w:r>
      <w:r w:rsidRPr="003F3F64">
        <w:rPr>
          <w:rFonts w:ascii="Arial" w:hAnsi="Arial" w:cs="Arial"/>
          <w:color w:val="auto"/>
          <w:spacing w:val="0"/>
        </w:rPr>
        <w:t xml:space="preserve">that the Victorian Pipi Fishery will operate from 1 April </w:t>
      </w:r>
      <w:r w:rsidRPr="003F3F64">
        <w:rPr>
          <w:rFonts w:ascii="Arial" w:hAnsi="Arial" w:cs="Arial"/>
          <w:color w:val="auto"/>
          <w:spacing w:val="0"/>
        </w:rPr>
        <w:t>to 30 March each year, but the fishery commencement date may change to 1 July. Fishing for pipi will be authorised under transitional arrangements from 1 February 2020 until the fishe</w:t>
      </w:r>
      <w:r w:rsidRPr="003F3F64">
        <w:rPr>
          <w:rFonts w:ascii="Arial" w:hAnsi="Arial" w:cs="Arial"/>
          <w:color w:val="auto"/>
          <w:spacing w:val="0"/>
        </w:rPr>
        <w:t>ry commences.</w:t>
      </w:r>
    </w:p>
    <w:p w14:paraId="759FB418" w14:textId="77777777" w:rsidR="00000000" w:rsidRPr="003F3F64" w:rsidRDefault="00EF2926">
      <w:pPr>
        <w:pStyle w:val="HEADINGB"/>
        <w:rPr>
          <w:rFonts w:ascii="Arial" w:hAnsi="Arial" w:cs="Arial"/>
          <w:color w:val="auto"/>
        </w:rPr>
      </w:pPr>
      <w:r w:rsidRPr="003F3F64">
        <w:rPr>
          <w:rFonts w:ascii="Arial" w:hAnsi="Arial" w:cs="Arial"/>
          <w:color w:val="auto"/>
        </w:rPr>
        <w:t xml:space="preserve">What are the characteristics of the licence? </w:t>
      </w:r>
    </w:p>
    <w:p w14:paraId="0ACCFCC6" w14:textId="14EBA8D0" w:rsidR="00000000" w:rsidRPr="003F3F64" w:rsidRDefault="00EF2926">
      <w:pPr>
        <w:pStyle w:val="beforebullets"/>
        <w:rPr>
          <w:rFonts w:ascii="Arial" w:hAnsi="Arial" w:cs="Arial"/>
          <w:color w:val="auto"/>
          <w:spacing w:val="0"/>
        </w:rPr>
      </w:pPr>
      <w:r w:rsidRPr="003F3F64">
        <w:rPr>
          <w:rFonts w:ascii="Arial" w:hAnsi="Arial" w:cs="Arial"/>
          <w:color w:val="auto"/>
          <w:spacing w:val="0"/>
        </w:rPr>
        <w:t xml:space="preserve">The new Pipi Fishery Access Licence will have the </w:t>
      </w:r>
      <w:r w:rsidRPr="003F3F64">
        <w:rPr>
          <w:rFonts w:ascii="Arial" w:hAnsi="Arial" w:cs="Arial"/>
          <w:color w:val="auto"/>
          <w:spacing w:val="0"/>
        </w:rPr>
        <w:t xml:space="preserve">following characteristics: </w:t>
      </w:r>
    </w:p>
    <w:p w14:paraId="7509FBBD" w14:textId="77777777" w:rsidR="00000000" w:rsidRPr="003F3F64" w:rsidRDefault="00EF2926">
      <w:pPr>
        <w:pStyle w:val="bullets"/>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the </w:t>
      </w:r>
      <w:proofErr w:type="spellStart"/>
      <w:r w:rsidRPr="003F3F64">
        <w:rPr>
          <w:rFonts w:ascii="Arial" w:hAnsi="Arial" w:cs="Arial"/>
          <w:color w:val="auto"/>
        </w:rPr>
        <w:t>licence</w:t>
      </w:r>
      <w:proofErr w:type="spellEnd"/>
      <w:r w:rsidRPr="003F3F64">
        <w:rPr>
          <w:rFonts w:ascii="Arial" w:hAnsi="Arial" w:cs="Arial"/>
          <w:color w:val="auto"/>
        </w:rPr>
        <w:t xml:space="preserve"> will be transferable;</w:t>
      </w:r>
    </w:p>
    <w:p w14:paraId="1B0B6A43" w14:textId="77777777" w:rsidR="00000000" w:rsidRPr="003F3F64" w:rsidRDefault="00EF2926">
      <w:pPr>
        <w:pStyle w:val="bullets"/>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there will be an ability to nominate an operator, in addition to the </w:t>
      </w:r>
      <w:proofErr w:type="spellStart"/>
      <w:r w:rsidRPr="003F3F64">
        <w:rPr>
          <w:rFonts w:ascii="Arial" w:hAnsi="Arial" w:cs="Arial"/>
          <w:color w:val="auto"/>
        </w:rPr>
        <w:t>licence</w:t>
      </w:r>
      <w:proofErr w:type="spellEnd"/>
      <w:r w:rsidRPr="003F3F64">
        <w:rPr>
          <w:rFonts w:ascii="Arial" w:hAnsi="Arial" w:cs="Arial"/>
          <w:color w:val="auto"/>
        </w:rPr>
        <w:t xml:space="preserve"> ho</w:t>
      </w:r>
      <w:r w:rsidRPr="003F3F64">
        <w:rPr>
          <w:rFonts w:ascii="Arial" w:hAnsi="Arial" w:cs="Arial"/>
          <w:color w:val="auto"/>
        </w:rPr>
        <w:t xml:space="preserve">lder, to carry out activities </w:t>
      </w:r>
      <w:proofErr w:type="spellStart"/>
      <w:r w:rsidRPr="003F3F64">
        <w:rPr>
          <w:rFonts w:ascii="Arial" w:hAnsi="Arial" w:cs="Arial"/>
          <w:color w:val="auto"/>
        </w:rPr>
        <w:t>authorised</w:t>
      </w:r>
      <w:proofErr w:type="spellEnd"/>
      <w:r w:rsidRPr="003F3F64">
        <w:rPr>
          <w:rFonts w:ascii="Arial" w:hAnsi="Arial" w:cs="Arial"/>
          <w:color w:val="auto"/>
        </w:rPr>
        <w:t xml:space="preserve"> by the </w:t>
      </w:r>
      <w:proofErr w:type="spellStart"/>
      <w:r w:rsidRPr="003F3F64">
        <w:rPr>
          <w:rFonts w:ascii="Arial" w:hAnsi="Arial" w:cs="Arial"/>
          <w:color w:val="auto"/>
        </w:rPr>
        <w:t>licence</w:t>
      </w:r>
      <w:proofErr w:type="spellEnd"/>
      <w:r w:rsidRPr="003F3F64">
        <w:rPr>
          <w:rFonts w:ascii="Arial" w:hAnsi="Arial" w:cs="Arial"/>
          <w:color w:val="auto"/>
        </w:rPr>
        <w:t>;</w:t>
      </w:r>
    </w:p>
    <w:p w14:paraId="1FF855B2" w14:textId="3BAEAD3F" w:rsidR="00000000" w:rsidRPr="003F3F64" w:rsidRDefault="00EF2926">
      <w:pPr>
        <w:pStyle w:val="bullets"/>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the </w:t>
      </w:r>
      <w:proofErr w:type="spellStart"/>
      <w:r w:rsidRPr="003F3F64">
        <w:rPr>
          <w:rFonts w:ascii="Arial" w:hAnsi="Arial" w:cs="Arial"/>
          <w:color w:val="auto"/>
        </w:rPr>
        <w:t>licence</w:t>
      </w:r>
      <w:proofErr w:type="spellEnd"/>
      <w:r w:rsidRPr="003F3F64">
        <w:rPr>
          <w:rFonts w:ascii="Arial" w:hAnsi="Arial" w:cs="Arial"/>
          <w:color w:val="auto"/>
        </w:rPr>
        <w:t xml:space="preserve"> holder or operator may only be assisted </w:t>
      </w:r>
      <w:r w:rsidRPr="003F3F64">
        <w:rPr>
          <w:rFonts w:ascii="Arial" w:hAnsi="Arial" w:cs="Arial"/>
          <w:color w:val="auto"/>
        </w:rPr>
        <w:t xml:space="preserve">by one crew member when undertaking collection </w:t>
      </w:r>
      <w:r w:rsidRPr="003F3F64">
        <w:rPr>
          <w:rFonts w:ascii="Arial" w:hAnsi="Arial" w:cs="Arial"/>
          <w:color w:val="auto"/>
        </w:rPr>
        <w:t xml:space="preserve">of pipi under the access </w:t>
      </w:r>
      <w:proofErr w:type="spellStart"/>
      <w:r w:rsidRPr="003F3F64">
        <w:rPr>
          <w:rFonts w:ascii="Arial" w:hAnsi="Arial" w:cs="Arial"/>
          <w:color w:val="auto"/>
        </w:rPr>
        <w:t>licence</w:t>
      </w:r>
      <w:proofErr w:type="spellEnd"/>
      <w:r w:rsidRPr="003F3F64">
        <w:rPr>
          <w:rFonts w:ascii="Arial" w:hAnsi="Arial" w:cs="Arial"/>
          <w:color w:val="auto"/>
        </w:rPr>
        <w:t xml:space="preserve"> (a total of two persons per operation); </w:t>
      </w:r>
    </w:p>
    <w:p w14:paraId="14FC60D6" w14:textId="77777777" w:rsidR="00000000" w:rsidRPr="003F3F64" w:rsidRDefault="00EF2926">
      <w:pPr>
        <w:pStyle w:val="bullets"/>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the </w:t>
      </w:r>
      <w:proofErr w:type="spellStart"/>
      <w:r w:rsidRPr="003F3F64">
        <w:rPr>
          <w:rFonts w:ascii="Arial" w:hAnsi="Arial" w:cs="Arial"/>
          <w:color w:val="auto"/>
        </w:rPr>
        <w:t>licence</w:t>
      </w:r>
      <w:proofErr w:type="spellEnd"/>
      <w:r w:rsidRPr="003F3F64">
        <w:rPr>
          <w:rFonts w:ascii="Arial" w:hAnsi="Arial" w:cs="Arial"/>
          <w:color w:val="auto"/>
        </w:rPr>
        <w:t xml:space="preserve"> will be </w:t>
      </w:r>
      <w:r w:rsidRPr="003F3F64">
        <w:rPr>
          <w:rFonts w:ascii="Arial" w:hAnsi="Arial" w:cs="Arial"/>
          <w:color w:val="auto"/>
        </w:rPr>
        <w:t xml:space="preserve">subject to any conditions that the VFA deems appropriate and that are expressed or referred to on the </w:t>
      </w:r>
      <w:proofErr w:type="spellStart"/>
      <w:r w:rsidRPr="003F3F64">
        <w:rPr>
          <w:rFonts w:ascii="Arial" w:hAnsi="Arial" w:cs="Arial"/>
          <w:color w:val="auto"/>
        </w:rPr>
        <w:t>licence</w:t>
      </w:r>
      <w:proofErr w:type="spellEnd"/>
      <w:r w:rsidRPr="003F3F64">
        <w:rPr>
          <w:rFonts w:ascii="Arial" w:hAnsi="Arial" w:cs="Arial"/>
          <w:color w:val="auto"/>
        </w:rPr>
        <w:t>; and</w:t>
      </w:r>
    </w:p>
    <w:p w14:paraId="311BBD0C" w14:textId="77777777" w:rsidR="00000000" w:rsidRPr="003F3F64" w:rsidRDefault="00EF2926">
      <w:pPr>
        <w:pStyle w:val="bulletlast"/>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cost recovery will apply once transferrable </w:t>
      </w:r>
      <w:proofErr w:type="spellStart"/>
      <w:r w:rsidRPr="003F3F64">
        <w:rPr>
          <w:rFonts w:ascii="Arial" w:hAnsi="Arial" w:cs="Arial"/>
          <w:color w:val="auto"/>
        </w:rPr>
        <w:t>licences</w:t>
      </w:r>
      <w:proofErr w:type="spellEnd"/>
      <w:r w:rsidRPr="003F3F64">
        <w:rPr>
          <w:rFonts w:ascii="Arial" w:hAnsi="Arial" w:cs="Arial"/>
          <w:color w:val="auto"/>
        </w:rPr>
        <w:t xml:space="preserve"> are allocated. This will cover fisheries management services such as compliance, manag</w:t>
      </w:r>
      <w:r w:rsidRPr="003F3F64">
        <w:rPr>
          <w:rFonts w:ascii="Arial" w:hAnsi="Arial" w:cs="Arial"/>
          <w:color w:val="auto"/>
        </w:rPr>
        <w:t xml:space="preserve">ement and research. </w:t>
      </w:r>
    </w:p>
    <w:p w14:paraId="10303DE5" w14:textId="77777777" w:rsidR="00000000" w:rsidRPr="003F3F64" w:rsidRDefault="00EF2926">
      <w:pPr>
        <w:pStyle w:val="beforebullets"/>
        <w:rPr>
          <w:rFonts w:ascii="Arial" w:hAnsi="Arial" w:cs="Arial"/>
          <w:color w:val="auto"/>
          <w:spacing w:val="0"/>
        </w:rPr>
      </w:pPr>
      <w:r w:rsidRPr="003F3F64">
        <w:rPr>
          <w:rFonts w:ascii="Arial" w:hAnsi="Arial" w:cs="Arial"/>
          <w:color w:val="auto"/>
          <w:spacing w:val="0"/>
        </w:rPr>
        <w:t xml:space="preserve">The following reporting requirements are prescribed for the Pipi Fishery Access Licence: </w:t>
      </w:r>
    </w:p>
    <w:p w14:paraId="25C32713" w14:textId="77777777" w:rsidR="00000000" w:rsidRPr="003F3F64" w:rsidRDefault="00EF2926">
      <w:pPr>
        <w:pStyle w:val="bullets"/>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pre-fishing notification and immediate post-fishing reporting to the VFA;</w:t>
      </w:r>
    </w:p>
    <w:p w14:paraId="4ABED62C" w14:textId="77777777" w:rsidR="00000000" w:rsidRPr="003F3F64" w:rsidRDefault="00EF2926">
      <w:pPr>
        <w:pStyle w:val="bullets"/>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monthly catch and effort Pipi Fishery logbooks with the ability to </w:t>
      </w:r>
      <w:r w:rsidRPr="003F3F64">
        <w:rPr>
          <w:rFonts w:ascii="Arial" w:hAnsi="Arial" w:cs="Arial"/>
          <w:color w:val="auto"/>
        </w:rPr>
        <w:t>move to e-catch (electronic reporting); and</w:t>
      </w:r>
    </w:p>
    <w:p w14:paraId="162B40C3" w14:textId="77777777" w:rsidR="00000000" w:rsidRPr="003F3F64" w:rsidRDefault="00EF2926">
      <w:pPr>
        <w:pStyle w:val="bulletlast"/>
        <w:rPr>
          <w:rFonts w:ascii="Arial" w:hAnsi="Arial" w:cs="Arial"/>
          <w:color w:val="auto"/>
        </w:rPr>
      </w:pPr>
      <w:r w:rsidRPr="003F3F64">
        <w:rPr>
          <w:rStyle w:val="coloureddot"/>
          <w:rFonts w:ascii="Arial" w:hAnsi="Arial" w:cs="Arial"/>
          <w:color w:val="auto"/>
        </w:rPr>
        <w:t>•</w:t>
      </w:r>
      <w:r w:rsidRPr="003F3F64">
        <w:rPr>
          <w:rStyle w:val="coloureddot"/>
          <w:rFonts w:ascii="Arial" w:hAnsi="Arial" w:cs="Arial"/>
          <w:color w:val="auto"/>
        </w:rPr>
        <w:tab/>
      </w:r>
      <w:r w:rsidRPr="003F3F64">
        <w:rPr>
          <w:rFonts w:ascii="Arial" w:hAnsi="Arial" w:cs="Arial"/>
          <w:color w:val="auto"/>
        </w:rPr>
        <w:t xml:space="preserve">catch disposal records (CDRs) to provide information on the landed commercial catch for the purpose of tracking the flow of legal catch from the first point of sale. </w:t>
      </w:r>
    </w:p>
    <w:p w14:paraId="14602619" w14:textId="3739260D" w:rsidR="00000000" w:rsidRPr="003F3F64" w:rsidRDefault="00EF2926">
      <w:pPr>
        <w:pStyle w:val="HEADINGB"/>
        <w:rPr>
          <w:rFonts w:ascii="Arial" w:hAnsi="Arial" w:cs="Arial"/>
          <w:color w:val="auto"/>
        </w:rPr>
      </w:pPr>
      <w:r w:rsidRPr="003F3F64">
        <w:rPr>
          <w:rFonts w:ascii="Arial" w:hAnsi="Arial" w:cs="Arial"/>
          <w:color w:val="auto"/>
        </w:rPr>
        <w:t xml:space="preserve">How will the Victorian Pipi Fishery </w:t>
      </w:r>
      <w:r w:rsidRPr="003F3F64">
        <w:rPr>
          <w:rFonts w:ascii="Arial" w:hAnsi="Arial" w:cs="Arial"/>
          <w:color w:val="auto"/>
        </w:rPr>
        <w:t>be man</w:t>
      </w:r>
      <w:r w:rsidRPr="003F3F64">
        <w:rPr>
          <w:rFonts w:ascii="Arial" w:hAnsi="Arial" w:cs="Arial"/>
          <w:color w:val="auto"/>
        </w:rPr>
        <w:t xml:space="preserve">aged? </w:t>
      </w:r>
    </w:p>
    <w:p w14:paraId="47A25BD5" w14:textId="77777777" w:rsidR="00000000" w:rsidRPr="003F3F64" w:rsidRDefault="00EF2926">
      <w:pPr>
        <w:pStyle w:val="Bodycopy"/>
        <w:rPr>
          <w:rFonts w:ascii="Arial" w:hAnsi="Arial" w:cs="Arial"/>
          <w:color w:val="auto"/>
          <w:spacing w:val="0"/>
        </w:rPr>
      </w:pPr>
      <w:r w:rsidRPr="003F3F64">
        <w:rPr>
          <w:rFonts w:ascii="Arial" w:hAnsi="Arial" w:cs="Arial"/>
          <w:color w:val="auto"/>
          <w:spacing w:val="0"/>
        </w:rPr>
        <w:t xml:space="preserve">The fishery will be subject to a Total Allowable Commercial Catch (TACC), which will effectively, responsibly, and efficiently limit the total catch by the commercial fishery. </w:t>
      </w:r>
    </w:p>
    <w:p w14:paraId="3AA9D08C" w14:textId="77777777" w:rsidR="00000000" w:rsidRPr="003F3F64" w:rsidRDefault="00EF2926">
      <w:pPr>
        <w:pStyle w:val="Bodycopy"/>
        <w:rPr>
          <w:rFonts w:ascii="Arial" w:hAnsi="Arial" w:cs="Arial"/>
          <w:color w:val="auto"/>
          <w:spacing w:val="0"/>
        </w:rPr>
      </w:pPr>
      <w:r w:rsidRPr="003F3F64">
        <w:rPr>
          <w:rFonts w:ascii="Arial" w:hAnsi="Arial" w:cs="Arial"/>
          <w:color w:val="auto"/>
          <w:spacing w:val="0"/>
        </w:rPr>
        <w:t xml:space="preserve">The TACC will be set and managed by individual management zone </w:t>
      </w:r>
      <w:proofErr w:type="gramStart"/>
      <w:r w:rsidRPr="003F3F64">
        <w:rPr>
          <w:rFonts w:ascii="Arial" w:hAnsi="Arial" w:cs="Arial"/>
          <w:color w:val="auto"/>
          <w:spacing w:val="0"/>
        </w:rPr>
        <w:t>on the ba</w:t>
      </w:r>
      <w:r w:rsidRPr="003F3F64">
        <w:rPr>
          <w:rFonts w:ascii="Arial" w:hAnsi="Arial" w:cs="Arial"/>
          <w:color w:val="auto"/>
          <w:spacing w:val="0"/>
        </w:rPr>
        <w:t>sis of</w:t>
      </w:r>
      <w:proofErr w:type="gramEnd"/>
      <w:r w:rsidRPr="003F3F64">
        <w:rPr>
          <w:rFonts w:ascii="Arial" w:hAnsi="Arial" w:cs="Arial"/>
          <w:color w:val="auto"/>
          <w:spacing w:val="0"/>
        </w:rPr>
        <w:t xml:space="preserve"> available biological, economic and social information. </w:t>
      </w:r>
    </w:p>
    <w:p w14:paraId="1FB2605B" w14:textId="451463FD" w:rsidR="00000000" w:rsidRPr="003F3F64" w:rsidRDefault="00EF2926">
      <w:pPr>
        <w:pStyle w:val="Bodycopy"/>
        <w:rPr>
          <w:rFonts w:ascii="Arial" w:hAnsi="Arial" w:cs="Arial"/>
          <w:color w:val="auto"/>
          <w:spacing w:val="0"/>
        </w:rPr>
      </w:pPr>
      <w:r w:rsidRPr="003F3F64">
        <w:rPr>
          <w:rFonts w:ascii="Arial" w:hAnsi="Arial" w:cs="Arial"/>
          <w:color w:val="auto"/>
          <w:spacing w:val="0"/>
        </w:rPr>
        <w:lastRenderedPageBreak/>
        <w:t xml:space="preserve">A Quota Management System will be implemented for </w:t>
      </w:r>
      <w:r w:rsidRPr="003F3F64">
        <w:rPr>
          <w:rFonts w:ascii="Arial" w:hAnsi="Arial" w:cs="Arial"/>
          <w:color w:val="auto"/>
          <w:spacing w:val="0"/>
        </w:rPr>
        <w:t>the commercial fishery to protect biological sustainability and to ensure economic productivity, while enhancing community support for fisheri</w:t>
      </w:r>
      <w:r w:rsidRPr="003F3F64">
        <w:rPr>
          <w:rFonts w:ascii="Arial" w:hAnsi="Arial" w:cs="Arial"/>
          <w:color w:val="auto"/>
          <w:spacing w:val="0"/>
        </w:rPr>
        <w:t xml:space="preserve">es management. Quota is </w:t>
      </w:r>
      <w:r w:rsidRPr="003F3F64">
        <w:rPr>
          <w:rFonts w:ascii="Arial" w:hAnsi="Arial" w:cs="Arial"/>
          <w:color w:val="auto"/>
          <w:spacing w:val="0"/>
        </w:rPr>
        <w:t xml:space="preserve">a specific, tradable entitlement that controls total take </w:t>
      </w:r>
      <w:r w:rsidRPr="003F3F64">
        <w:rPr>
          <w:rFonts w:ascii="Arial" w:hAnsi="Arial" w:cs="Arial"/>
          <w:color w:val="auto"/>
          <w:spacing w:val="0"/>
        </w:rPr>
        <w:t xml:space="preserve">to meet sustainability objectives while encouraging investment, stewardship and cooperation to maximise </w:t>
      </w:r>
      <w:r w:rsidRPr="003F3F64">
        <w:rPr>
          <w:rFonts w:ascii="Arial" w:hAnsi="Arial" w:cs="Arial"/>
          <w:color w:val="auto"/>
          <w:spacing w:val="0"/>
        </w:rPr>
        <w:t xml:space="preserve">the value of the resource. </w:t>
      </w:r>
    </w:p>
    <w:p w14:paraId="19274034" w14:textId="77777777" w:rsidR="00000000" w:rsidRPr="003F3F64" w:rsidRDefault="00EF2926">
      <w:pPr>
        <w:pStyle w:val="HEADINGB"/>
        <w:rPr>
          <w:rFonts w:ascii="Arial" w:hAnsi="Arial" w:cs="Arial"/>
          <w:color w:val="auto"/>
        </w:rPr>
      </w:pPr>
      <w:r w:rsidRPr="003F3F64">
        <w:rPr>
          <w:rFonts w:ascii="Arial" w:hAnsi="Arial" w:cs="Arial"/>
          <w:color w:val="auto"/>
        </w:rPr>
        <w:t xml:space="preserve">What does this mean for Ocean Fishery Access Licences (OFAL) and other commercial licence holders? </w:t>
      </w:r>
    </w:p>
    <w:p w14:paraId="11D6C6C3" w14:textId="77777777" w:rsidR="00000000" w:rsidRPr="003F3F64" w:rsidRDefault="00EF2926">
      <w:pPr>
        <w:pStyle w:val="Bodycopy"/>
        <w:rPr>
          <w:rFonts w:ascii="Arial" w:hAnsi="Arial" w:cs="Arial"/>
          <w:color w:val="auto"/>
          <w:spacing w:val="0"/>
        </w:rPr>
      </w:pPr>
      <w:r w:rsidRPr="003F3F64">
        <w:rPr>
          <w:rFonts w:ascii="Arial" w:hAnsi="Arial" w:cs="Arial"/>
          <w:color w:val="auto"/>
          <w:spacing w:val="0"/>
        </w:rPr>
        <w:t>Under the changes to the Fisheries Regulations, no other licence class except for the Pipi Fishery Access Licence class will be able to fish for pipi from 1</w:t>
      </w:r>
      <w:r w:rsidRPr="003F3F64">
        <w:rPr>
          <w:rFonts w:ascii="Arial" w:hAnsi="Arial" w:cs="Arial"/>
          <w:color w:val="auto"/>
          <w:spacing w:val="0"/>
        </w:rPr>
        <w:t xml:space="preserve"> February 2020. These changes are expected to have minimal impact on OFAL </w:t>
      </w:r>
      <w:proofErr w:type="gramStart"/>
      <w:r w:rsidRPr="003F3F64">
        <w:rPr>
          <w:rFonts w:ascii="Arial" w:hAnsi="Arial" w:cs="Arial"/>
          <w:color w:val="auto"/>
          <w:spacing w:val="0"/>
        </w:rPr>
        <w:t>fishers</w:t>
      </w:r>
      <w:proofErr w:type="gramEnd"/>
      <w:r w:rsidRPr="003F3F64">
        <w:rPr>
          <w:rFonts w:ascii="Arial" w:hAnsi="Arial" w:cs="Arial"/>
          <w:color w:val="auto"/>
          <w:spacing w:val="0"/>
        </w:rPr>
        <w:t xml:space="preserve"> however, as take of pipi has already been restricted to a small number of OFAL holders by Fisheries Notice since 2017. As noted above, there will be opportunities for OFAL ho</w:t>
      </w:r>
      <w:r w:rsidRPr="003F3F64">
        <w:rPr>
          <w:rFonts w:ascii="Arial" w:hAnsi="Arial" w:cs="Arial"/>
          <w:color w:val="auto"/>
          <w:spacing w:val="0"/>
        </w:rPr>
        <w:t>lders to access pipi in the relatively unfished Western and Eastern zones in the future. It is also not expected to affect other licence classes as there has been minimal pipi catch recorded by other licences outside of Discovery Bay.</w:t>
      </w:r>
    </w:p>
    <w:p w14:paraId="7793DF55" w14:textId="77777777" w:rsidR="00000000" w:rsidRPr="003F3F64" w:rsidRDefault="00EF2926">
      <w:pPr>
        <w:pStyle w:val="Imprinttext"/>
        <w:rPr>
          <w:rFonts w:ascii="Arial" w:hAnsi="Arial" w:cs="Arial"/>
          <w:color w:val="auto"/>
        </w:rPr>
      </w:pPr>
      <w:r w:rsidRPr="003F3F64">
        <w:rPr>
          <w:rFonts w:ascii="Arial" w:hAnsi="Arial" w:cs="Arial"/>
          <w:color w:val="auto"/>
        </w:rPr>
        <w:t>Published by the Vict</w:t>
      </w:r>
      <w:r w:rsidRPr="003F3F64">
        <w:rPr>
          <w:rFonts w:ascii="Arial" w:hAnsi="Arial" w:cs="Arial"/>
          <w:color w:val="auto"/>
        </w:rPr>
        <w:t>orian Fisheries Authority (VFA), January 2020</w:t>
      </w:r>
    </w:p>
    <w:p w14:paraId="7EEBBE6E" w14:textId="77777777" w:rsidR="00000000" w:rsidRPr="003F3F64" w:rsidRDefault="00EF2926">
      <w:pPr>
        <w:pStyle w:val="Imprinttext"/>
        <w:rPr>
          <w:rFonts w:ascii="Arial" w:hAnsi="Arial" w:cs="Arial"/>
          <w:color w:val="auto"/>
        </w:rPr>
      </w:pPr>
      <w:r w:rsidRPr="003F3F64">
        <w:rPr>
          <w:rFonts w:ascii="Arial" w:hAnsi="Arial" w:cs="Arial"/>
          <w:color w:val="auto"/>
        </w:rPr>
        <w:t>© The State of Victoria, VFA, Melbourne January 2020</w:t>
      </w:r>
    </w:p>
    <w:p w14:paraId="34F57A39" w14:textId="3A4CBA4D" w:rsidR="00000000" w:rsidRPr="003F3F64" w:rsidRDefault="00EF2926">
      <w:pPr>
        <w:pStyle w:val="Imprinttext"/>
        <w:rPr>
          <w:rFonts w:ascii="Arial" w:hAnsi="Arial" w:cs="Arial"/>
          <w:color w:val="auto"/>
        </w:rPr>
      </w:pPr>
      <w:r w:rsidRPr="003F3F64">
        <w:rPr>
          <w:rFonts w:ascii="Arial" w:hAnsi="Arial" w:cs="Arial"/>
          <w:color w:val="auto"/>
        </w:rPr>
        <w:t xml:space="preserve">This publication is copyright. No part may be reproduced by any process </w:t>
      </w:r>
      <w:r w:rsidRPr="003F3F64">
        <w:rPr>
          <w:rFonts w:ascii="Arial" w:hAnsi="Arial" w:cs="Arial"/>
          <w:color w:val="auto"/>
        </w:rPr>
        <w:t xml:space="preserve">except in accordance with the provisions of the </w:t>
      </w:r>
      <w:r w:rsidRPr="003F3F64">
        <w:rPr>
          <w:rStyle w:val="lightitalic"/>
          <w:rFonts w:ascii="Arial" w:hAnsi="Arial" w:cs="Arial"/>
          <w:color w:val="auto"/>
        </w:rPr>
        <w:t>Copyright Act 1968</w:t>
      </w:r>
      <w:r w:rsidRPr="003F3F64">
        <w:rPr>
          <w:rFonts w:ascii="Arial" w:hAnsi="Arial" w:cs="Arial"/>
          <w:color w:val="auto"/>
        </w:rPr>
        <w:t>.</w:t>
      </w:r>
    </w:p>
    <w:p w14:paraId="485EA4B7" w14:textId="77777777" w:rsidR="00000000" w:rsidRPr="003F3F64" w:rsidRDefault="00EF2926">
      <w:pPr>
        <w:pStyle w:val="Imprinttext"/>
        <w:rPr>
          <w:rFonts w:ascii="Arial" w:hAnsi="Arial" w:cs="Arial"/>
          <w:color w:val="auto"/>
        </w:rPr>
      </w:pPr>
      <w:r w:rsidRPr="003F3F64">
        <w:rPr>
          <w:rFonts w:ascii="Arial" w:hAnsi="Arial" w:cs="Arial"/>
          <w:color w:val="auto"/>
        </w:rPr>
        <w:t>Authorised by th</w:t>
      </w:r>
      <w:r w:rsidRPr="003F3F64">
        <w:rPr>
          <w:rFonts w:ascii="Arial" w:hAnsi="Arial" w:cs="Arial"/>
          <w:color w:val="auto"/>
        </w:rPr>
        <w:t>e Victorian Government, 1 Spring Street, Melbourne</w:t>
      </w:r>
    </w:p>
    <w:p w14:paraId="71E1C94F" w14:textId="2D7EB19E" w:rsidR="00000000" w:rsidRPr="003F3F64" w:rsidRDefault="00EF2926">
      <w:pPr>
        <w:pStyle w:val="Imprinttext"/>
        <w:rPr>
          <w:rFonts w:ascii="Arial" w:hAnsi="Arial" w:cs="Arial"/>
          <w:color w:val="auto"/>
        </w:rPr>
      </w:pPr>
      <w:r w:rsidRPr="003F3F64">
        <w:rPr>
          <w:rStyle w:val="heavy"/>
          <w:rFonts w:ascii="Arial" w:hAnsi="Arial" w:cs="Arial"/>
          <w:color w:val="auto"/>
        </w:rPr>
        <w:t>Disclaimer</w:t>
      </w:r>
      <w:r w:rsidR="003F3F64">
        <w:rPr>
          <w:rStyle w:val="heavy"/>
          <w:rFonts w:ascii="Arial" w:hAnsi="Arial" w:cs="Arial"/>
          <w:color w:val="auto"/>
        </w:rPr>
        <w:br/>
      </w:r>
      <w:r w:rsidRPr="003F3F64">
        <w:rPr>
          <w:rFonts w:ascii="Arial" w:hAnsi="Arial" w:cs="Arial"/>
          <w:color w:val="auto"/>
        </w:rPr>
        <w:t>This publication may be of assistance to you but the State of Victoria and its employees do not guarantee that the publication is without flaw of any kind or is wholly appropriate for your parti</w:t>
      </w:r>
      <w:r w:rsidRPr="003F3F64">
        <w:rPr>
          <w:rFonts w:ascii="Arial" w:hAnsi="Arial" w:cs="Arial"/>
          <w:color w:val="auto"/>
        </w:rPr>
        <w:t>cular purposes and therefore disclaims all liability for any error, loss or other consequence which may arise from you relying on any information in this publication.</w:t>
      </w:r>
    </w:p>
    <w:p w14:paraId="7DF4CAD0" w14:textId="3390B993" w:rsidR="00000000" w:rsidRPr="003F3F64" w:rsidRDefault="00EF2926">
      <w:pPr>
        <w:pStyle w:val="Imprinttext"/>
        <w:rPr>
          <w:rFonts w:ascii="Arial" w:hAnsi="Arial" w:cs="Arial"/>
          <w:color w:val="auto"/>
        </w:rPr>
      </w:pPr>
      <w:r w:rsidRPr="003F3F64">
        <w:rPr>
          <w:rStyle w:val="heavy"/>
          <w:rFonts w:ascii="Arial" w:hAnsi="Arial" w:cs="Arial"/>
          <w:color w:val="auto"/>
        </w:rPr>
        <w:t>Accessibility</w:t>
      </w:r>
      <w:r w:rsidR="003F3F64">
        <w:rPr>
          <w:rStyle w:val="heavy"/>
          <w:rFonts w:ascii="Arial" w:hAnsi="Arial" w:cs="Arial"/>
          <w:color w:val="auto"/>
        </w:rPr>
        <w:br/>
      </w:r>
      <w:r w:rsidRPr="003F3F64">
        <w:rPr>
          <w:rFonts w:ascii="Arial" w:hAnsi="Arial" w:cs="Arial"/>
          <w:color w:val="auto"/>
        </w:rPr>
        <w:t xml:space="preserve">If you would like to receive this publication in an accessible format, </w:t>
      </w:r>
      <w:r w:rsidRPr="003F3F64">
        <w:rPr>
          <w:rFonts w:ascii="Arial" w:hAnsi="Arial" w:cs="Arial"/>
          <w:color w:val="auto"/>
        </w:rPr>
        <w:t>suc</w:t>
      </w:r>
      <w:r w:rsidRPr="003F3F64">
        <w:rPr>
          <w:rFonts w:ascii="Arial" w:hAnsi="Arial" w:cs="Arial"/>
          <w:color w:val="auto"/>
        </w:rPr>
        <w:t>h as large print or audio, please telephone 136 186,</w:t>
      </w:r>
      <w:r w:rsidR="003F3F64">
        <w:rPr>
          <w:rFonts w:ascii="Arial" w:hAnsi="Arial" w:cs="Arial"/>
          <w:color w:val="auto"/>
        </w:rPr>
        <w:t xml:space="preserve"> </w:t>
      </w:r>
      <w:r w:rsidRPr="003F3F64">
        <w:rPr>
          <w:rFonts w:ascii="Arial" w:hAnsi="Arial" w:cs="Arial"/>
          <w:color w:val="auto"/>
        </w:rPr>
        <w:t xml:space="preserve">or email </w:t>
      </w:r>
      <w:r w:rsidRPr="003F3F64">
        <w:rPr>
          <w:rFonts w:ascii="Arial" w:hAnsi="Arial" w:cs="Arial"/>
          <w:color w:val="auto"/>
        </w:rPr>
        <w:t>customer.service@ecodev.vic.gov.au</w:t>
      </w:r>
    </w:p>
    <w:p w14:paraId="33159C27" w14:textId="77777777" w:rsidR="00000000" w:rsidRPr="003F3F64" w:rsidRDefault="00EF2926">
      <w:pPr>
        <w:pStyle w:val="Imprinttext"/>
        <w:rPr>
          <w:rFonts w:ascii="Arial" w:hAnsi="Arial" w:cs="Arial"/>
          <w:color w:val="auto"/>
        </w:rPr>
      </w:pPr>
      <w:r w:rsidRPr="003F3F64">
        <w:rPr>
          <w:rFonts w:ascii="Arial" w:hAnsi="Arial" w:cs="Arial"/>
          <w:color w:val="auto"/>
        </w:rPr>
        <w:t>Deaf, hearing impaired or speech impaired? Call us via the National Relay Service on 133 677 or visit www.relayservice.com.au</w:t>
      </w:r>
    </w:p>
    <w:p w14:paraId="5F14511E" w14:textId="77777777" w:rsidR="00000000" w:rsidRPr="003F3F64" w:rsidRDefault="00EF2926">
      <w:pPr>
        <w:pStyle w:val="Imprinttext"/>
        <w:rPr>
          <w:rFonts w:ascii="Arial" w:hAnsi="Arial" w:cs="Arial"/>
          <w:color w:val="auto"/>
        </w:rPr>
      </w:pPr>
      <w:r w:rsidRPr="003F3F64">
        <w:rPr>
          <w:rFonts w:ascii="Arial" w:hAnsi="Arial" w:cs="Arial"/>
          <w:color w:val="auto"/>
        </w:rPr>
        <w:t>This document is also available o</w:t>
      </w:r>
      <w:r w:rsidRPr="003F3F64">
        <w:rPr>
          <w:rFonts w:ascii="Arial" w:hAnsi="Arial" w:cs="Arial"/>
          <w:color w:val="auto"/>
        </w:rPr>
        <w:t>n the internet at www.vfa.vic.gov.au</w:t>
      </w:r>
    </w:p>
    <w:p w14:paraId="2978DAA5" w14:textId="77777777" w:rsidR="00EF2926" w:rsidRPr="003F3F64" w:rsidRDefault="00EF2926">
      <w:pPr>
        <w:pStyle w:val="Bodycopy"/>
        <w:rPr>
          <w:rFonts w:ascii="Arial" w:hAnsi="Arial" w:cs="Arial"/>
          <w:color w:val="auto"/>
          <w:spacing w:val="0"/>
        </w:rPr>
      </w:pPr>
      <w:bookmarkStart w:id="0" w:name="_GoBack"/>
      <w:bookmarkEnd w:id="0"/>
    </w:p>
    <w:sectPr w:rsidR="00EF2926" w:rsidRPr="003F3F64" w:rsidSect="003F3F64">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LT Std 55 Roman">
    <w:panose1 w:val="020B0503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64"/>
    <w:rsid w:val="003F3F64"/>
    <w:rsid w:val="00EF2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4BEC3"/>
  <w14:defaultImageDpi w14:val="0"/>
  <w15:docId w15:val="{EFD66622-2F93-40B2-9EA6-3A7AF869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HEADINGB">
    <w:name w:val="HEADING B"/>
    <w:basedOn w:val="NoParagraphStyle"/>
    <w:uiPriority w:val="99"/>
    <w:pPr>
      <w:tabs>
        <w:tab w:val="left" w:pos="450"/>
      </w:tabs>
      <w:suppressAutoHyphens/>
      <w:spacing w:before="57" w:after="57" w:line="320" w:lineRule="atLeast"/>
    </w:pPr>
    <w:rPr>
      <w:rFonts w:ascii="Avenir LT Std 55 Roman" w:hAnsi="Avenir LT Std 55 Roman" w:cs="Avenir LT Std 55 Roman"/>
      <w:color w:val="00B2B9"/>
      <w:sz w:val="26"/>
      <w:szCs w:val="26"/>
      <w:lang w:val="en-GB"/>
    </w:rPr>
  </w:style>
  <w:style w:type="paragraph" w:customStyle="1" w:styleId="HEADINGA">
    <w:name w:val="HEADING A"/>
    <w:basedOn w:val="NoParagraphStyle"/>
    <w:next w:val="NoParagraphStyle"/>
    <w:uiPriority w:val="99"/>
    <w:pPr>
      <w:tabs>
        <w:tab w:val="left" w:pos="618"/>
      </w:tabs>
      <w:suppressAutoHyphens/>
      <w:spacing w:after="340" w:line="520" w:lineRule="atLeast"/>
    </w:pPr>
    <w:rPr>
      <w:rFonts w:ascii="Avenir LT Std 55 Roman" w:hAnsi="Avenir LT Std 55 Roman" w:cs="Avenir LT Std 55 Roman"/>
      <w:color w:val="003D69"/>
      <w:sz w:val="48"/>
      <w:szCs w:val="48"/>
      <w:lang w:val="en-GB"/>
    </w:rPr>
  </w:style>
  <w:style w:type="paragraph" w:customStyle="1" w:styleId="Introparagraph">
    <w:name w:val="Intro paragraph"/>
    <w:basedOn w:val="NoParagraphStyle"/>
    <w:uiPriority w:val="99"/>
    <w:pPr>
      <w:suppressAutoHyphens/>
      <w:spacing w:after="170" w:line="280" w:lineRule="atLeast"/>
    </w:pPr>
    <w:rPr>
      <w:rFonts w:ascii="Avenir LT Std 65 Medium" w:hAnsi="Avenir LT Std 65 Medium" w:cs="Avenir LT Std 65 Medium"/>
      <w:sz w:val="22"/>
      <w:szCs w:val="22"/>
      <w:lang w:val="en-GB"/>
    </w:rPr>
  </w:style>
  <w:style w:type="paragraph" w:customStyle="1" w:styleId="Bodycopy">
    <w:name w:val="Body copy"/>
    <w:basedOn w:val="NoParagraphStyle"/>
    <w:uiPriority w:val="99"/>
    <w:pPr>
      <w:tabs>
        <w:tab w:val="left" w:pos="450"/>
      </w:tabs>
      <w:suppressAutoHyphens/>
      <w:spacing w:after="142" w:line="240" w:lineRule="atLeast"/>
    </w:pPr>
    <w:rPr>
      <w:rFonts w:ascii="Avenir LT Std 45 Book" w:hAnsi="Avenir LT Std 45 Book" w:cs="Avenir LT Std 45 Book"/>
      <w:spacing w:val="-1"/>
      <w:sz w:val="19"/>
      <w:szCs w:val="19"/>
      <w:lang w:val="en-GB"/>
    </w:rPr>
  </w:style>
  <w:style w:type="paragraph" w:customStyle="1" w:styleId="beforebullets">
    <w:name w:val="before bullets"/>
    <w:basedOn w:val="Bodycopy"/>
    <w:uiPriority w:val="99"/>
    <w:pPr>
      <w:spacing w:after="57"/>
    </w:pPr>
  </w:style>
  <w:style w:type="paragraph" w:customStyle="1" w:styleId="bullets">
    <w:name w:val="bullets"/>
    <w:basedOn w:val="NoParagraphStyle"/>
    <w:uiPriority w:val="99"/>
    <w:pPr>
      <w:tabs>
        <w:tab w:val="left" w:pos="227"/>
        <w:tab w:val="left" w:pos="273"/>
      </w:tabs>
      <w:suppressAutoHyphens/>
      <w:spacing w:after="57" w:line="240" w:lineRule="atLeast"/>
      <w:ind w:left="227" w:hanging="227"/>
    </w:pPr>
    <w:rPr>
      <w:rFonts w:ascii="Avenir LT Std 45 Book" w:hAnsi="Avenir LT Std 45 Book" w:cs="Avenir LT Std 45 Book"/>
      <w:sz w:val="19"/>
      <w:szCs w:val="19"/>
    </w:rPr>
  </w:style>
  <w:style w:type="paragraph" w:customStyle="1" w:styleId="bulletlast">
    <w:name w:val="bullet last"/>
    <w:basedOn w:val="bullets"/>
    <w:uiPriority w:val="99"/>
    <w:pPr>
      <w:spacing w:after="142"/>
    </w:pPr>
  </w:style>
  <w:style w:type="paragraph" w:customStyle="1" w:styleId="Imprinttext">
    <w:name w:val="Imprint text"/>
    <w:basedOn w:val="Bodycopy"/>
    <w:uiPriority w:val="99"/>
    <w:pPr>
      <w:tabs>
        <w:tab w:val="clear" w:pos="450"/>
        <w:tab w:val="left" w:pos="315"/>
      </w:tabs>
      <w:spacing w:after="79" w:line="160" w:lineRule="atLeast"/>
    </w:pPr>
    <w:rPr>
      <w:spacing w:val="0"/>
      <w:sz w:val="14"/>
      <w:szCs w:val="14"/>
    </w:rPr>
  </w:style>
  <w:style w:type="character" w:styleId="Hyperlink">
    <w:name w:val="Hyperlink"/>
    <w:basedOn w:val="DefaultParagraphFont"/>
    <w:uiPriority w:val="99"/>
    <w:rPr>
      <w:color w:val="00B2B9"/>
      <w:w w:val="100"/>
      <w:u w:val="none" w:color="000000"/>
    </w:rPr>
  </w:style>
  <w:style w:type="character" w:customStyle="1" w:styleId="coloureddot">
    <w:name w:val="coloured dot"/>
    <w:uiPriority w:val="99"/>
    <w:rPr>
      <w:color w:val="00B2B9"/>
    </w:rPr>
  </w:style>
  <w:style w:type="character" w:customStyle="1" w:styleId="lightitalic">
    <w:name w:val="light italic"/>
    <w:uiPriority w:val="99"/>
    <w:rPr>
      <w:i/>
      <w:iCs/>
    </w:rPr>
  </w:style>
  <w:style w:type="character" w:customStyle="1" w:styleId="heavy">
    <w:name w:val="heav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Griffin</dc:creator>
  <cp:keywords/>
  <dc:description/>
  <cp:lastModifiedBy>Victoria Griffin</cp:lastModifiedBy>
  <cp:revision>2</cp:revision>
  <dcterms:created xsi:type="dcterms:W3CDTF">2020-02-03T05:15:00Z</dcterms:created>
  <dcterms:modified xsi:type="dcterms:W3CDTF">2020-02-03T05:15:00Z</dcterms:modified>
</cp:coreProperties>
</file>