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D0" w:rsidRPr="00D646D6" w:rsidRDefault="00B351D0" w:rsidP="00B351D0">
      <w:pPr>
        <w:spacing w:after="0" w:line="480" w:lineRule="auto"/>
        <w:ind w:firstLine="540"/>
        <w:jc w:val="right"/>
        <w:rPr>
          <w:rFonts w:eastAsia="Times New Roman" w:cs="Arial"/>
          <w:sz w:val="20"/>
          <w:szCs w:val="20"/>
          <w:lang w:val="en-US"/>
        </w:rPr>
      </w:pPr>
      <w:r w:rsidRPr="00D646D6">
        <w:rPr>
          <w:rFonts w:eastAsia="Times New Roman" w:cs="Arial"/>
          <w:sz w:val="20"/>
          <w:szCs w:val="20"/>
          <w:lang w:val="en-US"/>
        </w:rPr>
        <w:t xml:space="preserve">Victorian </w:t>
      </w:r>
      <w:r>
        <w:rPr>
          <w:rFonts w:eastAsia="Times New Roman" w:cs="Arial"/>
          <w:sz w:val="20"/>
          <w:szCs w:val="20"/>
          <w:lang w:val="en-US"/>
        </w:rPr>
        <w:t>Giant Crab</w:t>
      </w:r>
      <w:r w:rsidRPr="00D646D6">
        <w:rPr>
          <w:rFonts w:eastAsia="Times New Roman" w:cs="Arial"/>
          <w:sz w:val="20"/>
          <w:szCs w:val="20"/>
          <w:lang w:val="en-US"/>
        </w:rPr>
        <w:t xml:space="preserve"> Fishery Stock Assessment Report 201</w:t>
      </w:r>
      <w:r w:rsidR="00A649CB">
        <w:rPr>
          <w:rFonts w:eastAsia="Times New Roman" w:cs="Arial"/>
          <w:sz w:val="20"/>
          <w:szCs w:val="20"/>
          <w:lang w:val="en-US"/>
        </w:rPr>
        <w:t>4</w:t>
      </w:r>
    </w:p>
    <w:p w:rsidR="00B351D0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pStyle w:val="Title"/>
        <w:jc w:val="center"/>
        <w:rPr>
          <w:rFonts w:eastAsia="Times New Roman"/>
          <w:b/>
          <w:sz w:val="36"/>
          <w:szCs w:val="36"/>
          <w:lang w:val="en-US"/>
        </w:rPr>
      </w:pPr>
      <w:bookmarkStart w:id="0" w:name="bkPaperTitl"/>
      <w:bookmarkEnd w:id="0"/>
      <w:r w:rsidRPr="00D646D6">
        <w:rPr>
          <w:rFonts w:eastAsia="Times New Roman"/>
          <w:b/>
          <w:sz w:val="36"/>
          <w:szCs w:val="36"/>
          <w:lang w:val="en-US"/>
        </w:rPr>
        <w:t xml:space="preserve">Victorian </w:t>
      </w:r>
      <w:r>
        <w:rPr>
          <w:rFonts w:eastAsia="Times New Roman"/>
          <w:b/>
          <w:sz w:val="36"/>
          <w:szCs w:val="36"/>
          <w:lang w:val="en-US"/>
        </w:rPr>
        <w:t>Giant Crab</w:t>
      </w:r>
      <w:r w:rsidR="00D84059">
        <w:rPr>
          <w:rFonts w:eastAsia="Times New Roman"/>
          <w:b/>
          <w:sz w:val="36"/>
          <w:szCs w:val="36"/>
          <w:lang w:val="en-US"/>
        </w:rPr>
        <w:t xml:space="preserve"> Fishery Stock Assessment: 2012/13 </w:t>
      </w:r>
      <w:r w:rsidR="006D4AC1" w:rsidRPr="00D96513">
        <w:rPr>
          <w:rFonts w:eastAsia="Times New Roman"/>
          <w:b/>
          <w:sz w:val="36"/>
          <w:szCs w:val="36"/>
          <w:lang w:val="en-US"/>
        </w:rPr>
        <w:t>Season</w:t>
      </w:r>
    </w:p>
    <w:p w:rsidR="00B351D0" w:rsidRDefault="00B351D0" w:rsidP="00B351D0">
      <w:pPr>
        <w:spacing w:after="0" w:line="480" w:lineRule="auto"/>
        <w:ind w:firstLine="540"/>
        <w:jc w:val="center"/>
        <w:rPr>
          <w:rFonts w:ascii="Times New Roman" w:eastAsia="Times New Roman" w:hAnsi="Times New Roman" w:cs="Times New Roman"/>
          <w:szCs w:val="20"/>
          <w:lang w:val="en-US"/>
        </w:rPr>
      </w:pPr>
      <w:bookmarkStart w:id="1" w:name="bkAuthor"/>
      <w:bookmarkStart w:id="2" w:name="bkAuthorAffil"/>
      <w:bookmarkEnd w:id="1"/>
      <w:bookmarkEnd w:id="2"/>
    </w:p>
    <w:p w:rsidR="00B351D0" w:rsidRPr="00D646D6" w:rsidRDefault="00D84059" w:rsidP="00B351D0">
      <w:pPr>
        <w:spacing w:after="0"/>
        <w:ind w:firstLine="539"/>
        <w:jc w:val="center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March </w:t>
      </w:r>
      <w:r w:rsidR="00B351D0" w:rsidRPr="00D646D6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  <w:lang w:val="en-US"/>
        </w:rPr>
        <w:t>4</w:t>
      </w:r>
    </w:p>
    <w:p w:rsidR="00B351D0" w:rsidRPr="00D646D6" w:rsidRDefault="00B351D0" w:rsidP="00B351D0">
      <w:pPr>
        <w:spacing w:after="0" w:line="480" w:lineRule="auto"/>
        <w:ind w:firstLine="540"/>
        <w:jc w:val="center"/>
        <w:rPr>
          <w:rFonts w:eastAsia="Times New Roman" w:cs="Arial"/>
          <w:szCs w:val="20"/>
          <w:lang w:val="en-US"/>
        </w:rPr>
      </w:pPr>
    </w:p>
    <w:p w:rsidR="00D84059" w:rsidRPr="00D646D6" w:rsidRDefault="00D84059" w:rsidP="00D84059">
      <w:pPr>
        <w:spacing w:after="0" w:line="480" w:lineRule="auto"/>
        <w:jc w:val="center"/>
        <w:outlineLvl w:val="0"/>
        <w:rPr>
          <w:rFonts w:eastAsia="Times New Roman" w:cs="Arial"/>
          <w:i/>
          <w:sz w:val="20"/>
          <w:szCs w:val="20"/>
          <w:lang w:val="en-US"/>
        </w:rPr>
      </w:pPr>
      <w:r>
        <w:rPr>
          <w:rFonts w:eastAsia="Times New Roman" w:cs="Arial"/>
          <w:i/>
          <w:sz w:val="20"/>
          <w:szCs w:val="20"/>
          <w:lang w:val="en-US"/>
        </w:rPr>
        <w:t>Adrian Linnane, Richard McGarvey, John Feenstra</w:t>
      </w:r>
      <w:r w:rsidRPr="00D646D6">
        <w:rPr>
          <w:rFonts w:eastAsia="Times New Roman" w:cs="Arial"/>
          <w:i/>
          <w:sz w:val="20"/>
          <w:szCs w:val="20"/>
          <w:lang w:val="en-US"/>
        </w:rPr>
        <w:t xml:space="preserve"> and Dave Reilly</w:t>
      </w:r>
    </w:p>
    <w:p w:rsidR="00B351D0" w:rsidRDefault="00B351D0" w:rsidP="00B351D0"/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E566F2" w:rsidRDefault="00E566F2" w:rsidP="00EB64D3">
      <w:pPr>
        <w:jc w:val="center"/>
        <w:rPr>
          <w:b/>
          <w:sz w:val="20"/>
          <w:szCs w:val="20"/>
          <w:lang w:val="en-US"/>
        </w:rPr>
      </w:pPr>
    </w:p>
    <w:p w:rsidR="00D96513" w:rsidRDefault="00E566F2">
      <w:pPr>
        <w:spacing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:rsidR="00D96513" w:rsidRDefault="00D96513">
      <w:pPr>
        <w:spacing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br w:type="page"/>
      </w:r>
    </w:p>
    <w:p w:rsidR="00E566F2" w:rsidRDefault="00E566F2">
      <w:pPr>
        <w:spacing w:line="276" w:lineRule="auto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EB64D3" w:rsidRDefault="00EB64D3" w:rsidP="00D96513">
      <w:pPr>
        <w:pStyle w:val="Heading1"/>
        <w:jc w:val="center"/>
        <w:rPr>
          <w:u w:val="single"/>
          <w:lang w:val="en-US"/>
        </w:rPr>
      </w:pPr>
      <w:r w:rsidRPr="00D96513">
        <w:rPr>
          <w:u w:val="single"/>
          <w:lang w:val="en-US"/>
        </w:rPr>
        <w:t xml:space="preserve">Victorian </w:t>
      </w:r>
      <w:r w:rsidR="008C15B4" w:rsidRPr="00D96513">
        <w:rPr>
          <w:u w:val="single"/>
          <w:lang w:val="en-US"/>
        </w:rPr>
        <w:t xml:space="preserve">Giant Crab </w:t>
      </w:r>
      <w:r w:rsidR="00A649CB" w:rsidRPr="00D96513">
        <w:rPr>
          <w:u w:val="single"/>
          <w:lang w:val="en-US"/>
        </w:rPr>
        <w:t xml:space="preserve">Fishery </w:t>
      </w:r>
      <w:r w:rsidR="006D4AC1" w:rsidRPr="00D96513">
        <w:rPr>
          <w:u w:val="single"/>
          <w:lang w:val="en-US"/>
        </w:rPr>
        <w:t>Stock Assessment</w:t>
      </w:r>
      <w:r w:rsidR="00D96513" w:rsidRPr="00D96513">
        <w:rPr>
          <w:u w:val="single"/>
          <w:lang w:val="en-US"/>
        </w:rPr>
        <w:t>:</w:t>
      </w:r>
      <w:r w:rsidR="006D4AC1" w:rsidRPr="00D96513">
        <w:rPr>
          <w:u w:val="single"/>
          <w:lang w:val="en-US"/>
        </w:rPr>
        <w:t xml:space="preserve"> </w:t>
      </w:r>
      <w:r w:rsidR="00D84059" w:rsidRPr="00D96513">
        <w:rPr>
          <w:u w:val="single"/>
          <w:lang w:val="en-US"/>
        </w:rPr>
        <w:t xml:space="preserve">2012/13 </w:t>
      </w:r>
      <w:r w:rsidR="006D4AC1" w:rsidRPr="00D96513">
        <w:rPr>
          <w:u w:val="single"/>
          <w:lang w:val="en-US"/>
        </w:rPr>
        <w:t>Season</w:t>
      </w:r>
    </w:p>
    <w:p w:rsidR="00EB64D3" w:rsidRPr="00D96513" w:rsidRDefault="00EB64D3" w:rsidP="00D96513">
      <w:pPr>
        <w:pStyle w:val="Heading1"/>
        <w:jc w:val="center"/>
        <w:rPr>
          <w:sz w:val="26"/>
          <w:szCs w:val="26"/>
          <w:u w:val="single"/>
          <w:lang w:val="en-US"/>
        </w:rPr>
      </w:pPr>
      <w:r w:rsidRPr="00D96513">
        <w:rPr>
          <w:sz w:val="26"/>
          <w:szCs w:val="26"/>
          <w:u w:val="single"/>
          <w:lang w:val="en-US"/>
        </w:rPr>
        <w:t>Summary</w:t>
      </w:r>
    </w:p>
    <w:p w:rsidR="008C15B4" w:rsidRPr="008C15B4" w:rsidRDefault="008C15B4" w:rsidP="008C15B4">
      <w:pPr>
        <w:pStyle w:val="ListParagraph"/>
        <w:jc w:val="both"/>
        <w:rPr>
          <w:szCs w:val="24"/>
          <w:u w:val="single"/>
          <w:lang w:val="en-US"/>
        </w:rPr>
      </w:pPr>
    </w:p>
    <w:p w:rsidR="008F7D4C" w:rsidRPr="001932CD" w:rsidRDefault="002F7729" w:rsidP="008F7D4C">
      <w:pPr>
        <w:pStyle w:val="ListParagraph"/>
        <w:numPr>
          <w:ilvl w:val="0"/>
          <w:numId w:val="1"/>
        </w:numPr>
        <w:jc w:val="both"/>
        <w:rPr>
          <w:szCs w:val="24"/>
          <w:u w:val="single"/>
          <w:lang w:val="en-US"/>
        </w:rPr>
      </w:pPr>
      <w:r>
        <w:rPr>
          <w:sz w:val="22"/>
          <w:lang w:val="en-US"/>
        </w:rPr>
        <w:t>In 2012</w:t>
      </w:r>
      <w:r w:rsidR="00E918A7">
        <w:rPr>
          <w:sz w:val="22"/>
          <w:lang w:val="en-US"/>
        </w:rPr>
        <w:t>/</w:t>
      </w:r>
      <w:r>
        <w:rPr>
          <w:sz w:val="22"/>
          <w:lang w:val="en-US"/>
        </w:rPr>
        <w:t>13</w:t>
      </w:r>
      <w:r w:rsidR="008C15B4" w:rsidRPr="008C15B4">
        <w:rPr>
          <w:sz w:val="22"/>
          <w:lang w:val="en-US"/>
        </w:rPr>
        <w:t>, the total catch of gi</w:t>
      </w:r>
      <w:r w:rsidR="00D42B89">
        <w:rPr>
          <w:sz w:val="22"/>
          <w:lang w:val="en-US"/>
        </w:rPr>
        <w:t>ant crab by all fishers was 10.2</w:t>
      </w:r>
      <w:r w:rsidR="008C15B4" w:rsidRPr="008C15B4">
        <w:rPr>
          <w:sz w:val="22"/>
          <w:lang w:val="en-US"/>
        </w:rPr>
        <w:t xml:space="preserve"> t</w:t>
      </w:r>
      <w:r w:rsidR="001932CD">
        <w:rPr>
          <w:sz w:val="22"/>
          <w:lang w:val="en-US"/>
        </w:rPr>
        <w:t xml:space="preserve">, based on </w:t>
      </w:r>
      <w:r w:rsidR="00D70050" w:rsidRPr="00BF214D">
        <w:rPr>
          <w:sz w:val="22"/>
        </w:rPr>
        <w:t>licence</w:t>
      </w:r>
      <w:r w:rsidR="001932CD">
        <w:rPr>
          <w:sz w:val="22"/>
          <w:lang w:val="en-US"/>
        </w:rPr>
        <w:t xml:space="preserve"> year (July-June)</w:t>
      </w:r>
      <w:r w:rsidR="008C15B4" w:rsidRPr="008C15B4">
        <w:rPr>
          <w:sz w:val="22"/>
          <w:lang w:val="en-US"/>
        </w:rPr>
        <w:t xml:space="preserve"> </w:t>
      </w:r>
      <w:r w:rsidR="008C15B4">
        <w:rPr>
          <w:sz w:val="22"/>
          <w:lang w:val="en-US"/>
        </w:rPr>
        <w:t>(Table 1</w:t>
      </w:r>
      <w:r w:rsidR="00370D40">
        <w:rPr>
          <w:sz w:val="22"/>
          <w:lang w:val="en-US"/>
        </w:rPr>
        <w:t xml:space="preserve"> and Figure 1</w:t>
      </w:r>
      <w:r w:rsidR="008C15B4">
        <w:rPr>
          <w:sz w:val="22"/>
          <w:lang w:val="en-US"/>
        </w:rPr>
        <w:t>)</w:t>
      </w:r>
      <w:r w:rsidR="00E918A7">
        <w:rPr>
          <w:sz w:val="22"/>
          <w:lang w:val="en-US"/>
        </w:rPr>
        <w:t>.</w:t>
      </w:r>
      <w:r w:rsidR="008C15B4">
        <w:rPr>
          <w:sz w:val="22"/>
          <w:lang w:val="en-US"/>
        </w:rPr>
        <w:t xml:space="preserve"> </w:t>
      </w:r>
      <w:r w:rsidR="00BF214D">
        <w:rPr>
          <w:sz w:val="22"/>
          <w:lang w:val="en-US"/>
        </w:rPr>
        <w:t xml:space="preserve"> </w:t>
      </w:r>
      <w:r w:rsidR="008C15B4" w:rsidRPr="008C15B4">
        <w:rPr>
          <w:sz w:val="22"/>
          <w:lang w:val="en-US"/>
        </w:rPr>
        <w:t>The catch from fishers tar</w:t>
      </w:r>
      <w:r w:rsidR="00370D40">
        <w:rPr>
          <w:sz w:val="22"/>
          <w:lang w:val="en-US"/>
        </w:rPr>
        <w:t>geting giant crab was</w:t>
      </w:r>
      <w:r w:rsidR="00E918A7">
        <w:rPr>
          <w:sz w:val="22"/>
          <w:lang w:val="en-US"/>
        </w:rPr>
        <w:t xml:space="preserve"> 8.0 t</w:t>
      </w:r>
      <w:r w:rsidR="008C15B4" w:rsidRPr="008C15B4">
        <w:rPr>
          <w:sz w:val="22"/>
          <w:lang w:val="en-US"/>
        </w:rPr>
        <w:t>.</w:t>
      </w:r>
      <w:r w:rsidR="00EF7473">
        <w:rPr>
          <w:sz w:val="22"/>
          <w:lang w:val="en-US"/>
        </w:rPr>
        <w:t xml:space="preserve">  </w:t>
      </w:r>
      <w:r w:rsidR="007D7438">
        <w:rPr>
          <w:sz w:val="22"/>
          <w:lang w:val="en-US"/>
        </w:rPr>
        <w:t xml:space="preserve">Targeting fishers are considered to be those who land more than a </w:t>
      </w:r>
      <w:r w:rsidR="007D7438" w:rsidRPr="007D7438">
        <w:rPr>
          <w:sz w:val="22"/>
        </w:rPr>
        <w:t xml:space="preserve">tonne </w:t>
      </w:r>
      <w:r w:rsidR="007D7438">
        <w:rPr>
          <w:sz w:val="22"/>
          <w:lang w:val="en-US"/>
        </w:rPr>
        <w:t xml:space="preserve">of giant crab during the assessment year. </w:t>
      </w:r>
    </w:p>
    <w:p w:rsidR="00612E06" w:rsidRPr="00612E06" w:rsidRDefault="00612E06" w:rsidP="001932CD">
      <w:pPr>
        <w:pStyle w:val="ListParagraph"/>
        <w:jc w:val="both"/>
        <w:rPr>
          <w:szCs w:val="24"/>
          <w:u w:val="single"/>
          <w:lang w:val="en-US"/>
        </w:rPr>
      </w:pPr>
    </w:p>
    <w:p w:rsidR="0090500A" w:rsidRPr="00BF214D" w:rsidRDefault="00612E06" w:rsidP="00BF214D">
      <w:pPr>
        <w:pStyle w:val="ListParagraph"/>
        <w:numPr>
          <w:ilvl w:val="0"/>
          <w:numId w:val="2"/>
        </w:numPr>
        <w:jc w:val="both"/>
        <w:rPr>
          <w:sz w:val="22"/>
          <w:lang w:val="en-US"/>
        </w:rPr>
      </w:pPr>
      <w:r w:rsidRPr="00BF214D">
        <w:rPr>
          <w:sz w:val="22"/>
          <w:lang w:val="en-US"/>
        </w:rPr>
        <w:t xml:space="preserve">The number of fishers participating in the fishery decreased in 2012/13.  </w:t>
      </w:r>
      <w:r w:rsidR="0090500A" w:rsidRPr="00BF214D">
        <w:rPr>
          <w:sz w:val="22"/>
          <w:lang w:val="en-US"/>
        </w:rPr>
        <w:t xml:space="preserve">Less than five fishers landed more than one </w:t>
      </w:r>
      <w:proofErr w:type="spellStart"/>
      <w:r w:rsidR="0090500A" w:rsidRPr="00BF214D">
        <w:rPr>
          <w:sz w:val="22"/>
          <w:lang w:val="en-US"/>
        </w:rPr>
        <w:t>tonne</w:t>
      </w:r>
      <w:proofErr w:type="spellEnd"/>
      <w:r w:rsidR="0090500A" w:rsidRPr="00BF214D">
        <w:rPr>
          <w:sz w:val="22"/>
          <w:lang w:val="en-US"/>
        </w:rPr>
        <w:t xml:space="preserve"> of giant crab. </w:t>
      </w:r>
      <w:r w:rsidRPr="00BF214D">
        <w:rPr>
          <w:sz w:val="22"/>
          <w:lang w:val="en-US"/>
        </w:rPr>
        <w:t xml:space="preserve">The </w:t>
      </w:r>
      <w:r w:rsidR="0090500A" w:rsidRPr="00BF214D">
        <w:rPr>
          <w:sz w:val="22"/>
          <w:lang w:val="en-US"/>
        </w:rPr>
        <w:t xml:space="preserve">fishing </w:t>
      </w:r>
      <w:r w:rsidRPr="00BF214D">
        <w:rPr>
          <w:sz w:val="22"/>
          <w:lang w:val="en-US"/>
        </w:rPr>
        <w:t>effort</w:t>
      </w:r>
      <w:r w:rsidR="0090500A" w:rsidRPr="00BF214D">
        <w:rPr>
          <w:sz w:val="22"/>
          <w:lang w:val="en-US"/>
        </w:rPr>
        <w:t>, in terms of pot</w:t>
      </w:r>
      <w:r w:rsidR="00EB5F64">
        <w:rPr>
          <w:sz w:val="22"/>
          <w:lang w:val="en-US"/>
        </w:rPr>
        <w:t>s</w:t>
      </w:r>
      <w:bookmarkStart w:id="3" w:name="_GoBack"/>
      <w:bookmarkEnd w:id="3"/>
      <w:r w:rsidR="0090500A" w:rsidRPr="00BF214D">
        <w:rPr>
          <w:sz w:val="22"/>
          <w:lang w:val="en-US"/>
        </w:rPr>
        <w:t xml:space="preserve"> lifted,</w:t>
      </w:r>
      <w:r w:rsidRPr="00BF214D">
        <w:rPr>
          <w:sz w:val="22"/>
          <w:lang w:val="en-US"/>
        </w:rPr>
        <w:t xml:space="preserve"> also decreased</w:t>
      </w:r>
      <w:r w:rsidR="0090500A" w:rsidRPr="00BF214D">
        <w:rPr>
          <w:sz w:val="22"/>
          <w:lang w:val="en-US"/>
        </w:rPr>
        <w:t xml:space="preserve"> (Table 2)</w:t>
      </w:r>
      <w:r w:rsidRPr="00BF214D">
        <w:rPr>
          <w:sz w:val="22"/>
          <w:lang w:val="en-US"/>
        </w:rPr>
        <w:t>.</w:t>
      </w:r>
    </w:p>
    <w:p w:rsidR="00BF214D" w:rsidRPr="00BF214D" w:rsidRDefault="00BF214D" w:rsidP="0090500A">
      <w:pPr>
        <w:pStyle w:val="ListParagraph"/>
        <w:jc w:val="both"/>
        <w:rPr>
          <w:sz w:val="22"/>
          <w:lang w:val="en-US"/>
        </w:rPr>
      </w:pPr>
    </w:p>
    <w:p w:rsidR="0090500A" w:rsidRPr="00BF214D" w:rsidRDefault="0090500A" w:rsidP="0090500A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BF214D">
        <w:rPr>
          <w:sz w:val="22"/>
          <w:lang w:val="en-US"/>
        </w:rPr>
        <w:t xml:space="preserve">The average weight of targeted crabs was </w:t>
      </w:r>
      <w:r w:rsidR="00D70050" w:rsidRPr="00BF214D">
        <w:rPr>
          <w:sz w:val="22"/>
          <w:lang w:val="en-US"/>
        </w:rPr>
        <w:t>3.4 kg</w:t>
      </w:r>
      <w:r w:rsidR="005962BD" w:rsidRPr="00BF214D">
        <w:rPr>
          <w:sz w:val="22"/>
          <w:lang w:val="en-US"/>
        </w:rPr>
        <w:t xml:space="preserve"> (Table 2).</w:t>
      </w:r>
    </w:p>
    <w:p w:rsidR="00370D40" w:rsidRPr="008C15B4" w:rsidRDefault="00370D40" w:rsidP="00370D40">
      <w:pPr>
        <w:pStyle w:val="ListParagraph"/>
        <w:jc w:val="both"/>
        <w:rPr>
          <w:szCs w:val="24"/>
          <w:u w:val="single"/>
          <w:lang w:val="en-US"/>
        </w:rPr>
      </w:pPr>
    </w:p>
    <w:p w:rsidR="00370D40" w:rsidRDefault="00370D40" w:rsidP="00843F89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T</w:t>
      </w:r>
      <w:r w:rsidRPr="00370D40">
        <w:rPr>
          <w:sz w:val="22"/>
          <w:lang w:val="en-US"/>
        </w:rPr>
        <w:t xml:space="preserve">he </w:t>
      </w:r>
      <w:r w:rsidR="007D7438" w:rsidRPr="00BF214D">
        <w:rPr>
          <w:sz w:val="22"/>
          <w:lang w:val="en-US"/>
        </w:rPr>
        <w:t xml:space="preserve">Giant Crab </w:t>
      </w:r>
      <w:r w:rsidR="005962BD" w:rsidRPr="00BF214D">
        <w:rPr>
          <w:sz w:val="22"/>
          <w:lang w:val="en-US"/>
        </w:rPr>
        <w:t xml:space="preserve">Fishery </w:t>
      </w:r>
      <w:r w:rsidR="007D7438" w:rsidRPr="00BF214D">
        <w:rPr>
          <w:sz w:val="22"/>
          <w:lang w:val="en-US"/>
        </w:rPr>
        <w:t>Management Plan</w:t>
      </w:r>
      <w:r w:rsidR="007D7438">
        <w:rPr>
          <w:sz w:val="22"/>
          <w:lang w:val="en-US"/>
        </w:rPr>
        <w:t xml:space="preserve"> </w:t>
      </w:r>
      <w:r w:rsidR="0090500A">
        <w:rPr>
          <w:sz w:val="22"/>
          <w:lang w:val="en-US"/>
        </w:rPr>
        <w:t>prescribes</w:t>
      </w:r>
      <w:r w:rsidR="007D7438">
        <w:rPr>
          <w:sz w:val="22"/>
          <w:lang w:val="en-US"/>
        </w:rPr>
        <w:t xml:space="preserve"> catch per unit effort (CPUE) as the main </w:t>
      </w:r>
      <w:r w:rsidRPr="00370D40">
        <w:rPr>
          <w:sz w:val="22"/>
          <w:lang w:val="en-US"/>
        </w:rPr>
        <w:t xml:space="preserve">biological stock performance indicator of </w:t>
      </w:r>
      <w:r>
        <w:rPr>
          <w:sz w:val="22"/>
          <w:lang w:val="en-US"/>
        </w:rPr>
        <w:t>giant crab</w:t>
      </w:r>
      <w:r w:rsidR="00ED69B2">
        <w:rPr>
          <w:sz w:val="22"/>
          <w:lang w:val="en-US"/>
        </w:rPr>
        <w:t>.  It</w:t>
      </w:r>
      <w:r>
        <w:rPr>
          <w:sz w:val="22"/>
          <w:lang w:val="en-US"/>
        </w:rPr>
        <w:t xml:space="preserve"> is </w:t>
      </w:r>
      <w:r w:rsidRPr="00370D40">
        <w:rPr>
          <w:sz w:val="22"/>
          <w:lang w:val="en-US"/>
        </w:rPr>
        <w:t xml:space="preserve">measured as kilograms of </w:t>
      </w:r>
      <w:r w:rsidR="00ED69B2">
        <w:rPr>
          <w:sz w:val="22"/>
          <w:lang w:val="en-US"/>
        </w:rPr>
        <w:t xml:space="preserve">targeted </w:t>
      </w:r>
      <w:r w:rsidRPr="00370D40">
        <w:rPr>
          <w:sz w:val="22"/>
          <w:lang w:val="en-US"/>
        </w:rPr>
        <w:t>giant crab catch per 24-hour pot</w:t>
      </w:r>
      <w:r w:rsidR="006D4AC1">
        <w:rPr>
          <w:sz w:val="22"/>
          <w:lang w:val="en-US"/>
        </w:rPr>
        <w:t>-</w:t>
      </w:r>
      <w:r w:rsidRPr="00370D40">
        <w:rPr>
          <w:sz w:val="22"/>
          <w:lang w:val="en-US"/>
        </w:rPr>
        <w:t xml:space="preserve">lift </w:t>
      </w:r>
      <w:r w:rsidR="00E918A7">
        <w:rPr>
          <w:sz w:val="22"/>
          <w:lang w:val="en-US"/>
        </w:rPr>
        <w:t>based on fishing year (November-September)</w:t>
      </w:r>
      <w:r w:rsidRPr="00370D40">
        <w:rPr>
          <w:sz w:val="22"/>
          <w:lang w:val="en-US"/>
        </w:rPr>
        <w:t xml:space="preserve"> </w:t>
      </w:r>
      <w:r>
        <w:rPr>
          <w:sz w:val="22"/>
          <w:lang w:val="en-US"/>
        </w:rPr>
        <w:t>(Figure 2</w:t>
      </w:r>
      <w:r w:rsidRPr="00370D40">
        <w:rPr>
          <w:sz w:val="22"/>
          <w:lang w:val="en-US"/>
        </w:rPr>
        <w:t>).</w:t>
      </w:r>
    </w:p>
    <w:p w:rsidR="00370D40" w:rsidRDefault="00370D40" w:rsidP="00370D40">
      <w:pPr>
        <w:pStyle w:val="ListParagraph"/>
        <w:jc w:val="both"/>
        <w:rPr>
          <w:sz w:val="22"/>
          <w:lang w:val="en-US"/>
        </w:rPr>
      </w:pPr>
    </w:p>
    <w:p w:rsidR="00843F89" w:rsidRDefault="00A24731" w:rsidP="00843F89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The Management Plan also prescribes reference points that are used </w:t>
      </w:r>
      <w:r w:rsidR="005962BD">
        <w:rPr>
          <w:sz w:val="22"/>
          <w:lang w:val="en-US"/>
        </w:rPr>
        <w:t xml:space="preserve">in determining the annual </w:t>
      </w:r>
      <w:r>
        <w:rPr>
          <w:sz w:val="22"/>
          <w:lang w:val="en-US"/>
        </w:rPr>
        <w:t xml:space="preserve">total allowable commercial catch.  </w:t>
      </w:r>
      <w:r w:rsidR="00370D40" w:rsidRPr="00370D40">
        <w:rPr>
          <w:sz w:val="22"/>
          <w:lang w:val="en-US"/>
        </w:rPr>
        <w:t xml:space="preserve">The reference points </w:t>
      </w:r>
      <w:r w:rsidR="00E918A7">
        <w:rPr>
          <w:sz w:val="22"/>
          <w:lang w:val="en-US"/>
        </w:rPr>
        <w:t xml:space="preserve">are based on fishing year </w:t>
      </w:r>
      <w:r w:rsidR="00370D40" w:rsidRPr="00370D40">
        <w:rPr>
          <w:sz w:val="22"/>
          <w:lang w:val="en-US"/>
        </w:rPr>
        <w:t xml:space="preserve">(November–September) </w:t>
      </w:r>
      <w:r>
        <w:rPr>
          <w:sz w:val="22"/>
          <w:lang w:val="en-US"/>
        </w:rPr>
        <w:t xml:space="preserve">and </w:t>
      </w:r>
      <w:r w:rsidR="005962BD">
        <w:rPr>
          <w:sz w:val="22"/>
          <w:lang w:val="en-US"/>
        </w:rPr>
        <w:t>include</w:t>
      </w:r>
      <w:r>
        <w:rPr>
          <w:sz w:val="22"/>
          <w:lang w:val="en-US"/>
        </w:rPr>
        <w:t xml:space="preserve"> </w:t>
      </w:r>
      <w:r w:rsidR="00E918A7">
        <w:rPr>
          <w:sz w:val="22"/>
          <w:lang w:val="en-US"/>
        </w:rPr>
        <w:t xml:space="preserve">a limit reference point </w:t>
      </w:r>
      <w:r>
        <w:rPr>
          <w:sz w:val="22"/>
          <w:lang w:val="en-US"/>
        </w:rPr>
        <w:t xml:space="preserve">that is </w:t>
      </w:r>
      <w:r w:rsidR="00E918A7">
        <w:rPr>
          <w:sz w:val="22"/>
          <w:lang w:val="en-US"/>
        </w:rPr>
        <w:t xml:space="preserve">the </w:t>
      </w:r>
      <w:r w:rsidR="00370D40" w:rsidRPr="00370D40">
        <w:rPr>
          <w:sz w:val="22"/>
          <w:lang w:val="en-US"/>
        </w:rPr>
        <w:t xml:space="preserve">mean for the </w:t>
      </w:r>
      <w:r w:rsidR="00BF214D">
        <w:rPr>
          <w:sz w:val="22"/>
          <w:lang w:val="en-US"/>
        </w:rPr>
        <w:t>three</w:t>
      </w:r>
      <w:r w:rsidR="00370D40" w:rsidRPr="00370D40">
        <w:rPr>
          <w:sz w:val="22"/>
          <w:lang w:val="en-US"/>
        </w:rPr>
        <w:t>-fishing-year</w:t>
      </w:r>
      <w:r w:rsidR="00E918A7">
        <w:rPr>
          <w:sz w:val="22"/>
          <w:lang w:val="en-US"/>
        </w:rPr>
        <w:t xml:space="preserve"> period from 1998–99 to 2000–01</w:t>
      </w:r>
      <w:r w:rsidR="001800C3">
        <w:rPr>
          <w:sz w:val="22"/>
          <w:lang w:val="en-US"/>
        </w:rPr>
        <w:t xml:space="preserve"> (0.37 kg/</w:t>
      </w:r>
      <w:r w:rsidR="00E918A7">
        <w:rPr>
          <w:sz w:val="22"/>
          <w:lang w:val="en-US"/>
        </w:rPr>
        <w:t xml:space="preserve">24 </w:t>
      </w:r>
      <w:proofErr w:type="spellStart"/>
      <w:r w:rsidR="00E918A7">
        <w:rPr>
          <w:sz w:val="22"/>
          <w:lang w:val="en-US"/>
        </w:rPr>
        <w:t>hr</w:t>
      </w:r>
      <w:proofErr w:type="spellEnd"/>
      <w:r w:rsidR="00E918A7">
        <w:rPr>
          <w:sz w:val="22"/>
          <w:lang w:val="en-US"/>
        </w:rPr>
        <w:t xml:space="preserve"> pot</w:t>
      </w:r>
      <w:r w:rsidR="006D4AC1">
        <w:rPr>
          <w:sz w:val="22"/>
          <w:lang w:val="en-US"/>
        </w:rPr>
        <w:t>-</w:t>
      </w:r>
      <w:r w:rsidR="00E918A7">
        <w:rPr>
          <w:sz w:val="22"/>
          <w:lang w:val="en-US"/>
        </w:rPr>
        <w:t>lift</w:t>
      </w:r>
      <w:r w:rsidR="00370D40" w:rsidRPr="00370D40">
        <w:rPr>
          <w:sz w:val="22"/>
          <w:lang w:val="en-US"/>
        </w:rPr>
        <w:t xml:space="preserve">), and </w:t>
      </w:r>
      <w:r w:rsidR="00E918A7">
        <w:rPr>
          <w:sz w:val="22"/>
          <w:lang w:val="en-US"/>
        </w:rPr>
        <w:t xml:space="preserve">a </w:t>
      </w:r>
      <w:r w:rsidR="00370D40" w:rsidRPr="00370D40">
        <w:rPr>
          <w:sz w:val="22"/>
          <w:lang w:val="en-US"/>
        </w:rPr>
        <w:t>trigger</w:t>
      </w:r>
      <w:r w:rsidR="00E918A7">
        <w:rPr>
          <w:sz w:val="22"/>
          <w:lang w:val="en-US"/>
        </w:rPr>
        <w:t xml:space="preserve"> reference point that is </w:t>
      </w:r>
      <w:r w:rsidR="00370D40" w:rsidRPr="00370D40">
        <w:rPr>
          <w:sz w:val="22"/>
          <w:lang w:val="en-US"/>
        </w:rPr>
        <w:t>80%</w:t>
      </w:r>
      <w:r w:rsidR="00E918A7">
        <w:rPr>
          <w:sz w:val="22"/>
          <w:lang w:val="en-US"/>
        </w:rPr>
        <w:t xml:space="preserve"> of limit reference point (0.30 </w:t>
      </w:r>
      <w:r w:rsidR="001800C3">
        <w:rPr>
          <w:sz w:val="22"/>
          <w:lang w:val="en-US"/>
        </w:rPr>
        <w:t>kg/</w:t>
      </w:r>
      <w:r w:rsidR="00E918A7">
        <w:rPr>
          <w:sz w:val="22"/>
          <w:lang w:val="en-US"/>
        </w:rPr>
        <w:t xml:space="preserve">24 </w:t>
      </w:r>
      <w:proofErr w:type="spellStart"/>
      <w:r w:rsidR="00E918A7">
        <w:rPr>
          <w:sz w:val="22"/>
          <w:lang w:val="en-US"/>
        </w:rPr>
        <w:t>hr</w:t>
      </w:r>
      <w:proofErr w:type="spellEnd"/>
      <w:r w:rsidR="00E918A7">
        <w:rPr>
          <w:sz w:val="22"/>
          <w:lang w:val="en-US"/>
        </w:rPr>
        <w:t xml:space="preserve"> pot</w:t>
      </w:r>
      <w:r w:rsidR="006D4AC1">
        <w:rPr>
          <w:sz w:val="22"/>
          <w:lang w:val="en-US"/>
        </w:rPr>
        <w:t>-</w:t>
      </w:r>
      <w:r w:rsidR="00E918A7">
        <w:rPr>
          <w:sz w:val="22"/>
          <w:lang w:val="en-US"/>
        </w:rPr>
        <w:t>lift)</w:t>
      </w:r>
      <w:r w:rsidR="00370D40">
        <w:rPr>
          <w:sz w:val="22"/>
          <w:lang w:val="en-US"/>
        </w:rPr>
        <w:t xml:space="preserve"> (Figure 2).</w:t>
      </w:r>
    </w:p>
    <w:p w:rsidR="00843F89" w:rsidRPr="00843F89" w:rsidRDefault="00843F89" w:rsidP="00843F89">
      <w:pPr>
        <w:pStyle w:val="ListParagraph"/>
        <w:jc w:val="both"/>
        <w:rPr>
          <w:sz w:val="22"/>
          <w:lang w:val="en-US"/>
        </w:rPr>
      </w:pPr>
    </w:p>
    <w:p w:rsidR="00795B0B" w:rsidRDefault="00E918A7" w:rsidP="00795B0B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In 2012/13, the targeted CPUE was 0.24 kg/24 </w:t>
      </w:r>
      <w:proofErr w:type="spellStart"/>
      <w:r>
        <w:rPr>
          <w:sz w:val="22"/>
          <w:lang w:val="en-US"/>
        </w:rPr>
        <w:t>hr</w:t>
      </w:r>
      <w:proofErr w:type="spellEnd"/>
      <w:r>
        <w:rPr>
          <w:sz w:val="22"/>
          <w:lang w:val="en-US"/>
        </w:rPr>
        <w:t xml:space="preserve"> pot</w:t>
      </w:r>
      <w:r w:rsidR="006D4AC1">
        <w:rPr>
          <w:sz w:val="22"/>
          <w:lang w:val="en-US"/>
        </w:rPr>
        <w:t>-</w:t>
      </w:r>
      <w:r>
        <w:rPr>
          <w:sz w:val="22"/>
          <w:lang w:val="en-US"/>
        </w:rPr>
        <w:t>lift</w:t>
      </w:r>
      <w:r w:rsidR="001800C3">
        <w:rPr>
          <w:sz w:val="22"/>
          <w:lang w:val="en-US"/>
        </w:rPr>
        <w:t xml:space="preserve"> reflecting the fourth consecutive year that the </w:t>
      </w:r>
      <w:r w:rsidR="005962BD">
        <w:rPr>
          <w:sz w:val="22"/>
          <w:lang w:val="en-US"/>
        </w:rPr>
        <w:t xml:space="preserve">CPUE has been </w:t>
      </w:r>
      <w:r w:rsidR="001800C3">
        <w:rPr>
          <w:sz w:val="22"/>
          <w:lang w:val="en-US"/>
        </w:rPr>
        <w:t xml:space="preserve">below the trigger reference point. </w:t>
      </w:r>
    </w:p>
    <w:p w:rsidR="00795B0B" w:rsidRDefault="00795B0B" w:rsidP="00795B0B">
      <w:pPr>
        <w:pStyle w:val="ListParagraph"/>
        <w:jc w:val="both"/>
        <w:rPr>
          <w:sz w:val="22"/>
          <w:lang w:val="en-US"/>
        </w:rPr>
      </w:pPr>
    </w:p>
    <w:p w:rsidR="0048750D" w:rsidRDefault="0048750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5962BD" w:rsidRDefault="005962BD" w:rsidP="0048750D">
      <w:pPr>
        <w:pStyle w:val="ListParagraph"/>
        <w:jc w:val="both"/>
        <w:rPr>
          <w:sz w:val="22"/>
          <w:lang w:val="en-US"/>
        </w:rPr>
      </w:pPr>
    </w:p>
    <w:p w:rsidR="00D96513" w:rsidRDefault="00D96513" w:rsidP="0048750D">
      <w:pPr>
        <w:pStyle w:val="ListParagraph"/>
        <w:jc w:val="both"/>
        <w:rPr>
          <w:sz w:val="22"/>
          <w:lang w:val="en-US"/>
        </w:rPr>
      </w:pPr>
    </w:p>
    <w:p w:rsidR="00D96513" w:rsidRDefault="00D96513" w:rsidP="0048750D">
      <w:pPr>
        <w:pStyle w:val="ListParagraph"/>
        <w:jc w:val="both"/>
        <w:rPr>
          <w:sz w:val="22"/>
          <w:lang w:val="en-US"/>
        </w:rPr>
      </w:pPr>
    </w:p>
    <w:p w:rsidR="00D96513" w:rsidRDefault="00D96513" w:rsidP="0048750D">
      <w:pPr>
        <w:pStyle w:val="ListParagraph"/>
        <w:jc w:val="both"/>
        <w:rPr>
          <w:sz w:val="22"/>
          <w:lang w:val="en-US"/>
        </w:rPr>
      </w:pPr>
    </w:p>
    <w:p w:rsidR="00D96513" w:rsidRDefault="00D96513" w:rsidP="0048750D">
      <w:pPr>
        <w:pStyle w:val="ListParagraph"/>
        <w:jc w:val="both"/>
        <w:rPr>
          <w:sz w:val="22"/>
          <w:lang w:val="en-US"/>
        </w:rPr>
      </w:pPr>
    </w:p>
    <w:p w:rsidR="00D96513" w:rsidRDefault="00D96513" w:rsidP="0048750D">
      <w:pPr>
        <w:pStyle w:val="ListParagraph"/>
        <w:jc w:val="both"/>
        <w:rPr>
          <w:sz w:val="22"/>
          <w:lang w:val="en-US"/>
        </w:rPr>
      </w:pPr>
    </w:p>
    <w:p w:rsidR="00D96513" w:rsidRPr="00795B0B" w:rsidRDefault="00D96513" w:rsidP="0048750D">
      <w:pPr>
        <w:pStyle w:val="ListParagraph"/>
        <w:jc w:val="both"/>
        <w:rPr>
          <w:sz w:val="22"/>
          <w:lang w:val="en-US"/>
        </w:rPr>
      </w:pPr>
    </w:p>
    <w:p w:rsidR="00E12A0C" w:rsidRPr="00795B0B" w:rsidRDefault="00E12A0C" w:rsidP="0048750D">
      <w:pPr>
        <w:pStyle w:val="ListParagraph"/>
        <w:jc w:val="both"/>
        <w:rPr>
          <w:lang w:val="en-US"/>
        </w:rPr>
      </w:pPr>
    </w:p>
    <w:p w:rsidR="004E2BFF" w:rsidRPr="004E2BFF" w:rsidRDefault="004E2BFF" w:rsidP="004E2BFF">
      <w:pPr>
        <w:pStyle w:val="ListParagraph"/>
        <w:jc w:val="both"/>
        <w:rPr>
          <w:sz w:val="22"/>
          <w:lang w:val="en-US"/>
        </w:rPr>
      </w:pPr>
    </w:p>
    <w:p w:rsidR="00D86F46" w:rsidRPr="007B576E" w:rsidRDefault="00D86F46" w:rsidP="00D86F46">
      <w:pPr>
        <w:jc w:val="both"/>
        <w:rPr>
          <w:sz w:val="22"/>
          <w:lang w:val="en-US"/>
        </w:rPr>
      </w:pPr>
    </w:p>
    <w:p w:rsidR="008C15B4" w:rsidRDefault="008C15B4" w:rsidP="00D86F46">
      <w:pPr>
        <w:jc w:val="both"/>
        <w:rPr>
          <w:sz w:val="22"/>
          <w:lang w:val="en-US"/>
        </w:rPr>
      </w:pPr>
    </w:p>
    <w:p w:rsidR="00370D40" w:rsidRDefault="00370D40" w:rsidP="00364C8F">
      <w:pPr>
        <w:jc w:val="center"/>
        <w:rPr>
          <w:b/>
          <w:i/>
          <w:sz w:val="28"/>
          <w:szCs w:val="28"/>
          <w:lang w:val="en-US"/>
        </w:rPr>
      </w:pPr>
    </w:p>
    <w:p w:rsidR="00BF214D" w:rsidRDefault="00BF214D" w:rsidP="00BF214D">
      <w:pPr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  <w:r w:rsidRPr="00276CCC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>Tables and Figure</w:t>
      </w:r>
      <w:r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>s</w:t>
      </w:r>
    </w:p>
    <w:p w:rsidR="007C5F71" w:rsidRDefault="00773FFD" w:rsidP="00364C8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Table 1. </w:t>
      </w:r>
      <w:r w:rsidR="006F359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iant crab landed catch and annual total allowable commercial catch (TACC) based on licensing year</w:t>
      </w:r>
      <w:r w:rsidR="0086345A">
        <w:rPr>
          <w:sz w:val="20"/>
          <w:szCs w:val="20"/>
          <w:lang w:val="en-US"/>
        </w:rPr>
        <w:t>.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843"/>
        <w:gridCol w:w="962"/>
        <w:gridCol w:w="1589"/>
        <w:gridCol w:w="1843"/>
      </w:tblGrid>
      <w:tr w:rsidR="00607C1C" w:rsidTr="0059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07C1C" w:rsidRPr="00590EE2" w:rsidRDefault="00607C1C" w:rsidP="00590EE2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QUOTA YEAR</w:t>
            </w:r>
          </w:p>
        </w:tc>
        <w:tc>
          <w:tcPr>
            <w:tcW w:w="1843" w:type="dxa"/>
          </w:tcPr>
          <w:p w:rsidR="00607C1C" w:rsidRPr="00590EE2" w:rsidRDefault="00607C1C" w:rsidP="00590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PERIOD</w:t>
            </w:r>
          </w:p>
        </w:tc>
        <w:tc>
          <w:tcPr>
            <w:tcW w:w="962" w:type="dxa"/>
          </w:tcPr>
          <w:p w:rsidR="00607C1C" w:rsidRPr="00590EE2" w:rsidRDefault="00607C1C" w:rsidP="00590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TACC</w:t>
            </w:r>
          </w:p>
          <w:p w:rsidR="00590EE2" w:rsidRPr="00590EE2" w:rsidRDefault="00590EE2" w:rsidP="00590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(t)</w:t>
            </w:r>
          </w:p>
        </w:tc>
        <w:tc>
          <w:tcPr>
            <w:tcW w:w="1589" w:type="dxa"/>
          </w:tcPr>
          <w:p w:rsidR="00607C1C" w:rsidRPr="00590EE2" w:rsidRDefault="00607C1C" w:rsidP="00590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TOTAL CATC</w:t>
            </w:r>
            <w:r w:rsidRPr="00D70050">
              <w:rPr>
                <w:rFonts w:asciiTheme="minorHAnsi" w:hAnsiTheme="minorHAnsi" w:cstheme="minorHAnsi"/>
                <w:sz w:val="22"/>
                <w:lang w:val="en-US"/>
              </w:rPr>
              <w:t>H</w:t>
            </w:r>
            <w:r w:rsidR="00D70050" w:rsidRPr="00D70050">
              <w:rPr>
                <w:rFonts w:asciiTheme="minorHAnsi" w:hAnsiTheme="minorHAnsi" w:cstheme="minorHAnsi"/>
                <w:sz w:val="22"/>
                <w:lang w:val="en-US"/>
              </w:rPr>
              <w:t>*</w:t>
            </w:r>
            <w:r w:rsidR="00590EE2" w:rsidRPr="00D70050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590EE2" w:rsidRPr="00590EE2">
              <w:rPr>
                <w:rFonts w:asciiTheme="minorHAnsi" w:hAnsiTheme="minorHAnsi" w:cstheme="minorHAnsi"/>
                <w:sz w:val="22"/>
                <w:lang w:val="en-US"/>
              </w:rPr>
              <w:t>(t)</w:t>
            </w:r>
          </w:p>
        </w:tc>
        <w:tc>
          <w:tcPr>
            <w:tcW w:w="1843" w:type="dxa"/>
          </w:tcPr>
          <w:p w:rsidR="00607C1C" w:rsidRPr="00590EE2" w:rsidRDefault="00607C1C" w:rsidP="00590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TARGETED CATCH</w:t>
            </w:r>
            <w:r w:rsidR="00590EE2" w:rsidRPr="00590EE2">
              <w:rPr>
                <w:rFonts w:asciiTheme="minorHAnsi" w:hAnsiTheme="minorHAnsi" w:cstheme="minorHAnsi"/>
                <w:sz w:val="22"/>
                <w:lang w:val="en-US"/>
              </w:rPr>
              <w:t xml:space="preserve"> (t)</w:t>
            </w:r>
          </w:p>
        </w:tc>
      </w:tr>
      <w:tr w:rsidR="00590EE2" w:rsidTr="0032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2001-02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16 Nov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7.9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</w:tr>
      <w:tr w:rsidR="00590EE2" w:rsidTr="00327F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2002-03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9.2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6.0</w:t>
            </w:r>
          </w:p>
        </w:tc>
      </w:tr>
      <w:tr w:rsidR="00590EE2" w:rsidTr="0032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2003-04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11.9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10.6</w:t>
            </w:r>
          </w:p>
        </w:tc>
      </w:tr>
      <w:tr w:rsidR="00590EE2" w:rsidTr="00327F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2004-05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20.4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18.8</w:t>
            </w:r>
          </w:p>
        </w:tc>
      </w:tr>
      <w:tr w:rsidR="00590EE2" w:rsidTr="0032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2005-06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21.4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18.8</w:t>
            </w:r>
          </w:p>
        </w:tc>
      </w:tr>
      <w:tr w:rsidR="00590EE2" w:rsidTr="00327F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2006-07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21.8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19.5</w:t>
            </w:r>
          </w:p>
        </w:tc>
      </w:tr>
      <w:tr w:rsidR="00590EE2" w:rsidTr="0032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2007-08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22.7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20.2</w:t>
            </w:r>
          </w:p>
        </w:tc>
      </w:tr>
      <w:tr w:rsidR="00590EE2" w:rsidTr="00327F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2008-09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20.0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16.1</w:t>
            </w:r>
          </w:p>
        </w:tc>
      </w:tr>
      <w:tr w:rsidR="00590EE2" w:rsidTr="0032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2009-10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31 Mar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25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24.3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21.7</w:t>
            </w:r>
          </w:p>
        </w:tc>
      </w:tr>
      <w:tr w:rsidR="00590EE2" w:rsidTr="00327F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2010-11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1 Apr – 30 Jun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31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17.4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13.2</w:t>
            </w:r>
          </w:p>
        </w:tc>
      </w:tr>
      <w:tr w:rsidR="00590EE2" w:rsidTr="0032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2011-12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1 Jul – 30 Jun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18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13.0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10.1</w:t>
            </w:r>
          </w:p>
        </w:tc>
      </w:tr>
      <w:tr w:rsidR="00590EE2" w:rsidTr="00327F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90EE2" w:rsidRPr="00590EE2" w:rsidRDefault="00590EE2" w:rsidP="00590E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90EE2">
              <w:rPr>
                <w:rFonts w:asciiTheme="minorHAnsi" w:hAnsiTheme="minorHAnsi" w:cstheme="minorHAnsi"/>
                <w:sz w:val="22"/>
              </w:rPr>
              <w:t>2012-13</w:t>
            </w:r>
          </w:p>
        </w:tc>
        <w:tc>
          <w:tcPr>
            <w:tcW w:w="1843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1 Jul – 30 Jun</w:t>
            </w:r>
          </w:p>
        </w:tc>
        <w:tc>
          <w:tcPr>
            <w:tcW w:w="962" w:type="dxa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90EE2">
              <w:rPr>
                <w:rFonts w:asciiTheme="minorHAnsi" w:hAnsiTheme="minorHAnsi" w:cstheme="minorHAnsi"/>
                <w:sz w:val="22"/>
                <w:lang w:val="en-US"/>
              </w:rPr>
              <w:t>12</w:t>
            </w:r>
          </w:p>
        </w:tc>
        <w:tc>
          <w:tcPr>
            <w:tcW w:w="1589" w:type="dxa"/>
            <w:vAlign w:val="bottom"/>
          </w:tcPr>
          <w:p w:rsidR="00590EE2" w:rsidRPr="00590EE2" w:rsidRDefault="00590EE2" w:rsidP="0059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90EE2">
              <w:rPr>
                <w:rFonts w:asciiTheme="minorHAnsi" w:hAnsiTheme="minorHAnsi" w:cstheme="minorHAnsi"/>
                <w:color w:val="000000"/>
                <w:sz w:val="22"/>
              </w:rPr>
              <w:t>10.2</w:t>
            </w:r>
          </w:p>
        </w:tc>
        <w:tc>
          <w:tcPr>
            <w:tcW w:w="1843" w:type="dxa"/>
            <w:vAlign w:val="bottom"/>
          </w:tcPr>
          <w:p w:rsidR="00590EE2" w:rsidRPr="002F7729" w:rsidRDefault="00590EE2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2F7729">
              <w:rPr>
                <w:rFonts w:cs="Arial"/>
                <w:color w:val="000000"/>
                <w:sz w:val="18"/>
                <w:szCs w:val="18"/>
              </w:rPr>
              <w:t>8.0</w:t>
            </w:r>
          </w:p>
        </w:tc>
      </w:tr>
    </w:tbl>
    <w:p w:rsidR="007C5F71" w:rsidRDefault="00D70050" w:rsidP="00D96513">
      <w:pPr>
        <w:ind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* </w:t>
      </w:r>
      <w:r w:rsidRPr="00D96513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 xml:space="preserve">nteractive </w:t>
      </w:r>
      <w:r w:rsidRPr="00D96513">
        <w:rPr>
          <w:sz w:val="18"/>
          <w:szCs w:val="18"/>
          <w:lang w:val="en-US"/>
        </w:rPr>
        <w:t>V</w:t>
      </w:r>
      <w:r>
        <w:rPr>
          <w:sz w:val="18"/>
          <w:szCs w:val="18"/>
          <w:lang w:val="en-US"/>
        </w:rPr>
        <w:t xml:space="preserve">oice </w:t>
      </w:r>
      <w:r w:rsidRPr="00D96513">
        <w:rPr>
          <w:sz w:val="18"/>
          <w:szCs w:val="18"/>
          <w:lang w:val="en-US"/>
        </w:rPr>
        <w:t>R</w:t>
      </w:r>
      <w:r>
        <w:rPr>
          <w:sz w:val="18"/>
          <w:szCs w:val="18"/>
          <w:lang w:val="en-US"/>
        </w:rPr>
        <w:t>ecognition (IVR)</w:t>
      </w:r>
      <w:r w:rsidRPr="00D96513">
        <w:rPr>
          <w:sz w:val="18"/>
          <w:szCs w:val="18"/>
          <w:lang w:val="en-US"/>
        </w:rPr>
        <w:t xml:space="preserve"> data used for total catch for licensing season</w:t>
      </w:r>
      <w:r w:rsidRPr="00D70050">
        <w:rPr>
          <w:sz w:val="20"/>
          <w:szCs w:val="20"/>
          <w:lang w:val="en-US"/>
        </w:rPr>
        <w:t xml:space="preserve"> </w:t>
      </w:r>
    </w:p>
    <w:p w:rsidR="00773FFD" w:rsidRPr="00B80CBB" w:rsidRDefault="00773FFD" w:rsidP="00773FFD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Table 2.</w:t>
      </w:r>
      <w:r w:rsidRPr="00B80CBB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Giant crab total and targeted catch based on fishing year (Nov – Sept)</w:t>
      </w:r>
      <w:r w:rsidR="0086345A">
        <w:rPr>
          <w:rFonts w:cs="Arial"/>
          <w:sz w:val="20"/>
          <w:szCs w:val="20"/>
          <w:lang w:val="en-US"/>
        </w:rPr>
        <w:t>.</w:t>
      </w:r>
    </w:p>
    <w:tbl>
      <w:tblPr>
        <w:tblStyle w:val="LightList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872"/>
        <w:gridCol w:w="994"/>
        <w:gridCol w:w="993"/>
        <w:gridCol w:w="1134"/>
        <w:gridCol w:w="992"/>
        <w:gridCol w:w="1134"/>
        <w:gridCol w:w="955"/>
        <w:gridCol w:w="1029"/>
      </w:tblGrid>
      <w:tr w:rsidR="00773FFD" w:rsidRPr="00743799" w:rsidTr="00D96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Merge w:val="restart"/>
            <w:vAlign w:val="center"/>
          </w:tcPr>
          <w:p w:rsidR="00773FFD" w:rsidRPr="00620EBC" w:rsidRDefault="00773FFD" w:rsidP="0043587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620EBC">
              <w:rPr>
                <w:rFonts w:asciiTheme="minorHAnsi" w:hAnsiTheme="minorHAnsi" w:cstheme="minorHAnsi"/>
                <w:sz w:val="22"/>
                <w:lang w:val="en-US"/>
              </w:rPr>
              <w:t>FISHING YEAR</w:t>
            </w:r>
          </w:p>
        </w:tc>
        <w:tc>
          <w:tcPr>
            <w:tcW w:w="1866" w:type="dxa"/>
            <w:gridSpan w:val="2"/>
            <w:tcBorders>
              <w:top w:val="single" w:sz="8" w:space="0" w:color="4F81BD" w:themeColor="accent1"/>
              <w:bottom w:val="nil"/>
            </w:tcBorders>
            <w:vAlign w:val="center"/>
          </w:tcPr>
          <w:p w:rsidR="00773FFD" w:rsidRPr="00620EBC" w:rsidRDefault="00773FFD" w:rsidP="00435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620EBC">
              <w:rPr>
                <w:rFonts w:asciiTheme="minorHAnsi" w:hAnsiTheme="minorHAnsi" w:cstheme="minorHAnsi"/>
                <w:sz w:val="22"/>
              </w:rPr>
              <w:t>TOTAL CATCH</w:t>
            </w:r>
          </w:p>
        </w:tc>
        <w:tc>
          <w:tcPr>
            <w:tcW w:w="4253" w:type="dxa"/>
            <w:gridSpan w:val="4"/>
            <w:tcBorders>
              <w:top w:val="single" w:sz="8" w:space="0" w:color="4F81BD" w:themeColor="accent1"/>
              <w:bottom w:val="nil"/>
            </w:tcBorders>
            <w:vAlign w:val="center"/>
          </w:tcPr>
          <w:p w:rsidR="00773FFD" w:rsidRPr="00620EBC" w:rsidRDefault="00773FFD" w:rsidP="00435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620EBC">
              <w:rPr>
                <w:rFonts w:asciiTheme="minorHAnsi" w:hAnsiTheme="minorHAnsi" w:cstheme="minorHAnsi"/>
                <w:sz w:val="22"/>
              </w:rPr>
              <w:t>TARGETED CATCH</w:t>
            </w:r>
          </w:p>
        </w:tc>
        <w:tc>
          <w:tcPr>
            <w:tcW w:w="1984" w:type="dxa"/>
            <w:gridSpan w:val="2"/>
            <w:tcBorders>
              <w:top w:val="single" w:sz="8" w:space="0" w:color="4F81BD" w:themeColor="accent1"/>
              <w:bottom w:val="nil"/>
            </w:tcBorders>
            <w:vAlign w:val="center"/>
          </w:tcPr>
          <w:p w:rsidR="00773FFD" w:rsidRPr="00620EBC" w:rsidRDefault="00773FFD" w:rsidP="006F3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20EBC">
              <w:rPr>
                <w:rFonts w:asciiTheme="minorHAnsi" w:hAnsiTheme="minorHAnsi" w:cstheme="minorHAnsi"/>
                <w:sz w:val="22"/>
              </w:rPr>
              <w:t>NUMBER FISHERS</w:t>
            </w:r>
          </w:p>
        </w:tc>
      </w:tr>
      <w:tr w:rsidR="00D96513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Merge/>
            <w:vAlign w:val="center"/>
          </w:tcPr>
          <w:p w:rsidR="00773FFD" w:rsidRPr="00743799" w:rsidRDefault="00773FFD" w:rsidP="0043587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773FFD" w:rsidP="006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US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Catch (t)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773FFD" w:rsidP="00D96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US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# </w:t>
            </w:r>
            <w:r w:rsidR="00D9651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24 </w:t>
            </w:r>
            <w:proofErr w:type="spellStart"/>
            <w:r w:rsidR="00D9651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hr</w:t>
            </w:r>
            <w:proofErr w:type="spellEnd"/>
            <w:r w:rsidR="00D9651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pot </w:t>
            </w:r>
            <w:r w:rsidR="00D9651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lifts </w:t>
            </w: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(‘000)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773FFD" w:rsidP="006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Catch (t)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D96513" w:rsidP="006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#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24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hr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pot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lifts </w:t>
            </w: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(‘000)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773FFD" w:rsidP="006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US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Mean weight (kg)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773FFD" w:rsidP="006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  <w:lang w:val="en-US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CPUE (kg/24hr pot-lift)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6F3597" w:rsidP="006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Total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4F81BD" w:themeFill="accent1"/>
            <w:vAlign w:val="center"/>
          </w:tcPr>
          <w:p w:rsidR="00773FFD" w:rsidRPr="006F3597" w:rsidRDefault="006F3597" w:rsidP="00D9651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F359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Targeted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1990-91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18.5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58.5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12.7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26.2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0.49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26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1991-92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56.7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79.1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44.4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37.5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1.18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33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1992-93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226.2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187.4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195.1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120.0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1.63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44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17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1993-94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121.9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109.5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108.4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65.1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1.66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48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1994-95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38.8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97.9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26.8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35.6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0.75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51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1995-96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40.9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103.4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31.0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35.9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0.87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41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1996-97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68.5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137.6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54.2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64.0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0.85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40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1997-98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50.6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133.0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37.2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75.9</w:t>
            </w:r>
          </w:p>
        </w:tc>
        <w:tc>
          <w:tcPr>
            <w:tcW w:w="99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0.49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36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1998-99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50.2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152.5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39.6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109.3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3.3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0.36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43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1999-00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25.3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99.0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19.9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65.2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3.2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0.31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26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2000-01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19.5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63.4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14.0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32.4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2.9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0.43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27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2001-02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9.6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33.9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5.5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14.4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4.3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0.38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17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2002-03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8.4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45.0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4.6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20.7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3.0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0.22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17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2003-04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10.5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26.7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9.5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18.1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2.9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0.53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2004-05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22.7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55.8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19.0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34.5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2.4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0.55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18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2005-06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21.7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54.1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19.3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38.4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2.5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0.50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17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2006-07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22.8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61.0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21.5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41.2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3.0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0.52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18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2007-08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27.6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74.4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25.2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56.0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3.0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0.45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15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2008-09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27.2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88.1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23.8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64.6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3.5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0.37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13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2009-10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16.4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72.6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13.7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51.7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3.2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0.27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12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2010-11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11.3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45.9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9.1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34.7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2.8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0.26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2011-12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12.6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61.6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10.1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50.8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3.5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0.20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  <w:tr w:rsidR="00EE63B7" w:rsidRPr="00743799" w:rsidTr="00D965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773FFD" w:rsidRPr="0086345A" w:rsidRDefault="00773FFD" w:rsidP="0043587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sz w:val="22"/>
              </w:rPr>
              <w:t>2012-13</w:t>
            </w:r>
          </w:p>
        </w:tc>
        <w:tc>
          <w:tcPr>
            <w:tcW w:w="872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8.8</w:t>
            </w:r>
          </w:p>
        </w:tc>
        <w:tc>
          <w:tcPr>
            <w:tcW w:w="994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41.4</w:t>
            </w:r>
          </w:p>
        </w:tc>
        <w:tc>
          <w:tcPr>
            <w:tcW w:w="993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7.9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33.8</w:t>
            </w:r>
          </w:p>
        </w:tc>
        <w:tc>
          <w:tcPr>
            <w:tcW w:w="992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3.4</w:t>
            </w:r>
          </w:p>
        </w:tc>
        <w:tc>
          <w:tcPr>
            <w:tcW w:w="1134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0.24</w:t>
            </w:r>
          </w:p>
        </w:tc>
        <w:tc>
          <w:tcPr>
            <w:tcW w:w="955" w:type="dxa"/>
          </w:tcPr>
          <w:p w:rsidR="00773FFD" w:rsidRPr="0086345A" w:rsidRDefault="00D96513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1029" w:type="dxa"/>
          </w:tcPr>
          <w:p w:rsidR="00773FFD" w:rsidRPr="0086345A" w:rsidRDefault="00773FFD" w:rsidP="00435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6345A">
              <w:rPr>
                <w:rFonts w:asciiTheme="minorHAnsi" w:hAnsiTheme="minorHAnsi" w:cstheme="minorHAnsi"/>
                <w:color w:val="000000"/>
                <w:sz w:val="22"/>
              </w:rPr>
              <w:t>&lt;5</w:t>
            </w:r>
          </w:p>
        </w:tc>
      </w:tr>
    </w:tbl>
    <w:p w:rsidR="00665A78" w:rsidRDefault="00193A38" w:rsidP="0086345A">
      <w:pPr>
        <w:rPr>
          <w:sz w:val="20"/>
          <w:szCs w:val="20"/>
          <w:lang w:val="en-US"/>
        </w:rPr>
      </w:pPr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806669" wp14:editId="4AE59C31">
                <wp:simplePos x="0" y="0"/>
                <wp:positionH relativeFrom="column">
                  <wp:posOffset>1542415</wp:posOffset>
                </wp:positionH>
                <wp:positionV relativeFrom="paragraph">
                  <wp:posOffset>432435</wp:posOffset>
                </wp:positionV>
                <wp:extent cx="1142365" cy="1371600"/>
                <wp:effectExtent l="38100" t="0" r="0" b="7620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365" cy="1371600"/>
                          <a:chOff x="0" y="0"/>
                          <a:chExt cx="1142999" cy="137160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9" y="0"/>
                            <a:ext cx="9144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A38" w:rsidRDefault="00193A38" w:rsidP="00193A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sz w:val="21"/>
                                  <w:szCs w:val="21"/>
                                </w:rPr>
                                <w:t>Size limit introduced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0" y="180975"/>
                            <a:ext cx="285749" cy="11906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21.45pt;margin-top:34.05pt;width:89.95pt;height:108pt;z-index:251689984" coordsize="1142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85;width:914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93A38" w:rsidRDefault="00193A38" w:rsidP="00193A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sz w:val="21"/>
                            <w:szCs w:val="21"/>
                          </w:rPr>
                          <w:t>Size limit introduced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top:1809;width:2857;height:119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a88MUAAADaAAAADwAAAGRycy9kb3ducmV2LnhtbESPT2sCMRTE74V+h/AKvdVstfhnaxQV&#10;Cj140Yp6fGxed5duXtYkxtVP3wiFHoeZ+Q0znXemEZGcry0reO1lIIgLq2suFey+Pl7GIHxA1thY&#10;JgVX8jCfPT5MMdf2whuK21CKBGGfo4IqhDaX0hcVGfQ92xIn79s6gyFJV0rt8JLgppH9LBtKgzWn&#10;hQpbWlVU/GzPRsH+NoiTUeGG8XA6b079Y1yPl1Gp56du8Q4iUBf+w3/tT63gDe5X0g2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a88MUAAADaAAAADwAAAAAAAAAA&#10;AAAAAAChAgAAZHJzL2Rvd25yZXYueG1sUEsFBgAAAAAEAAQA+QAAAJMDAAAAAA==&#10;" strokecolor="windowText">
                  <v:stroke endarrow="open"/>
                </v:shape>
              </v:group>
            </w:pict>
          </mc:Fallback>
        </mc:AlternateContent>
      </w:r>
      <w:r w:rsidR="00EE63B7"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 wp14:anchorId="65A5D9AB" wp14:editId="269C551B">
            <wp:simplePos x="0" y="0"/>
            <wp:positionH relativeFrom="column">
              <wp:posOffset>-114300</wp:posOffset>
            </wp:positionH>
            <wp:positionV relativeFrom="paragraph">
              <wp:posOffset>-148590</wp:posOffset>
            </wp:positionV>
            <wp:extent cx="5772150" cy="3895725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CC2">
        <w:rPr>
          <w:sz w:val="20"/>
          <w:szCs w:val="20"/>
          <w:lang w:val="en-US"/>
        </w:rPr>
        <w:t xml:space="preserve">Figure 1. Total and targeted catch (t) history for the Victorian </w:t>
      </w:r>
      <w:r w:rsidR="007C5F71">
        <w:rPr>
          <w:sz w:val="20"/>
          <w:szCs w:val="20"/>
          <w:lang w:val="en-US"/>
        </w:rPr>
        <w:t>giant crab fishery based on licensing season.</w:t>
      </w:r>
      <w:r w:rsidR="00612E06">
        <w:rPr>
          <w:sz w:val="20"/>
          <w:szCs w:val="20"/>
          <w:lang w:val="en-US"/>
        </w:rPr>
        <w:t xml:space="preserve">  Quota management was introduced in 2001/02.</w:t>
      </w: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EE63B7" w:rsidRDefault="0086345A" w:rsidP="00364C8F">
      <w:pPr>
        <w:jc w:val="both"/>
        <w:rPr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1" locked="0" layoutInCell="1" allowOverlap="1" wp14:anchorId="5679BA6F" wp14:editId="16F2150F">
            <wp:simplePos x="0" y="0"/>
            <wp:positionH relativeFrom="column">
              <wp:posOffset>-28575</wp:posOffset>
            </wp:positionH>
            <wp:positionV relativeFrom="paragraph">
              <wp:posOffset>56515</wp:posOffset>
            </wp:positionV>
            <wp:extent cx="5731510" cy="3901440"/>
            <wp:effectExtent l="0" t="0" r="0" b="0"/>
            <wp:wrapTight wrapText="bothSides">
              <wp:wrapPolygon edited="0">
                <wp:start x="1364" y="422"/>
                <wp:lineTo x="1364" y="949"/>
                <wp:lineTo x="3733" y="2320"/>
                <wp:lineTo x="862" y="2320"/>
                <wp:lineTo x="431" y="3586"/>
                <wp:lineTo x="503" y="14871"/>
                <wp:lineTo x="6461" y="15820"/>
                <wp:lineTo x="10769" y="15820"/>
                <wp:lineTo x="1795" y="16348"/>
                <wp:lineTo x="1723" y="16770"/>
                <wp:lineTo x="2585" y="17508"/>
                <wp:lineTo x="2656" y="19301"/>
                <wp:lineTo x="3590" y="20039"/>
                <wp:lineTo x="10051" y="20883"/>
                <wp:lineTo x="10051" y="21094"/>
                <wp:lineTo x="14646" y="21094"/>
                <wp:lineTo x="20174" y="19512"/>
                <wp:lineTo x="20317" y="17191"/>
                <wp:lineTo x="18594" y="16875"/>
                <wp:lineTo x="10769" y="15820"/>
                <wp:lineTo x="19958" y="15082"/>
                <wp:lineTo x="20246" y="14344"/>
                <wp:lineTo x="17876" y="14133"/>
                <wp:lineTo x="17948" y="13500"/>
                <wp:lineTo x="16082" y="12445"/>
                <wp:lineTo x="15651" y="12234"/>
                <wp:lineTo x="15292" y="11707"/>
                <wp:lineTo x="1149" y="10758"/>
                <wp:lineTo x="4379" y="10758"/>
                <wp:lineTo x="7897" y="9914"/>
                <wp:lineTo x="7825" y="9070"/>
                <wp:lineTo x="6677" y="7383"/>
                <wp:lineTo x="7251" y="4008"/>
                <wp:lineTo x="9692" y="3902"/>
                <wp:lineTo x="9548" y="2426"/>
                <wp:lineTo x="5097" y="1793"/>
                <wp:lineTo x="2226" y="422"/>
                <wp:lineTo x="1364" y="422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  <w:r w:rsidRPr="0086345A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EA708" wp14:editId="12FABBCB">
                <wp:simplePos x="0" y="0"/>
                <wp:positionH relativeFrom="column">
                  <wp:posOffset>839470</wp:posOffset>
                </wp:positionH>
                <wp:positionV relativeFrom="paragraph">
                  <wp:posOffset>174625</wp:posOffset>
                </wp:positionV>
                <wp:extent cx="542925" cy="257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5A" w:rsidRPr="0086345A" w:rsidRDefault="008634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345A">
                              <w:rPr>
                                <w:sz w:val="20"/>
                                <w:szCs w:val="20"/>
                              </w:rPr>
                              <w:t>Limit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6.1pt;margin-top:13.75pt;width:42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" filled="f" stroked="f">
                <v:textbox>
                  <w:txbxContent>
                    <w:p w:rsidR="0086345A" w:rsidRPr="0086345A" w:rsidRDefault="0086345A">
                      <w:pPr>
                        <w:rPr>
                          <w:sz w:val="20"/>
                          <w:szCs w:val="20"/>
                        </w:rPr>
                      </w:pPr>
                      <w:r w:rsidRPr="0086345A">
                        <w:rPr>
                          <w:sz w:val="20"/>
                          <w:szCs w:val="20"/>
                        </w:rPr>
                        <w:t>Limit</w:t>
                      </w:r>
                    </w:p>
                  </w:txbxContent>
                </v:textbox>
              </v:shape>
            </w:pict>
          </mc:Fallback>
        </mc:AlternateContent>
      </w:r>
    </w:p>
    <w:p w:rsidR="0086345A" w:rsidRDefault="00512ADF" w:rsidP="00364C8F">
      <w:pPr>
        <w:jc w:val="both"/>
        <w:rPr>
          <w:sz w:val="20"/>
          <w:szCs w:val="20"/>
          <w:lang w:val="en-US"/>
        </w:rPr>
      </w:pPr>
      <w:r w:rsidRPr="00512ADF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32513" wp14:editId="6BB22AEF">
                <wp:simplePos x="0" y="0"/>
                <wp:positionH relativeFrom="column">
                  <wp:posOffset>409575</wp:posOffset>
                </wp:positionH>
                <wp:positionV relativeFrom="paragraph">
                  <wp:posOffset>53975</wp:posOffset>
                </wp:positionV>
                <wp:extent cx="666750" cy="257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DF" w:rsidRPr="0086345A" w:rsidRDefault="00512ADF" w:rsidP="00512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Trigger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.25pt;margin-top:4.25pt;width:52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" filled="f" stroked="f">
                <v:textbox>
                  <w:txbxContent>
                    <w:p w:rsidR="00512ADF" w:rsidRPr="0086345A" w:rsidRDefault="00512ADF" w:rsidP="00512A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Trigger</w:t>
                      </w:r>
                    </w:p>
                  </w:txbxContent>
                </v:textbox>
              </v:shape>
            </w:pict>
          </mc:Fallback>
        </mc:AlternateContent>
      </w: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</w:p>
    <w:p w:rsidR="0086345A" w:rsidRDefault="0086345A" w:rsidP="00364C8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Figure 2. Targeted CPUE (Kg/24 hour pot-lift) for the Victorian giant crab fishery, based on fishing year.</w:t>
      </w:r>
    </w:p>
    <w:sectPr w:rsidR="0086345A" w:rsidSect="00D96513">
      <w:footerReference w:type="default" r:id="rId11"/>
      <w:pgSz w:w="11906" w:h="16838"/>
      <w:pgMar w:top="1134" w:right="1558" w:bottom="709" w:left="1276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F0" w:rsidRDefault="003239F0" w:rsidP="00B541D2">
      <w:pPr>
        <w:spacing w:after="0"/>
      </w:pPr>
      <w:r>
        <w:separator/>
      </w:r>
    </w:p>
  </w:endnote>
  <w:endnote w:type="continuationSeparator" w:id="0">
    <w:p w:rsidR="003239F0" w:rsidRDefault="003239F0" w:rsidP="00B54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771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6F2" w:rsidRDefault="00E56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F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6E2" w:rsidRDefault="001C4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F0" w:rsidRDefault="003239F0" w:rsidP="00B541D2">
      <w:pPr>
        <w:spacing w:after="0"/>
      </w:pPr>
      <w:r>
        <w:separator/>
      </w:r>
    </w:p>
  </w:footnote>
  <w:footnote w:type="continuationSeparator" w:id="0">
    <w:p w:rsidR="003239F0" w:rsidRDefault="003239F0" w:rsidP="00B54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9AB"/>
    <w:multiLevelType w:val="hybridMultilevel"/>
    <w:tmpl w:val="8524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1F14"/>
    <w:multiLevelType w:val="hybridMultilevel"/>
    <w:tmpl w:val="16DC4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3"/>
    <w:rsid w:val="00072831"/>
    <w:rsid w:val="00072895"/>
    <w:rsid w:val="000B0A4D"/>
    <w:rsid w:val="000E103A"/>
    <w:rsid w:val="000F5B9C"/>
    <w:rsid w:val="0010510F"/>
    <w:rsid w:val="00126803"/>
    <w:rsid w:val="00131344"/>
    <w:rsid w:val="00170CC2"/>
    <w:rsid w:val="0017787A"/>
    <w:rsid w:val="001800C3"/>
    <w:rsid w:val="001932CD"/>
    <w:rsid w:val="00193A38"/>
    <w:rsid w:val="00195061"/>
    <w:rsid w:val="001B0FF2"/>
    <w:rsid w:val="001C46E2"/>
    <w:rsid w:val="00212870"/>
    <w:rsid w:val="00231EAA"/>
    <w:rsid w:val="00236209"/>
    <w:rsid w:val="00265A59"/>
    <w:rsid w:val="00271AFA"/>
    <w:rsid w:val="002B2143"/>
    <w:rsid w:val="002B4A5E"/>
    <w:rsid w:val="002F57CE"/>
    <w:rsid w:val="002F7729"/>
    <w:rsid w:val="003012A7"/>
    <w:rsid w:val="003239F0"/>
    <w:rsid w:val="00327649"/>
    <w:rsid w:val="00331D91"/>
    <w:rsid w:val="00364C8F"/>
    <w:rsid w:val="00370D40"/>
    <w:rsid w:val="00385840"/>
    <w:rsid w:val="003F2834"/>
    <w:rsid w:val="00426EE5"/>
    <w:rsid w:val="004365EB"/>
    <w:rsid w:val="00446463"/>
    <w:rsid w:val="0046772F"/>
    <w:rsid w:val="0048750D"/>
    <w:rsid w:val="004A145E"/>
    <w:rsid w:val="004E2BFF"/>
    <w:rsid w:val="004E6353"/>
    <w:rsid w:val="00512ADF"/>
    <w:rsid w:val="005254B9"/>
    <w:rsid w:val="00543369"/>
    <w:rsid w:val="00551459"/>
    <w:rsid w:val="00562238"/>
    <w:rsid w:val="00564A99"/>
    <w:rsid w:val="005706EF"/>
    <w:rsid w:val="00573D31"/>
    <w:rsid w:val="00590EE2"/>
    <w:rsid w:val="00592DF0"/>
    <w:rsid w:val="005962BD"/>
    <w:rsid w:val="005A5AB0"/>
    <w:rsid w:val="005B5F62"/>
    <w:rsid w:val="005B6AF9"/>
    <w:rsid w:val="005C62FC"/>
    <w:rsid w:val="00601A74"/>
    <w:rsid w:val="00607C1C"/>
    <w:rsid w:val="00612E06"/>
    <w:rsid w:val="00614FF7"/>
    <w:rsid w:val="00620EBC"/>
    <w:rsid w:val="00642A18"/>
    <w:rsid w:val="00665A78"/>
    <w:rsid w:val="00683E5D"/>
    <w:rsid w:val="006A2BB0"/>
    <w:rsid w:val="006D25F1"/>
    <w:rsid w:val="006D4AC1"/>
    <w:rsid w:val="006F3597"/>
    <w:rsid w:val="00725771"/>
    <w:rsid w:val="00743799"/>
    <w:rsid w:val="00773FFD"/>
    <w:rsid w:val="00775751"/>
    <w:rsid w:val="00795B0B"/>
    <w:rsid w:val="007B3133"/>
    <w:rsid w:val="007B576E"/>
    <w:rsid w:val="007C5313"/>
    <w:rsid w:val="007C5F71"/>
    <w:rsid w:val="007D7438"/>
    <w:rsid w:val="007D7632"/>
    <w:rsid w:val="007D770B"/>
    <w:rsid w:val="007F0810"/>
    <w:rsid w:val="0082119D"/>
    <w:rsid w:val="00843F89"/>
    <w:rsid w:val="0086345A"/>
    <w:rsid w:val="0089472B"/>
    <w:rsid w:val="008A196A"/>
    <w:rsid w:val="008A2B73"/>
    <w:rsid w:val="008C15B4"/>
    <w:rsid w:val="008D14D0"/>
    <w:rsid w:val="008F7D4C"/>
    <w:rsid w:val="0090500A"/>
    <w:rsid w:val="009564CC"/>
    <w:rsid w:val="00972D5E"/>
    <w:rsid w:val="0098422E"/>
    <w:rsid w:val="009959A1"/>
    <w:rsid w:val="009C06AE"/>
    <w:rsid w:val="00A24731"/>
    <w:rsid w:val="00A649CB"/>
    <w:rsid w:val="00A9146F"/>
    <w:rsid w:val="00AB07C4"/>
    <w:rsid w:val="00B0225A"/>
    <w:rsid w:val="00B10568"/>
    <w:rsid w:val="00B351D0"/>
    <w:rsid w:val="00B361D0"/>
    <w:rsid w:val="00B41EAE"/>
    <w:rsid w:val="00B541D2"/>
    <w:rsid w:val="00B55394"/>
    <w:rsid w:val="00B70A24"/>
    <w:rsid w:val="00B80CBB"/>
    <w:rsid w:val="00B94ADF"/>
    <w:rsid w:val="00BA6B6A"/>
    <w:rsid w:val="00BD6FB8"/>
    <w:rsid w:val="00BF214D"/>
    <w:rsid w:val="00BF4238"/>
    <w:rsid w:val="00BF451F"/>
    <w:rsid w:val="00BF531D"/>
    <w:rsid w:val="00C17C04"/>
    <w:rsid w:val="00C53722"/>
    <w:rsid w:val="00C57EC3"/>
    <w:rsid w:val="00C6213E"/>
    <w:rsid w:val="00C8662E"/>
    <w:rsid w:val="00CA472E"/>
    <w:rsid w:val="00D26536"/>
    <w:rsid w:val="00D42B89"/>
    <w:rsid w:val="00D70050"/>
    <w:rsid w:val="00D773B5"/>
    <w:rsid w:val="00D84059"/>
    <w:rsid w:val="00D86F46"/>
    <w:rsid w:val="00D90C17"/>
    <w:rsid w:val="00D96513"/>
    <w:rsid w:val="00DA7EAC"/>
    <w:rsid w:val="00DD18F1"/>
    <w:rsid w:val="00DE7953"/>
    <w:rsid w:val="00DF19A1"/>
    <w:rsid w:val="00E12A0C"/>
    <w:rsid w:val="00E34F95"/>
    <w:rsid w:val="00E40C58"/>
    <w:rsid w:val="00E566F2"/>
    <w:rsid w:val="00E832CA"/>
    <w:rsid w:val="00E918A7"/>
    <w:rsid w:val="00EB5F64"/>
    <w:rsid w:val="00EB64D3"/>
    <w:rsid w:val="00EB7B66"/>
    <w:rsid w:val="00ED233F"/>
    <w:rsid w:val="00ED4D6C"/>
    <w:rsid w:val="00ED69B2"/>
    <w:rsid w:val="00EE63B7"/>
    <w:rsid w:val="00EF7473"/>
    <w:rsid w:val="00F24975"/>
    <w:rsid w:val="00F3689E"/>
    <w:rsid w:val="00F45D32"/>
    <w:rsid w:val="00F621CD"/>
    <w:rsid w:val="00F6701E"/>
    <w:rsid w:val="00FB5DDD"/>
    <w:rsid w:val="00FC3903"/>
    <w:rsid w:val="00FD3568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3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1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1D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91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51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313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6D4A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426E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12ADF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6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3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1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1D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91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51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313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6D4A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426E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12ADF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6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22269600020928"/>
          <c:y val="7.4052938954586395E-2"/>
          <c:w val="0.83286401081052985"/>
          <c:h val="0.70295304094807431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Catch!$D$1</c:f>
              <c:strCache>
                <c:ptCount val="1"/>
                <c:pt idx="0">
                  <c:v>Targeted catch (t)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Catch!$A$2:$A$24</c:f>
              <c:strCache>
                <c:ptCount val="23"/>
                <c:pt idx="0">
                  <c:v>1990/91</c:v>
                </c:pt>
                <c:pt idx="1">
                  <c:v>1991/92</c:v>
                </c:pt>
                <c:pt idx="2">
                  <c:v>1992/93</c:v>
                </c:pt>
                <c:pt idx="3">
                  <c:v>1993/94</c:v>
                </c:pt>
                <c:pt idx="4">
                  <c:v>1994/95</c:v>
                </c:pt>
                <c:pt idx="5">
                  <c:v>1995/96</c:v>
                </c:pt>
                <c:pt idx="6">
                  <c:v>1996/97</c:v>
                </c:pt>
                <c:pt idx="7">
                  <c:v>1997/98</c:v>
                </c:pt>
                <c:pt idx="8">
                  <c:v>1998/99</c:v>
                </c:pt>
                <c:pt idx="9">
                  <c:v>1999/00</c:v>
                </c:pt>
                <c:pt idx="10">
                  <c:v>2000/01</c:v>
                </c:pt>
                <c:pt idx="11">
                  <c:v>2001/02</c:v>
                </c:pt>
                <c:pt idx="12">
                  <c:v>2002/03</c:v>
                </c:pt>
                <c:pt idx="13">
                  <c:v>2003/04</c:v>
                </c:pt>
                <c:pt idx="14">
                  <c:v>2004/05</c:v>
                </c:pt>
                <c:pt idx="15">
                  <c:v>2005/06</c:v>
                </c:pt>
                <c:pt idx="16">
                  <c:v>2006/07</c:v>
                </c:pt>
                <c:pt idx="17">
                  <c:v>2007/08</c:v>
                </c:pt>
                <c:pt idx="18">
                  <c:v>2008/09</c:v>
                </c:pt>
                <c:pt idx="19">
                  <c:v>2009/10</c:v>
                </c:pt>
                <c:pt idx="20">
                  <c:v>2010/11</c:v>
                </c:pt>
                <c:pt idx="21">
                  <c:v>2011/12</c:v>
                </c:pt>
                <c:pt idx="22">
                  <c:v>2012/13</c:v>
                </c:pt>
              </c:strCache>
            </c:strRef>
          </c:cat>
          <c:val>
            <c:numRef>
              <c:f>Catch!$D$2:$D$24</c:f>
              <c:numCache>
                <c:formatCode>0.00</c:formatCode>
                <c:ptCount val="23"/>
                <c:pt idx="0">
                  <c:v>8.9626999999999999</c:v>
                </c:pt>
                <c:pt idx="1">
                  <c:v>43.9741</c:v>
                </c:pt>
                <c:pt idx="2">
                  <c:v>120.38915</c:v>
                </c:pt>
                <c:pt idx="3">
                  <c:v>154.15025</c:v>
                </c:pt>
                <c:pt idx="4">
                  <c:v>54.928969999999993</c:v>
                </c:pt>
                <c:pt idx="5">
                  <c:v>26.208560000000006</c:v>
                </c:pt>
                <c:pt idx="6">
                  <c:v>44.061249999999987</c:v>
                </c:pt>
                <c:pt idx="7">
                  <c:v>45.127679999999991</c:v>
                </c:pt>
                <c:pt idx="8">
                  <c:v>38.623609999999992</c:v>
                </c:pt>
                <c:pt idx="9">
                  <c:v>30.823149999999998</c:v>
                </c:pt>
                <c:pt idx="10">
                  <c:v>17.228699999999996</c:v>
                </c:pt>
                <c:pt idx="11">
                  <c:v>4.1791</c:v>
                </c:pt>
                <c:pt idx="12">
                  <c:v>6.0210499999999989</c:v>
                </c:pt>
                <c:pt idx="13">
                  <c:v>10.581700000000001</c:v>
                </c:pt>
                <c:pt idx="14">
                  <c:v>18.7776</c:v>
                </c:pt>
                <c:pt idx="15">
                  <c:v>18.761900000000001</c:v>
                </c:pt>
                <c:pt idx="16">
                  <c:v>19.546700000000001</c:v>
                </c:pt>
                <c:pt idx="17">
                  <c:v>20.2255</c:v>
                </c:pt>
                <c:pt idx="18">
                  <c:v>16.136499999999998</c:v>
                </c:pt>
                <c:pt idx="19">
                  <c:v>21.73959</c:v>
                </c:pt>
                <c:pt idx="20">
                  <c:v>13.160400000000001</c:v>
                </c:pt>
                <c:pt idx="21">
                  <c:v>10.0931</c:v>
                </c:pt>
                <c:pt idx="22">
                  <c:v>8.0190999999999999</c:v>
                </c:pt>
              </c:numCache>
            </c:numRef>
          </c:val>
        </c:ser>
        <c:ser>
          <c:idx val="3"/>
          <c:order val="1"/>
          <c:tx>
            <c:strRef>
              <c:f>Catch!$E$1</c:f>
              <c:strCache>
                <c:ptCount val="1"/>
                <c:pt idx="0">
                  <c:v>Total catch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Catch!$A$2:$A$24</c:f>
              <c:strCache>
                <c:ptCount val="23"/>
                <c:pt idx="0">
                  <c:v>1990/91</c:v>
                </c:pt>
                <c:pt idx="1">
                  <c:v>1991/92</c:v>
                </c:pt>
                <c:pt idx="2">
                  <c:v>1992/93</c:v>
                </c:pt>
                <c:pt idx="3">
                  <c:v>1993/94</c:v>
                </c:pt>
                <c:pt idx="4">
                  <c:v>1994/95</c:v>
                </c:pt>
                <c:pt idx="5">
                  <c:v>1995/96</c:v>
                </c:pt>
                <c:pt idx="6">
                  <c:v>1996/97</c:v>
                </c:pt>
                <c:pt idx="7">
                  <c:v>1997/98</c:v>
                </c:pt>
                <c:pt idx="8">
                  <c:v>1998/99</c:v>
                </c:pt>
                <c:pt idx="9">
                  <c:v>1999/00</c:v>
                </c:pt>
                <c:pt idx="10">
                  <c:v>2000/01</c:v>
                </c:pt>
                <c:pt idx="11">
                  <c:v>2001/02</c:v>
                </c:pt>
                <c:pt idx="12">
                  <c:v>2002/03</c:v>
                </c:pt>
                <c:pt idx="13">
                  <c:v>2003/04</c:v>
                </c:pt>
                <c:pt idx="14">
                  <c:v>2004/05</c:v>
                </c:pt>
                <c:pt idx="15">
                  <c:v>2005/06</c:v>
                </c:pt>
                <c:pt idx="16">
                  <c:v>2006/07</c:v>
                </c:pt>
                <c:pt idx="17">
                  <c:v>2007/08</c:v>
                </c:pt>
                <c:pt idx="18">
                  <c:v>2008/09</c:v>
                </c:pt>
                <c:pt idx="19">
                  <c:v>2009/10</c:v>
                </c:pt>
                <c:pt idx="20">
                  <c:v>2010/11</c:v>
                </c:pt>
                <c:pt idx="21">
                  <c:v>2011/12</c:v>
                </c:pt>
                <c:pt idx="22">
                  <c:v>2012/13</c:v>
                </c:pt>
              </c:strCache>
            </c:strRef>
          </c:cat>
          <c:val>
            <c:numRef>
              <c:f>Catch!$E$2:$E$24</c:f>
              <c:numCache>
                <c:formatCode>0.00</c:formatCode>
                <c:ptCount val="23"/>
                <c:pt idx="0">
                  <c:v>5.3614999999999986</c:v>
                </c:pt>
                <c:pt idx="1">
                  <c:v>10.659849999999992</c:v>
                </c:pt>
                <c:pt idx="2">
                  <c:v>28.37220000000001</c:v>
                </c:pt>
                <c:pt idx="3">
                  <c:v>16.361429999999963</c:v>
                </c:pt>
                <c:pt idx="4">
                  <c:v>11.830240000000012</c:v>
                </c:pt>
                <c:pt idx="5">
                  <c:v>9.9314600000000066</c:v>
                </c:pt>
                <c:pt idx="6">
                  <c:v>13.510010000000001</c:v>
                </c:pt>
                <c:pt idx="7">
                  <c:v>12.578530000000013</c:v>
                </c:pt>
                <c:pt idx="8">
                  <c:v>12.657819999999992</c:v>
                </c:pt>
                <c:pt idx="9">
                  <c:v>3.5455200000000078</c:v>
                </c:pt>
                <c:pt idx="10">
                  <c:v>6.371000000000004</c:v>
                </c:pt>
                <c:pt idx="11">
                  <c:v>3.7438599999999997</c:v>
                </c:pt>
                <c:pt idx="12">
                  <c:v>3.1326500000000013</c:v>
                </c:pt>
                <c:pt idx="13">
                  <c:v>1.287699999999999</c:v>
                </c:pt>
                <c:pt idx="14">
                  <c:v>1.6009000000000015</c:v>
                </c:pt>
                <c:pt idx="15">
                  <c:v>2.6258999999999979</c:v>
                </c:pt>
                <c:pt idx="16">
                  <c:v>2.2765999999999984</c:v>
                </c:pt>
                <c:pt idx="17">
                  <c:v>2.4512000000000009</c:v>
                </c:pt>
                <c:pt idx="18">
                  <c:v>3.9029000000000034</c:v>
                </c:pt>
                <c:pt idx="19">
                  <c:v>2.5765099999999985</c:v>
                </c:pt>
                <c:pt idx="20">
                  <c:v>4.2606199999999994</c:v>
                </c:pt>
                <c:pt idx="21">
                  <c:v>2.9400599999999995</c:v>
                </c:pt>
                <c:pt idx="22">
                  <c:v>2.1606000000000005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73400832"/>
        <c:axId val="173403136"/>
      </c:barChart>
      <c:lineChart>
        <c:grouping val="standard"/>
        <c:varyColors val="0"/>
        <c:ser>
          <c:idx val="1"/>
          <c:order val="2"/>
          <c:tx>
            <c:strRef>
              <c:f>Catch!$G$1</c:f>
              <c:strCache>
                <c:ptCount val="1"/>
                <c:pt idx="0">
                  <c:v>TACC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Catch!$A$2:$A$24</c:f>
              <c:strCache>
                <c:ptCount val="23"/>
                <c:pt idx="0">
                  <c:v>1990/91</c:v>
                </c:pt>
                <c:pt idx="1">
                  <c:v>1991/92</c:v>
                </c:pt>
                <c:pt idx="2">
                  <c:v>1992/93</c:v>
                </c:pt>
                <c:pt idx="3">
                  <c:v>1993/94</c:v>
                </c:pt>
                <c:pt idx="4">
                  <c:v>1994/95</c:v>
                </c:pt>
                <c:pt idx="5">
                  <c:v>1995/96</c:v>
                </c:pt>
                <c:pt idx="6">
                  <c:v>1996/97</c:v>
                </c:pt>
                <c:pt idx="7">
                  <c:v>1997/98</c:v>
                </c:pt>
                <c:pt idx="8">
                  <c:v>1998/99</c:v>
                </c:pt>
                <c:pt idx="9">
                  <c:v>1999/00</c:v>
                </c:pt>
                <c:pt idx="10">
                  <c:v>2000/01</c:v>
                </c:pt>
                <c:pt idx="11">
                  <c:v>2001/02</c:v>
                </c:pt>
                <c:pt idx="12">
                  <c:v>2002/03</c:v>
                </c:pt>
                <c:pt idx="13">
                  <c:v>2003/04</c:v>
                </c:pt>
                <c:pt idx="14">
                  <c:v>2004/05</c:v>
                </c:pt>
                <c:pt idx="15">
                  <c:v>2005/06</c:v>
                </c:pt>
                <c:pt idx="16">
                  <c:v>2006/07</c:v>
                </c:pt>
                <c:pt idx="17">
                  <c:v>2007/08</c:v>
                </c:pt>
                <c:pt idx="18">
                  <c:v>2008/09</c:v>
                </c:pt>
                <c:pt idx="19">
                  <c:v>2009/10</c:v>
                </c:pt>
                <c:pt idx="20">
                  <c:v>2010/11</c:v>
                </c:pt>
                <c:pt idx="21">
                  <c:v>2011/12</c:v>
                </c:pt>
                <c:pt idx="22">
                  <c:v>2012/13</c:v>
                </c:pt>
              </c:strCache>
            </c:strRef>
          </c:cat>
          <c:val>
            <c:numRef>
              <c:f>Catch!$G$2:$G$24</c:f>
              <c:numCache>
                <c:formatCode>General</c:formatCode>
                <c:ptCount val="23"/>
                <c:pt idx="11">
                  <c:v>25</c:v>
                </c:pt>
                <c:pt idx="12">
                  <c:v>25</c:v>
                </c:pt>
                <c:pt idx="13">
                  <c:v>25</c:v>
                </c:pt>
                <c:pt idx="14">
                  <c:v>25</c:v>
                </c:pt>
                <c:pt idx="15">
                  <c:v>25</c:v>
                </c:pt>
                <c:pt idx="16">
                  <c:v>25</c:v>
                </c:pt>
                <c:pt idx="17">
                  <c:v>25</c:v>
                </c:pt>
                <c:pt idx="18">
                  <c:v>25</c:v>
                </c:pt>
                <c:pt idx="19">
                  <c:v>25</c:v>
                </c:pt>
                <c:pt idx="20">
                  <c:v>25</c:v>
                </c:pt>
                <c:pt idx="21">
                  <c:v>18</c:v>
                </c:pt>
                <c:pt idx="2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400832"/>
        <c:axId val="173403136"/>
      </c:lineChart>
      <c:catAx>
        <c:axId val="173400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AU" sz="1200"/>
                  <a:t>Licensing season (Jul - Jun)</a:t>
                </a:r>
              </a:p>
            </c:rich>
          </c:tx>
          <c:layout>
            <c:manualLayout>
              <c:xMode val="edge"/>
              <c:yMode val="edge"/>
              <c:x val="0.38243318422406503"/>
              <c:y val="0.91854623732415719"/>
            </c:manualLayout>
          </c:layout>
          <c:overlay val="0"/>
        </c:title>
        <c:majorTickMark val="out"/>
        <c:minorTickMark val="none"/>
        <c:tickLblPos val="nextTo"/>
        <c:crossAx val="173403136"/>
        <c:crosses val="autoZero"/>
        <c:auto val="1"/>
        <c:lblAlgn val="ctr"/>
        <c:lblOffset val="100"/>
        <c:noMultiLvlLbl val="0"/>
      </c:catAx>
      <c:valAx>
        <c:axId val="17340313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AU" sz="1200"/>
                  <a:t>Catch</a:t>
                </a:r>
                <a:r>
                  <a:rPr lang="en-AU" sz="1200" baseline="0"/>
                  <a:t> (tonne)</a:t>
                </a:r>
                <a:endParaRPr lang="en-AU" sz="1200"/>
              </a:p>
            </c:rich>
          </c:tx>
          <c:layout>
            <c:manualLayout>
              <c:xMode val="edge"/>
              <c:yMode val="edge"/>
              <c:x val="2.6828609986504725E-2"/>
              <c:y val="0.3720062759682715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73400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35278015990572"/>
          <c:y val="8.6409846690924025E-2"/>
          <c:w val="0.21909063347279609"/>
          <c:h val="0.215588625993877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07507794630036"/>
          <c:y val="4.3304010826771648E-2"/>
          <c:w val="0.82008598083227635"/>
          <c:h val="0.72804641054409525"/>
        </c:manualLayout>
      </c:layout>
      <c:lineChart>
        <c:grouping val="standard"/>
        <c:varyColors val="0"/>
        <c:ser>
          <c:idx val="0"/>
          <c:order val="0"/>
          <c:tx>
            <c:strRef>
              <c:f>CPUE!$B$1</c:f>
              <c:strCache>
                <c:ptCount val="1"/>
                <c:pt idx="0">
                  <c:v>Targeted CPUE</c:v>
                </c:pt>
              </c:strCache>
            </c:strRef>
          </c:tx>
          <c:spPr>
            <a:ln w="12700">
              <a:solidFill>
                <a:srgbClr val="0099FF"/>
              </a:solidFill>
            </a:ln>
          </c:spPr>
          <c:marker>
            <c:symbol val="circle"/>
            <c:size val="4"/>
          </c:marker>
          <c:cat>
            <c:strRef>
              <c:f>CPUE!$A$2:$A$24</c:f>
              <c:strCache>
                <c:ptCount val="23"/>
                <c:pt idx="0">
                  <c:v>1990/91</c:v>
                </c:pt>
                <c:pt idx="1">
                  <c:v>1991/92</c:v>
                </c:pt>
                <c:pt idx="2">
                  <c:v>1992/93</c:v>
                </c:pt>
                <c:pt idx="3">
                  <c:v>1993/94</c:v>
                </c:pt>
                <c:pt idx="4">
                  <c:v>1994/95</c:v>
                </c:pt>
                <c:pt idx="5">
                  <c:v>1995/96</c:v>
                </c:pt>
                <c:pt idx="6">
                  <c:v>1996/97</c:v>
                </c:pt>
                <c:pt idx="7">
                  <c:v>1997/98</c:v>
                </c:pt>
                <c:pt idx="8">
                  <c:v>1998/99</c:v>
                </c:pt>
                <c:pt idx="9">
                  <c:v>1999/00</c:v>
                </c:pt>
                <c:pt idx="10">
                  <c:v>2000/01</c:v>
                </c:pt>
                <c:pt idx="11">
                  <c:v>2001/02</c:v>
                </c:pt>
                <c:pt idx="12">
                  <c:v>2002/03</c:v>
                </c:pt>
                <c:pt idx="13">
                  <c:v>2003/04</c:v>
                </c:pt>
                <c:pt idx="14">
                  <c:v>2004/05</c:v>
                </c:pt>
                <c:pt idx="15">
                  <c:v>2005/06</c:v>
                </c:pt>
                <c:pt idx="16">
                  <c:v>2006/07</c:v>
                </c:pt>
                <c:pt idx="17">
                  <c:v>2007/08</c:v>
                </c:pt>
                <c:pt idx="18">
                  <c:v>2008/09</c:v>
                </c:pt>
                <c:pt idx="19">
                  <c:v>2009/10</c:v>
                </c:pt>
                <c:pt idx="20">
                  <c:v>2010/11</c:v>
                </c:pt>
                <c:pt idx="21">
                  <c:v>2011/12</c:v>
                </c:pt>
                <c:pt idx="22">
                  <c:v>2012/13</c:v>
                </c:pt>
              </c:strCache>
            </c:strRef>
          </c:cat>
          <c:val>
            <c:numRef>
              <c:f>CPUE!$B$2:$B$24</c:f>
              <c:numCache>
                <c:formatCode>General</c:formatCode>
                <c:ptCount val="23"/>
                <c:pt idx="0">
                  <c:v>0.48567394290947946</c:v>
                </c:pt>
                <c:pt idx="1">
                  <c:v>1.1825915462928416</c:v>
                </c:pt>
                <c:pt idx="2">
                  <c:v>1.6251843150975933</c:v>
                </c:pt>
                <c:pt idx="3">
                  <c:v>1.6643181748395615</c:v>
                </c:pt>
                <c:pt idx="4">
                  <c:v>0.7525102522330207</c:v>
                </c:pt>
                <c:pt idx="5">
                  <c:v>0.86502716709855387</c:v>
                </c:pt>
                <c:pt idx="6">
                  <c:v>0.84620236756621714</c:v>
                </c:pt>
                <c:pt idx="7">
                  <c:v>0.48976398186706027</c:v>
                </c:pt>
                <c:pt idx="8">
                  <c:v>0.36207161218907524</c:v>
                </c:pt>
                <c:pt idx="9">
                  <c:v>0.30548443967499622</c:v>
                </c:pt>
                <c:pt idx="10">
                  <c:v>0.43405642594481003</c:v>
                </c:pt>
                <c:pt idx="11">
                  <c:v>0.38098395944726055</c:v>
                </c:pt>
                <c:pt idx="12">
                  <c:v>0.22316471612341615</c:v>
                </c:pt>
                <c:pt idx="13">
                  <c:v>0.52779100016604863</c:v>
                </c:pt>
                <c:pt idx="14">
                  <c:v>0.55079075425790758</c:v>
                </c:pt>
                <c:pt idx="15">
                  <c:v>0.50398030685873552</c:v>
                </c:pt>
                <c:pt idx="16">
                  <c:v>0.52158053234894119</c:v>
                </c:pt>
                <c:pt idx="17">
                  <c:v>0.44923090649536046</c:v>
                </c:pt>
                <c:pt idx="18">
                  <c:v>0.36825108426270137</c:v>
                </c:pt>
                <c:pt idx="19">
                  <c:v>0.26544491484467131</c:v>
                </c:pt>
                <c:pt idx="20">
                  <c:v>0.26146073238139106</c:v>
                </c:pt>
                <c:pt idx="21">
                  <c:v>0.1982173425417626</c:v>
                </c:pt>
                <c:pt idx="22">
                  <c:v>0.23507935567926094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CPUE!$C$1</c:f>
              <c:strCache>
                <c:ptCount val="1"/>
                <c:pt idx="0">
                  <c:v>reference</c:v>
                </c:pt>
              </c:strCache>
            </c:strRef>
          </c:tx>
          <c:spPr>
            <a:ln w="12700">
              <a:solidFill>
                <a:srgbClr val="FF0000"/>
              </a:solidFill>
              <a:prstDash val="dash"/>
            </a:ln>
          </c:spPr>
          <c:marker>
            <c:symbol val="none"/>
          </c:marker>
          <c:cat>
            <c:strRef>
              <c:f>CPUE!$A$2:$A$24</c:f>
              <c:strCache>
                <c:ptCount val="23"/>
                <c:pt idx="0">
                  <c:v>1990/91</c:v>
                </c:pt>
                <c:pt idx="1">
                  <c:v>1991/92</c:v>
                </c:pt>
                <c:pt idx="2">
                  <c:v>1992/93</c:v>
                </c:pt>
                <c:pt idx="3">
                  <c:v>1993/94</c:v>
                </c:pt>
                <c:pt idx="4">
                  <c:v>1994/95</c:v>
                </c:pt>
                <c:pt idx="5">
                  <c:v>1995/96</c:v>
                </c:pt>
                <c:pt idx="6">
                  <c:v>1996/97</c:v>
                </c:pt>
                <c:pt idx="7">
                  <c:v>1997/98</c:v>
                </c:pt>
                <c:pt idx="8">
                  <c:v>1998/99</c:v>
                </c:pt>
                <c:pt idx="9">
                  <c:v>1999/00</c:v>
                </c:pt>
                <c:pt idx="10">
                  <c:v>2000/01</c:v>
                </c:pt>
                <c:pt idx="11">
                  <c:v>2001/02</c:v>
                </c:pt>
                <c:pt idx="12">
                  <c:v>2002/03</c:v>
                </c:pt>
                <c:pt idx="13">
                  <c:v>2003/04</c:v>
                </c:pt>
                <c:pt idx="14">
                  <c:v>2004/05</c:v>
                </c:pt>
                <c:pt idx="15">
                  <c:v>2005/06</c:v>
                </c:pt>
                <c:pt idx="16">
                  <c:v>2006/07</c:v>
                </c:pt>
                <c:pt idx="17">
                  <c:v>2007/08</c:v>
                </c:pt>
                <c:pt idx="18">
                  <c:v>2008/09</c:v>
                </c:pt>
                <c:pt idx="19">
                  <c:v>2009/10</c:v>
                </c:pt>
                <c:pt idx="20">
                  <c:v>2010/11</c:v>
                </c:pt>
                <c:pt idx="21">
                  <c:v>2011/12</c:v>
                </c:pt>
                <c:pt idx="22">
                  <c:v>2012/13</c:v>
                </c:pt>
              </c:strCache>
            </c:strRef>
          </c:cat>
          <c:val>
            <c:numRef>
              <c:f>CPUE!$C$2:$C$24</c:f>
              <c:numCache>
                <c:formatCode>General</c:formatCode>
                <c:ptCount val="23"/>
                <c:pt idx="0">
                  <c:v>0.36</c:v>
                </c:pt>
                <c:pt idx="1">
                  <c:v>0.36</c:v>
                </c:pt>
                <c:pt idx="2">
                  <c:v>0.36</c:v>
                </c:pt>
                <c:pt idx="3">
                  <c:v>0.36</c:v>
                </c:pt>
                <c:pt idx="4">
                  <c:v>0.36</c:v>
                </c:pt>
                <c:pt idx="5">
                  <c:v>0.36</c:v>
                </c:pt>
                <c:pt idx="6">
                  <c:v>0.36</c:v>
                </c:pt>
                <c:pt idx="7">
                  <c:v>0.36</c:v>
                </c:pt>
                <c:pt idx="8">
                  <c:v>0.36</c:v>
                </c:pt>
                <c:pt idx="9">
                  <c:v>0.36</c:v>
                </c:pt>
                <c:pt idx="10">
                  <c:v>0.36</c:v>
                </c:pt>
                <c:pt idx="11">
                  <c:v>0.36</c:v>
                </c:pt>
                <c:pt idx="12">
                  <c:v>0.36</c:v>
                </c:pt>
                <c:pt idx="13">
                  <c:v>0.36</c:v>
                </c:pt>
                <c:pt idx="14">
                  <c:v>0.36</c:v>
                </c:pt>
                <c:pt idx="15">
                  <c:v>0.36</c:v>
                </c:pt>
                <c:pt idx="16">
                  <c:v>0.36</c:v>
                </c:pt>
                <c:pt idx="17">
                  <c:v>0.36</c:v>
                </c:pt>
                <c:pt idx="18">
                  <c:v>0.36</c:v>
                </c:pt>
                <c:pt idx="19">
                  <c:v>0.36</c:v>
                </c:pt>
                <c:pt idx="20">
                  <c:v>0.36</c:v>
                </c:pt>
                <c:pt idx="21">
                  <c:v>0.36</c:v>
                </c:pt>
                <c:pt idx="22">
                  <c:v>0.36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CPUE!$D$1</c:f>
              <c:strCache>
                <c:ptCount val="1"/>
                <c:pt idx="0">
                  <c:v>trigger</c:v>
                </c:pt>
              </c:strCache>
            </c:strRef>
          </c:tx>
          <c:spPr>
            <a:ln w="127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CPUE!$A$2:$A$24</c:f>
              <c:strCache>
                <c:ptCount val="23"/>
                <c:pt idx="0">
                  <c:v>1990/91</c:v>
                </c:pt>
                <c:pt idx="1">
                  <c:v>1991/92</c:v>
                </c:pt>
                <c:pt idx="2">
                  <c:v>1992/93</c:v>
                </c:pt>
                <c:pt idx="3">
                  <c:v>1993/94</c:v>
                </c:pt>
                <c:pt idx="4">
                  <c:v>1994/95</c:v>
                </c:pt>
                <c:pt idx="5">
                  <c:v>1995/96</c:v>
                </c:pt>
                <c:pt idx="6">
                  <c:v>1996/97</c:v>
                </c:pt>
                <c:pt idx="7">
                  <c:v>1997/98</c:v>
                </c:pt>
                <c:pt idx="8">
                  <c:v>1998/99</c:v>
                </c:pt>
                <c:pt idx="9">
                  <c:v>1999/00</c:v>
                </c:pt>
                <c:pt idx="10">
                  <c:v>2000/01</c:v>
                </c:pt>
                <c:pt idx="11">
                  <c:v>2001/02</c:v>
                </c:pt>
                <c:pt idx="12">
                  <c:v>2002/03</c:v>
                </c:pt>
                <c:pt idx="13">
                  <c:v>2003/04</c:v>
                </c:pt>
                <c:pt idx="14">
                  <c:v>2004/05</c:v>
                </c:pt>
                <c:pt idx="15">
                  <c:v>2005/06</c:v>
                </c:pt>
                <c:pt idx="16">
                  <c:v>2006/07</c:v>
                </c:pt>
                <c:pt idx="17">
                  <c:v>2007/08</c:v>
                </c:pt>
                <c:pt idx="18">
                  <c:v>2008/09</c:v>
                </c:pt>
                <c:pt idx="19">
                  <c:v>2009/10</c:v>
                </c:pt>
                <c:pt idx="20">
                  <c:v>2010/11</c:v>
                </c:pt>
                <c:pt idx="21">
                  <c:v>2011/12</c:v>
                </c:pt>
                <c:pt idx="22">
                  <c:v>2012/13</c:v>
                </c:pt>
              </c:strCache>
            </c:strRef>
          </c:cat>
          <c:val>
            <c:numRef>
              <c:f>CPUE!$D$2:$D$24</c:f>
              <c:numCache>
                <c:formatCode>General</c:formatCode>
                <c:ptCount val="23"/>
                <c:pt idx="0">
                  <c:v>0.28799999999999998</c:v>
                </c:pt>
                <c:pt idx="1">
                  <c:v>0.28799999999999998</c:v>
                </c:pt>
                <c:pt idx="2">
                  <c:v>0.28799999999999998</c:v>
                </c:pt>
                <c:pt idx="3">
                  <c:v>0.28799999999999998</c:v>
                </c:pt>
                <c:pt idx="4">
                  <c:v>0.28799999999999998</c:v>
                </c:pt>
                <c:pt idx="5">
                  <c:v>0.28799999999999998</c:v>
                </c:pt>
                <c:pt idx="6">
                  <c:v>0.28799999999999998</c:v>
                </c:pt>
                <c:pt idx="7">
                  <c:v>0.28799999999999998</c:v>
                </c:pt>
                <c:pt idx="8">
                  <c:v>0.28799999999999998</c:v>
                </c:pt>
                <c:pt idx="9">
                  <c:v>0.28799999999999998</c:v>
                </c:pt>
                <c:pt idx="10">
                  <c:v>0.28799999999999998</c:v>
                </c:pt>
                <c:pt idx="11">
                  <c:v>0.28799999999999998</c:v>
                </c:pt>
                <c:pt idx="12">
                  <c:v>0.28799999999999998</c:v>
                </c:pt>
                <c:pt idx="13">
                  <c:v>0.28799999999999998</c:v>
                </c:pt>
                <c:pt idx="14">
                  <c:v>0.28799999999999998</c:v>
                </c:pt>
                <c:pt idx="15">
                  <c:v>0.28799999999999998</c:v>
                </c:pt>
                <c:pt idx="16">
                  <c:v>0.28799999999999998</c:v>
                </c:pt>
                <c:pt idx="17">
                  <c:v>0.28799999999999998</c:v>
                </c:pt>
                <c:pt idx="18">
                  <c:v>0.28799999999999998</c:v>
                </c:pt>
                <c:pt idx="19">
                  <c:v>0.28799999999999998</c:v>
                </c:pt>
                <c:pt idx="20">
                  <c:v>0.28799999999999998</c:v>
                </c:pt>
                <c:pt idx="21">
                  <c:v>0.28799999999999998</c:v>
                </c:pt>
                <c:pt idx="22">
                  <c:v>0.28799999999999998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06592"/>
        <c:axId val="176208512"/>
      </c:lineChart>
      <c:catAx>
        <c:axId val="176206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200" b="1"/>
                  <a:t>Fishing Year (Nov - Sept)</a:t>
                </a:r>
              </a:p>
            </c:rich>
          </c:tx>
          <c:layout>
            <c:manualLayout>
              <c:xMode val="edge"/>
              <c:yMode val="edge"/>
              <c:x val="0.40280203346674687"/>
              <c:y val="0.91708958743438318"/>
            </c:manualLayout>
          </c:layout>
          <c:overlay val="0"/>
        </c:title>
        <c:majorTickMark val="out"/>
        <c:minorTickMark val="none"/>
        <c:tickLblPos val="nextTo"/>
        <c:crossAx val="176208512"/>
        <c:crosses val="autoZero"/>
        <c:auto val="1"/>
        <c:lblAlgn val="ctr"/>
        <c:lblOffset val="100"/>
        <c:noMultiLvlLbl val="0"/>
      </c:catAx>
      <c:valAx>
        <c:axId val="1762085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AU" sz="1200"/>
                  <a:t>Targeted CPUE (kg/24 hr</a:t>
                </a:r>
                <a:r>
                  <a:rPr lang="en-AU" sz="1200" baseline="0"/>
                  <a:t> pot-lift)</a:t>
                </a:r>
                <a:endParaRPr lang="en-AU" sz="1200"/>
              </a:p>
            </c:rich>
          </c:tx>
          <c:layout>
            <c:manualLayout>
              <c:xMode val="edge"/>
              <c:yMode val="edge"/>
              <c:x val="1.685097419694576E-2"/>
              <c:y val="0.134943489764629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6206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0.28252</cdr:x>
      <cdr:y>0.09766</cdr:y>
    </cdr:from>
    <cdr:to>
      <cdr:x>0.48194</cdr:x>
      <cdr:y>0.44922</cdr:y>
    </cdr:to>
    <cdr:grpSp>
      <cdr:nvGrpSpPr>
        <cdr:cNvPr id="7" name="Group 6"/>
        <cdr:cNvGrpSpPr/>
      </cdr:nvGrpSpPr>
      <cdr:grpSpPr>
        <a:xfrm xmlns:a="http://schemas.openxmlformats.org/drawingml/2006/main">
          <a:off x="1619251" y="381000"/>
          <a:ext cx="1142999" cy="1371600"/>
          <a:chOff x="1619251" y="381000"/>
          <a:chExt cx="1142999" cy="1371600"/>
        </a:xfrm>
      </cdr:grpSpPr>
      <cdr:sp macro="" textlink="">
        <cdr:nvSpPr>
          <cdr:cNvPr id="2" name="Text Box 2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>
            <a:off x="1847850" y="381000"/>
            <a:ext cx="914400" cy="41910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>
            <a:noFill/>
            <a:miter lim="800000"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>
            <a:noAutofit/>
          </a:bodyPr>
          <a:lstStyle xmlns:a="http://schemas.openxmlformats.org/drawingml/2006/main"/>
          <a:p xmlns:a="http://schemas.openxmlformats.org/drawingml/2006/main">
            <a:r>
              <a:rPr lang="en-AU" sz="1050"/>
              <a:t>Size limit introduced</a:t>
            </a:r>
          </a:p>
        </cdr:txBody>
      </cdr:sp>
      <cdr:cxnSp macro="">
        <cdr:nvCxnSpPr>
          <cdr:cNvPr id="3" name="Straight Arrow Connector 2"/>
          <cdr:cNvCxnSpPr/>
        </cdr:nvCxnSpPr>
        <cdr:spPr>
          <a:xfrm xmlns:a="http://schemas.openxmlformats.org/drawingml/2006/main" flipH="1">
            <a:off x="1619251" y="561975"/>
            <a:ext cx="285749" cy="1190625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solidFill>
              <a:schemeClr val="tx1"/>
            </a:solidFill>
            <a:tailEnd type="arrow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01C6-83C4-4D5E-A636-963ACBA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PIRSA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Schubert</cp:lastModifiedBy>
  <cp:revision>3</cp:revision>
  <cp:lastPrinted>2014-03-12T01:49:00Z</cp:lastPrinted>
  <dcterms:created xsi:type="dcterms:W3CDTF">2014-03-17T00:04:00Z</dcterms:created>
  <dcterms:modified xsi:type="dcterms:W3CDTF">2014-03-31T07:06:00Z</dcterms:modified>
</cp:coreProperties>
</file>