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33015" w14:textId="77777777" w:rsidR="00000000" w:rsidRPr="002B56F7" w:rsidRDefault="00057D8B">
      <w:pPr>
        <w:pStyle w:val="HEADINGB"/>
        <w:rPr>
          <w:rFonts w:ascii="Arial" w:hAnsi="Arial" w:cs="Arial"/>
          <w:color w:val="auto"/>
        </w:rPr>
      </w:pPr>
      <w:r w:rsidRPr="002B56F7">
        <w:rPr>
          <w:rFonts w:ascii="Arial" w:hAnsi="Arial" w:cs="Arial"/>
          <w:color w:val="auto"/>
        </w:rPr>
        <w:t>Fisheries Regulations 2019</w:t>
      </w:r>
    </w:p>
    <w:p w14:paraId="7F085637" w14:textId="77777777" w:rsidR="00000000" w:rsidRPr="002B56F7" w:rsidRDefault="00057D8B">
      <w:pPr>
        <w:pStyle w:val="HEADINGA"/>
        <w:rPr>
          <w:rFonts w:ascii="Arial" w:hAnsi="Arial" w:cs="Arial"/>
          <w:color w:val="auto"/>
        </w:rPr>
      </w:pPr>
      <w:r w:rsidRPr="002B56F7">
        <w:rPr>
          <w:rFonts w:ascii="Arial" w:hAnsi="Arial" w:cs="Arial"/>
          <w:color w:val="auto"/>
        </w:rPr>
        <w:t xml:space="preserve">Electronic reporting </w:t>
      </w:r>
    </w:p>
    <w:p w14:paraId="7DE06BD8" w14:textId="77777777" w:rsidR="00000000" w:rsidRPr="002B56F7" w:rsidRDefault="00057D8B">
      <w:pPr>
        <w:pStyle w:val="Introparagraph"/>
        <w:rPr>
          <w:rFonts w:ascii="Arial" w:hAnsi="Arial" w:cs="Arial"/>
          <w:color w:val="auto"/>
        </w:rPr>
      </w:pPr>
      <w:r w:rsidRPr="002B56F7">
        <w:rPr>
          <w:rFonts w:ascii="Arial" w:hAnsi="Arial" w:cs="Arial"/>
          <w:color w:val="auto"/>
        </w:rPr>
        <w:t>New fisheries regulations to transition commercial fishers to electronic reporting</w:t>
      </w:r>
    </w:p>
    <w:p w14:paraId="25964504" w14:textId="77777777" w:rsidR="00000000" w:rsidRPr="002B56F7" w:rsidRDefault="00057D8B">
      <w:pPr>
        <w:pStyle w:val="Bodycopy"/>
        <w:rPr>
          <w:rFonts w:ascii="Arial" w:hAnsi="Arial" w:cs="Arial"/>
          <w:color w:val="auto"/>
          <w:spacing w:val="0"/>
        </w:rPr>
      </w:pPr>
    </w:p>
    <w:p w14:paraId="10E2748F" w14:textId="77777777" w:rsidR="00000000" w:rsidRPr="002B56F7" w:rsidRDefault="00057D8B">
      <w:pPr>
        <w:pStyle w:val="HEADINGB"/>
        <w:rPr>
          <w:rFonts w:ascii="Arial" w:hAnsi="Arial" w:cs="Arial"/>
          <w:color w:val="auto"/>
        </w:rPr>
      </w:pPr>
      <w:r w:rsidRPr="002B56F7">
        <w:rPr>
          <w:rFonts w:ascii="Arial" w:hAnsi="Arial" w:cs="Arial"/>
          <w:color w:val="auto"/>
        </w:rPr>
        <w:t>What is changing?</w:t>
      </w:r>
    </w:p>
    <w:p w14:paraId="5A9E5E13" w14:textId="74E66B19" w:rsidR="00000000" w:rsidRPr="002B56F7" w:rsidRDefault="00057D8B">
      <w:pPr>
        <w:pStyle w:val="Bodycopy"/>
        <w:rPr>
          <w:rFonts w:ascii="Arial" w:hAnsi="Arial" w:cs="Arial"/>
          <w:color w:val="auto"/>
          <w:spacing w:val="0"/>
        </w:rPr>
      </w:pPr>
      <w:r w:rsidRPr="002B56F7">
        <w:rPr>
          <w:rFonts w:ascii="Arial" w:hAnsi="Arial" w:cs="Arial"/>
          <w:color w:val="auto"/>
          <w:spacing w:val="0"/>
        </w:rPr>
        <w:t xml:space="preserve">The new Fisheries Regulations 2019 will introduce </w:t>
      </w:r>
      <w:r w:rsidRPr="002B56F7">
        <w:rPr>
          <w:rFonts w:ascii="Arial" w:hAnsi="Arial" w:cs="Arial"/>
          <w:color w:val="auto"/>
          <w:spacing w:val="0"/>
        </w:rPr>
        <w:t>electronic catch reporting to replace paper logbooks in specified fisheries. The electronic reporting system, known as Vic-</w:t>
      </w:r>
      <w:proofErr w:type="spellStart"/>
      <w:r w:rsidRPr="002B56F7">
        <w:rPr>
          <w:rFonts w:ascii="Arial" w:hAnsi="Arial" w:cs="Arial"/>
          <w:color w:val="auto"/>
          <w:spacing w:val="0"/>
        </w:rPr>
        <w:t>eCatch</w:t>
      </w:r>
      <w:proofErr w:type="spellEnd"/>
      <w:r w:rsidRPr="002B56F7">
        <w:rPr>
          <w:rFonts w:ascii="Arial" w:hAnsi="Arial" w:cs="Arial"/>
          <w:color w:val="auto"/>
          <w:spacing w:val="0"/>
        </w:rPr>
        <w:t>, will be available to fishers as a smartphone and tablet app and will provide an end-to-end service for catch reporting, inclu</w:t>
      </w:r>
      <w:r w:rsidRPr="002B56F7">
        <w:rPr>
          <w:rFonts w:ascii="Arial" w:hAnsi="Arial" w:cs="Arial"/>
          <w:color w:val="auto"/>
          <w:spacing w:val="0"/>
        </w:rPr>
        <w:t xml:space="preserve">ding the creation and distribution of Catch Disposal Records. </w:t>
      </w:r>
    </w:p>
    <w:p w14:paraId="088BEDBA" w14:textId="77777777" w:rsidR="00000000" w:rsidRPr="002B56F7" w:rsidRDefault="00057D8B">
      <w:pPr>
        <w:pStyle w:val="Bodycopy"/>
        <w:rPr>
          <w:rFonts w:ascii="Arial" w:hAnsi="Arial" w:cs="Arial"/>
          <w:color w:val="auto"/>
          <w:spacing w:val="0"/>
        </w:rPr>
      </w:pPr>
      <w:r w:rsidRPr="002B56F7">
        <w:rPr>
          <w:rFonts w:ascii="Arial" w:hAnsi="Arial" w:cs="Arial"/>
          <w:color w:val="auto"/>
          <w:spacing w:val="0"/>
        </w:rPr>
        <w:t>Vic-</w:t>
      </w:r>
      <w:proofErr w:type="spellStart"/>
      <w:r w:rsidRPr="002B56F7">
        <w:rPr>
          <w:rFonts w:ascii="Arial" w:hAnsi="Arial" w:cs="Arial"/>
          <w:color w:val="auto"/>
          <w:spacing w:val="0"/>
        </w:rPr>
        <w:t>eCatch</w:t>
      </w:r>
      <w:proofErr w:type="spellEnd"/>
      <w:r w:rsidRPr="002B56F7">
        <w:rPr>
          <w:rFonts w:ascii="Arial" w:hAnsi="Arial" w:cs="Arial"/>
          <w:color w:val="auto"/>
          <w:spacing w:val="0"/>
        </w:rPr>
        <w:t xml:space="preserve"> significantly simplifies reporting; it’s quick and easy to use and allows much of the information to be automatically filled in based on a fisher’s pre-set preferences. It will remov</w:t>
      </w:r>
      <w:r w:rsidRPr="002B56F7">
        <w:rPr>
          <w:rFonts w:ascii="Arial" w:hAnsi="Arial" w:cs="Arial"/>
          <w:color w:val="auto"/>
          <w:spacing w:val="0"/>
        </w:rPr>
        <w:t xml:space="preserve">e the need to spend time filling out and mailing forms and it enables catch data to be immediately available to both the fisher and the VFA. </w:t>
      </w:r>
    </w:p>
    <w:p w14:paraId="7B2B9E7B" w14:textId="77777777" w:rsidR="00000000" w:rsidRPr="002B56F7" w:rsidRDefault="00057D8B">
      <w:pPr>
        <w:pStyle w:val="Bodycopy"/>
        <w:rPr>
          <w:rFonts w:ascii="Arial" w:hAnsi="Arial" w:cs="Arial"/>
          <w:color w:val="auto"/>
          <w:spacing w:val="0"/>
        </w:rPr>
      </w:pPr>
      <w:r w:rsidRPr="002B56F7">
        <w:rPr>
          <w:rFonts w:ascii="Arial" w:hAnsi="Arial" w:cs="Arial"/>
          <w:color w:val="auto"/>
          <w:spacing w:val="0"/>
        </w:rPr>
        <w:t>To further simplify the reporting process, abalone fishers and receivers will no longer be required to work with h</w:t>
      </w:r>
      <w:r w:rsidRPr="002B56F7">
        <w:rPr>
          <w:rFonts w:ascii="Arial" w:hAnsi="Arial" w:cs="Arial"/>
          <w:color w:val="auto"/>
          <w:spacing w:val="0"/>
        </w:rPr>
        <w:t>ardcopy ‘abalone dockets’ as they will soon be able to report abalone transfer information on Vic-</w:t>
      </w:r>
      <w:proofErr w:type="spellStart"/>
      <w:r w:rsidRPr="002B56F7">
        <w:rPr>
          <w:rFonts w:ascii="Arial" w:hAnsi="Arial" w:cs="Arial"/>
          <w:color w:val="auto"/>
          <w:spacing w:val="0"/>
        </w:rPr>
        <w:t>eCatch</w:t>
      </w:r>
      <w:proofErr w:type="spellEnd"/>
      <w:r w:rsidRPr="002B56F7">
        <w:rPr>
          <w:rFonts w:ascii="Arial" w:hAnsi="Arial" w:cs="Arial"/>
          <w:color w:val="auto"/>
          <w:spacing w:val="0"/>
        </w:rPr>
        <w:t>. Rock lobster fishers will be able to use Vic-</w:t>
      </w:r>
      <w:proofErr w:type="spellStart"/>
      <w:r w:rsidRPr="002B56F7">
        <w:rPr>
          <w:rFonts w:ascii="Arial" w:hAnsi="Arial" w:cs="Arial"/>
          <w:color w:val="auto"/>
          <w:spacing w:val="0"/>
        </w:rPr>
        <w:t>eCatch</w:t>
      </w:r>
      <w:proofErr w:type="spellEnd"/>
      <w:r w:rsidRPr="002B56F7">
        <w:rPr>
          <w:rFonts w:ascii="Arial" w:hAnsi="Arial" w:cs="Arial"/>
          <w:color w:val="auto"/>
          <w:spacing w:val="0"/>
        </w:rPr>
        <w:t xml:space="preserve"> to maintain electronic </w:t>
      </w:r>
      <w:proofErr w:type="spellStart"/>
      <w:r w:rsidRPr="002B56F7">
        <w:rPr>
          <w:rFonts w:ascii="Arial" w:hAnsi="Arial" w:cs="Arial"/>
          <w:color w:val="auto"/>
          <w:spacing w:val="0"/>
        </w:rPr>
        <w:t>coff</w:t>
      </w:r>
      <w:proofErr w:type="spellEnd"/>
      <w:r w:rsidRPr="002B56F7">
        <w:rPr>
          <w:rFonts w:ascii="Arial" w:hAnsi="Arial" w:cs="Arial"/>
          <w:color w:val="auto"/>
          <w:spacing w:val="0"/>
        </w:rPr>
        <w:t xml:space="preserve"> and wet-well registers, which is a first for Victoria.</w:t>
      </w:r>
    </w:p>
    <w:p w14:paraId="536BD170" w14:textId="46A7A75A" w:rsidR="00000000" w:rsidRPr="002B56F7" w:rsidRDefault="00057D8B">
      <w:pPr>
        <w:pStyle w:val="Bodycopy"/>
        <w:rPr>
          <w:rFonts w:ascii="Arial" w:hAnsi="Arial" w:cs="Arial"/>
          <w:color w:val="auto"/>
          <w:spacing w:val="0"/>
        </w:rPr>
      </w:pPr>
      <w:r w:rsidRPr="002B56F7">
        <w:rPr>
          <w:rFonts w:ascii="Arial" w:hAnsi="Arial" w:cs="Arial"/>
          <w:color w:val="auto"/>
          <w:spacing w:val="0"/>
        </w:rPr>
        <w:t>If the Vic-</w:t>
      </w:r>
      <w:proofErr w:type="spellStart"/>
      <w:r w:rsidRPr="002B56F7">
        <w:rPr>
          <w:rFonts w:ascii="Arial" w:hAnsi="Arial" w:cs="Arial"/>
          <w:color w:val="auto"/>
          <w:spacing w:val="0"/>
        </w:rPr>
        <w:t>eCat</w:t>
      </w:r>
      <w:r w:rsidRPr="002B56F7">
        <w:rPr>
          <w:rFonts w:ascii="Arial" w:hAnsi="Arial" w:cs="Arial"/>
          <w:color w:val="auto"/>
          <w:spacing w:val="0"/>
        </w:rPr>
        <w:t>ch</w:t>
      </w:r>
      <w:proofErr w:type="spellEnd"/>
      <w:r w:rsidRPr="002B56F7">
        <w:rPr>
          <w:rFonts w:ascii="Arial" w:hAnsi="Arial" w:cs="Arial"/>
          <w:color w:val="auto"/>
          <w:spacing w:val="0"/>
        </w:rPr>
        <w:t xml:space="preserve"> system is ever unavailable on a given day, the VFA will ensure that a manual reporting process </w:t>
      </w:r>
      <w:r w:rsidRPr="002B56F7">
        <w:rPr>
          <w:rFonts w:ascii="Arial" w:hAnsi="Arial" w:cs="Arial"/>
          <w:color w:val="auto"/>
          <w:spacing w:val="0"/>
        </w:rPr>
        <w:t>is available via a phone call.</w:t>
      </w:r>
    </w:p>
    <w:p w14:paraId="6A4EA029" w14:textId="28CBF88B" w:rsidR="00000000" w:rsidRPr="002B56F7" w:rsidRDefault="00057D8B">
      <w:pPr>
        <w:pStyle w:val="HEADINGB"/>
        <w:rPr>
          <w:rFonts w:ascii="Arial" w:hAnsi="Arial" w:cs="Arial"/>
          <w:color w:val="auto"/>
        </w:rPr>
      </w:pPr>
      <w:r w:rsidRPr="002B56F7">
        <w:rPr>
          <w:rFonts w:ascii="Arial" w:hAnsi="Arial" w:cs="Arial"/>
          <w:color w:val="auto"/>
        </w:rPr>
        <w:t xml:space="preserve">Which licence classes will be required </w:t>
      </w:r>
      <w:r w:rsidRPr="002B56F7">
        <w:rPr>
          <w:rFonts w:ascii="Arial" w:hAnsi="Arial" w:cs="Arial"/>
          <w:color w:val="auto"/>
        </w:rPr>
        <w:t>to report electronically?</w:t>
      </w:r>
    </w:p>
    <w:p w14:paraId="65632301" w14:textId="77777777" w:rsidR="00000000" w:rsidRPr="002B56F7" w:rsidRDefault="00057D8B">
      <w:pPr>
        <w:pStyle w:val="Bodycopy"/>
        <w:rPr>
          <w:rFonts w:ascii="Arial" w:hAnsi="Arial" w:cs="Arial"/>
          <w:color w:val="auto"/>
          <w:spacing w:val="0"/>
        </w:rPr>
      </w:pPr>
      <w:r w:rsidRPr="002B56F7">
        <w:rPr>
          <w:rFonts w:ascii="Arial" w:hAnsi="Arial" w:cs="Arial"/>
          <w:color w:val="auto"/>
          <w:spacing w:val="0"/>
        </w:rPr>
        <w:t>The specified licence classes include the abalone, rock lobs</w:t>
      </w:r>
      <w:r w:rsidRPr="002B56F7">
        <w:rPr>
          <w:rFonts w:ascii="Arial" w:hAnsi="Arial" w:cs="Arial"/>
          <w:color w:val="auto"/>
          <w:spacing w:val="0"/>
        </w:rPr>
        <w:t>ter and giant crab fisheries, in addition to the Scallop Dive Fishery and Sea Urchin Fishery, which are already reporting electronically. The latter two fisheries will be transitioned across to Vic-</w:t>
      </w:r>
      <w:proofErr w:type="spellStart"/>
      <w:r w:rsidRPr="002B56F7">
        <w:rPr>
          <w:rFonts w:ascii="Arial" w:hAnsi="Arial" w:cs="Arial"/>
          <w:color w:val="auto"/>
          <w:spacing w:val="0"/>
        </w:rPr>
        <w:t>eCatch</w:t>
      </w:r>
      <w:proofErr w:type="spellEnd"/>
      <w:r w:rsidRPr="002B56F7">
        <w:rPr>
          <w:rFonts w:ascii="Arial" w:hAnsi="Arial" w:cs="Arial"/>
          <w:color w:val="auto"/>
          <w:spacing w:val="0"/>
        </w:rPr>
        <w:t xml:space="preserve"> in the future. For all other fisheries, the existin</w:t>
      </w:r>
      <w:r w:rsidRPr="002B56F7">
        <w:rPr>
          <w:rFonts w:ascii="Arial" w:hAnsi="Arial" w:cs="Arial"/>
          <w:color w:val="auto"/>
          <w:spacing w:val="0"/>
        </w:rPr>
        <w:t>g arrangements will remain unchanged and fishers will continue to report catch in logbooks for the time being. It should be noted that the VFA intends to transition all commercial fisheries to Vic-</w:t>
      </w:r>
      <w:proofErr w:type="spellStart"/>
      <w:r w:rsidRPr="002B56F7">
        <w:rPr>
          <w:rFonts w:ascii="Arial" w:hAnsi="Arial" w:cs="Arial"/>
          <w:color w:val="auto"/>
          <w:spacing w:val="0"/>
        </w:rPr>
        <w:t>eCatch</w:t>
      </w:r>
      <w:proofErr w:type="spellEnd"/>
      <w:r w:rsidRPr="002B56F7">
        <w:rPr>
          <w:rFonts w:ascii="Arial" w:hAnsi="Arial" w:cs="Arial"/>
          <w:color w:val="auto"/>
          <w:spacing w:val="0"/>
        </w:rPr>
        <w:t xml:space="preserve"> over time, and that this will be done in consultatio</w:t>
      </w:r>
      <w:r w:rsidRPr="002B56F7">
        <w:rPr>
          <w:rFonts w:ascii="Arial" w:hAnsi="Arial" w:cs="Arial"/>
          <w:color w:val="auto"/>
          <w:spacing w:val="0"/>
        </w:rPr>
        <w:t>n with industry.</w:t>
      </w:r>
    </w:p>
    <w:p w14:paraId="2742BC99" w14:textId="77777777" w:rsidR="00000000" w:rsidRPr="002B56F7" w:rsidRDefault="00057D8B">
      <w:pPr>
        <w:pStyle w:val="HEADINGB"/>
        <w:rPr>
          <w:rFonts w:ascii="Arial" w:hAnsi="Arial" w:cs="Arial"/>
          <w:color w:val="auto"/>
        </w:rPr>
      </w:pPr>
      <w:r w:rsidRPr="002B56F7">
        <w:rPr>
          <w:rFonts w:ascii="Arial" w:hAnsi="Arial" w:cs="Arial"/>
          <w:color w:val="auto"/>
        </w:rPr>
        <w:t>When will the change to electronic reporting take place?</w:t>
      </w:r>
    </w:p>
    <w:p w14:paraId="464A0E40" w14:textId="77777777" w:rsidR="00000000" w:rsidRPr="002B56F7" w:rsidRDefault="00057D8B">
      <w:pPr>
        <w:pStyle w:val="Bodycopy"/>
        <w:rPr>
          <w:rFonts w:ascii="Arial" w:hAnsi="Arial" w:cs="Arial"/>
          <w:color w:val="auto"/>
          <w:spacing w:val="0"/>
        </w:rPr>
      </w:pPr>
      <w:r w:rsidRPr="002B56F7">
        <w:rPr>
          <w:rFonts w:ascii="Arial" w:hAnsi="Arial" w:cs="Arial"/>
          <w:color w:val="auto"/>
          <w:spacing w:val="0"/>
        </w:rPr>
        <w:t>Dates for the commencement of electronic reporting are detailed in the table below.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6"/>
        <w:gridCol w:w="5215"/>
      </w:tblGrid>
      <w:tr w:rsidR="00000000" w14:paraId="433E5EB8" w14:textId="77777777" w:rsidTr="002B56F7">
        <w:tblPrEx>
          <w:tblCellMar>
            <w:top w:w="0" w:type="dxa"/>
            <w:left w:w="0" w:type="dxa"/>
            <w:bottom w:w="0" w:type="dxa"/>
            <w:right w:w="0" w:type="dxa"/>
          </w:tblCellMar>
        </w:tblPrEx>
        <w:trPr>
          <w:trHeight w:val="453"/>
        </w:trPr>
        <w:tc>
          <w:tcPr>
            <w:tcW w:w="5216" w:type="dxa"/>
            <w:shd w:val="clear" w:color="auto" w:fill="auto"/>
            <w:tcMar>
              <w:top w:w="113" w:type="dxa"/>
              <w:left w:w="113" w:type="dxa"/>
              <w:bottom w:w="113" w:type="dxa"/>
              <w:right w:w="113" w:type="dxa"/>
            </w:tcMar>
          </w:tcPr>
          <w:p w14:paraId="221190D5" w14:textId="77777777" w:rsidR="00000000" w:rsidRDefault="00057D8B">
            <w:pPr>
              <w:pStyle w:val="HeadingC"/>
            </w:pPr>
            <w:r w:rsidRPr="002B56F7">
              <w:rPr>
                <w:rFonts w:ascii="Arial" w:hAnsi="Arial" w:cs="Arial"/>
                <w:color w:val="auto"/>
              </w:rPr>
              <w:t>Commercial Fishery Access Licence class</w:t>
            </w:r>
          </w:p>
        </w:tc>
        <w:tc>
          <w:tcPr>
            <w:tcW w:w="5215" w:type="dxa"/>
            <w:shd w:val="clear" w:color="auto" w:fill="auto"/>
            <w:tcMar>
              <w:top w:w="113" w:type="dxa"/>
              <w:left w:w="113" w:type="dxa"/>
              <w:bottom w:w="113" w:type="dxa"/>
              <w:right w:w="113" w:type="dxa"/>
            </w:tcMar>
          </w:tcPr>
          <w:p w14:paraId="16EDFE38" w14:textId="77777777" w:rsidR="00000000" w:rsidRDefault="00057D8B">
            <w:pPr>
              <w:pStyle w:val="HeadingC"/>
            </w:pPr>
            <w:r w:rsidRPr="002B56F7">
              <w:rPr>
                <w:rFonts w:ascii="Arial" w:hAnsi="Arial" w:cs="Arial"/>
                <w:color w:val="auto"/>
              </w:rPr>
              <w:t>Expected commencement*</w:t>
            </w:r>
          </w:p>
        </w:tc>
      </w:tr>
      <w:tr w:rsidR="00000000" w14:paraId="40C87D92" w14:textId="77777777" w:rsidTr="002B56F7">
        <w:tblPrEx>
          <w:tblCellMar>
            <w:top w:w="0" w:type="dxa"/>
            <w:left w:w="0" w:type="dxa"/>
            <w:bottom w:w="0" w:type="dxa"/>
            <w:right w:w="0" w:type="dxa"/>
          </w:tblCellMar>
        </w:tblPrEx>
        <w:trPr>
          <w:trHeight w:val="453"/>
        </w:trPr>
        <w:tc>
          <w:tcPr>
            <w:tcW w:w="5216" w:type="dxa"/>
            <w:shd w:val="clear" w:color="auto" w:fill="auto"/>
            <w:tcMar>
              <w:top w:w="113" w:type="dxa"/>
              <w:left w:w="113" w:type="dxa"/>
              <w:bottom w:w="113" w:type="dxa"/>
              <w:right w:w="113" w:type="dxa"/>
            </w:tcMar>
          </w:tcPr>
          <w:p w14:paraId="4AC49169" w14:textId="77777777" w:rsidR="00000000" w:rsidRDefault="00057D8B">
            <w:pPr>
              <w:pStyle w:val="Bodycopy"/>
            </w:pPr>
            <w:r w:rsidRPr="002B56F7">
              <w:rPr>
                <w:rFonts w:ascii="Arial" w:hAnsi="Arial" w:cs="Arial"/>
                <w:color w:val="auto"/>
                <w:spacing w:val="0"/>
              </w:rPr>
              <w:t>Abalone</w:t>
            </w:r>
          </w:p>
        </w:tc>
        <w:tc>
          <w:tcPr>
            <w:tcW w:w="5215" w:type="dxa"/>
            <w:shd w:val="clear" w:color="auto" w:fill="auto"/>
            <w:tcMar>
              <w:top w:w="113" w:type="dxa"/>
              <w:left w:w="113" w:type="dxa"/>
              <w:bottom w:w="113" w:type="dxa"/>
              <w:right w:w="113" w:type="dxa"/>
            </w:tcMar>
          </w:tcPr>
          <w:p w14:paraId="720B3771" w14:textId="77777777" w:rsidR="00000000" w:rsidRPr="002B56F7" w:rsidRDefault="00057D8B">
            <w:pPr>
              <w:pStyle w:val="Bodycopy"/>
              <w:rPr>
                <w:rFonts w:ascii="Arial" w:hAnsi="Arial" w:cs="Arial"/>
                <w:color w:val="auto"/>
                <w:spacing w:val="0"/>
              </w:rPr>
            </w:pPr>
            <w:r w:rsidRPr="002B56F7">
              <w:rPr>
                <w:rFonts w:ascii="Arial" w:hAnsi="Arial" w:cs="Arial"/>
                <w:color w:val="auto"/>
                <w:spacing w:val="0"/>
              </w:rPr>
              <w:t xml:space="preserve">1 April 2020 (central and </w:t>
            </w:r>
            <w:r w:rsidRPr="002B56F7">
              <w:rPr>
                <w:rFonts w:ascii="Arial" w:hAnsi="Arial" w:cs="Arial"/>
                <w:color w:val="auto"/>
                <w:spacing w:val="0"/>
              </w:rPr>
              <w:t>western zones)</w:t>
            </w:r>
          </w:p>
          <w:p w14:paraId="335AE323" w14:textId="77777777" w:rsidR="00000000" w:rsidRDefault="00057D8B">
            <w:pPr>
              <w:pStyle w:val="Bodycopy"/>
            </w:pPr>
            <w:r w:rsidRPr="002B56F7">
              <w:rPr>
                <w:rFonts w:ascii="Arial" w:hAnsi="Arial" w:cs="Arial"/>
                <w:color w:val="auto"/>
                <w:spacing w:val="0"/>
              </w:rPr>
              <w:t>1 April 2021 (eastern zone)</w:t>
            </w:r>
          </w:p>
        </w:tc>
      </w:tr>
      <w:tr w:rsidR="00000000" w14:paraId="2CBDC8B6" w14:textId="77777777" w:rsidTr="002B56F7">
        <w:tblPrEx>
          <w:tblCellMar>
            <w:top w:w="0" w:type="dxa"/>
            <w:left w:w="0" w:type="dxa"/>
            <w:bottom w:w="0" w:type="dxa"/>
            <w:right w:w="0" w:type="dxa"/>
          </w:tblCellMar>
        </w:tblPrEx>
        <w:trPr>
          <w:trHeight w:val="453"/>
        </w:trPr>
        <w:tc>
          <w:tcPr>
            <w:tcW w:w="5216" w:type="dxa"/>
            <w:shd w:val="clear" w:color="auto" w:fill="auto"/>
            <w:tcMar>
              <w:top w:w="113" w:type="dxa"/>
              <w:left w:w="113" w:type="dxa"/>
              <w:bottom w:w="113" w:type="dxa"/>
              <w:right w:w="113" w:type="dxa"/>
            </w:tcMar>
          </w:tcPr>
          <w:p w14:paraId="66862B4B" w14:textId="77777777" w:rsidR="00000000" w:rsidRDefault="00057D8B">
            <w:pPr>
              <w:pStyle w:val="Bodycopy"/>
            </w:pPr>
            <w:r w:rsidRPr="002B56F7">
              <w:rPr>
                <w:rFonts w:ascii="Arial" w:hAnsi="Arial" w:cs="Arial"/>
                <w:color w:val="auto"/>
                <w:spacing w:val="0"/>
              </w:rPr>
              <w:t>Giant crab</w:t>
            </w:r>
          </w:p>
        </w:tc>
        <w:tc>
          <w:tcPr>
            <w:tcW w:w="5215" w:type="dxa"/>
            <w:shd w:val="clear" w:color="auto" w:fill="auto"/>
            <w:tcMar>
              <w:top w:w="113" w:type="dxa"/>
              <w:left w:w="113" w:type="dxa"/>
              <w:bottom w:w="113" w:type="dxa"/>
              <w:right w:w="113" w:type="dxa"/>
            </w:tcMar>
          </w:tcPr>
          <w:p w14:paraId="4437D39B" w14:textId="77777777" w:rsidR="00000000" w:rsidRDefault="00057D8B">
            <w:pPr>
              <w:pStyle w:val="Bodycopy"/>
            </w:pPr>
            <w:r w:rsidRPr="002B56F7">
              <w:rPr>
                <w:rFonts w:ascii="Arial" w:hAnsi="Arial" w:cs="Arial"/>
                <w:color w:val="auto"/>
                <w:spacing w:val="0"/>
              </w:rPr>
              <w:t>1 July 2020</w:t>
            </w:r>
          </w:p>
        </w:tc>
      </w:tr>
      <w:tr w:rsidR="00000000" w14:paraId="4D5E480B" w14:textId="77777777" w:rsidTr="002B56F7">
        <w:tblPrEx>
          <w:tblCellMar>
            <w:top w:w="0" w:type="dxa"/>
            <w:left w:w="0" w:type="dxa"/>
            <w:bottom w:w="0" w:type="dxa"/>
            <w:right w:w="0" w:type="dxa"/>
          </w:tblCellMar>
        </w:tblPrEx>
        <w:trPr>
          <w:trHeight w:val="453"/>
        </w:trPr>
        <w:tc>
          <w:tcPr>
            <w:tcW w:w="5216" w:type="dxa"/>
            <w:shd w:val="clear" w:color="auto" w:fill="auto"/>
            <w:tcMar>
              <w:top w:w="113" w:type="dxa"/>
              <w:left w:w="113" w:type="dxa"/>
              <w:bottom w:w="113" w:type="dxa"/>
              <w:right w:w="113" w:type="dxa"/>
            </w:tcMar>
          </w:tcPr>
          <w:p w14:paraId="07C9BB13" w14:textId="77777777" w:rsidR="00000000" w:rsidRDefault="00057D8B">
            <w:pPr>
              <w:pStyle w:val="Bodycopy"/>
            </w:pPr>
            <w:r w:rsidRPr="002B56F7">
              <w:rPr>
                <w:rFonts w:ascii="Arial" w:hAnsi="Arial" w:cs="Arial"/>
                <w:color w:val="auto"/>
                <w:spacing w:val="0"/>
              </w:rPr>
              <w:t>Rock lobster</w:t>
            </w:r>
          </w:p>
        </w:tc>
        <w:tc>
          <w:tcPr>
            <w:tcW w:w="5215" w:type="dxa"/>
            <w:shd w:val="clear" w:color="auto" w:fill="auto"/>
            <w:tcMar>
              <w:top w:w="113" w:type="dxa"/>
              <w:left w:w="113" w:type="dxa"/>
              <w:bottom w:w="113" w:type="dxa"/>
              <w:right w:w="113" w:type="dxa"/>
            </w:tcMar>
          </w:tcPr>
          <w:p w14:paraId="611A69EB" w14:textId="77777777" w:rsidR="00000000" w:rsidRDefault="00057D8B">
            <w:pPr>
              <w:pStyle w:val="Bodycopy"/>
            </w:pPr>
            <w:r w:rsidRPr="002B56F7">
              <w:rPr>
                <w:rFonts w:ascii="Arial" w:hAnsi="Arial" w:cs="Arial"/>
                <w:color w:val="auto"/>
                <w:spacing w:val="0"/>
              </w:rPr>
              <w:t>1 July 2020</w:t>
            </w:r>
          </w:p>
        </w:tc>
      </w:tr>
      <w:tr w:rsidR="00000000" w14:paraId="3AD30AEA" w14:textId="77777777" w:rsidTr="002B56F7">
        <w:tblPrEx>
          <w:tblCellMar>
            <w:top w:w="0" w:type="dxa"/>
            <w:left w:w="0" w:type="dxa"/>
            <w:bottom w:w="0" w:type="dxa"/>
            <w:right w:w="0" w:type="dxa"/>
          </w:tblCellMar>
        </w:tblPrEx>
        <w:trPr>
          <w:trHeight w:val="453"/>
        </w:trPr>
        <w:tc>
          <w:tcPr>
            <w:tcW w:w="5216" w:type="dxa"/>
            <w:shd w:val="clear" w:color="auto" w:fill="auto"/>
            <w:tcMar>
              <w:top w:w="113" w:type="dxa"/>
              <w:left w:w="113" w:type="dxa"/>
              <w:bottom w:w="113" w:type="dxa"/>
              <w:right w:w="113" w:type="dxa"/>
            </w:tcMar>
          </w:tcPr>
          <w:p w14:paraId="34FEA883" w14:textId="77777777" w:rsidR="00000000" w:rsidRDefault="00057D8B">
            <w:pPr>
              <w:pStyle w:val="Bodycopy"/>
            </w:pPr>
            <w:r w:rsidRPr="002B56F7">
              <w:rPr>
                <w:rFonts w:ascii="Arial" w:hAnsi="Arial" w:cs="Arial"/>
                <w:color w:val="auto"/>
                <w:spacing w:val="0"/>
              </w:rPr>
              <w:t>Scallop dive (already reporting electronically)</w:t>
            </w:r>
          </w:p>
        </w:tc>
        <w:tc>
          <w:tcPr>
            <w:tcW w:w="5215" w:type="dxa"/>
            <w:shd w:val="clear" w:color="auto" w:fill="auto"/>
            <w:tcMar>
              <w:top w:w="113" w:type="dxa"/>
              <w:left w:w="113" w:type="dxa"/>
              <w:bottom w:w="113" w:type="dxa"/>
              <w:right w:w="113" w:type="dxa"/>
            </w:tcMar>
          </w:tcPr>
          <w:p w14:paraId="28936D40" w14:textId="77777777" w:rsidR="00000000" w:rsidRDefault="00057D8B">
            <w:pPr>
              <w:pStyle w:val="Bodycopy"/>
            </w:pPr>
            <w:r w:rsidRPr="002B56F7">
              <w:rPr>
                <w:rFonts w:ascii="Arial" w:hAnsi="Arial" w:cs="Arial"/>
                <w:color w:val="auto"/>
                <w:spacing w:val="0"/>
              </w:rPr>
              <w:t>1 February 2020</w:t>
            </w:r>
          </w:p>
        </w:tc>
      </w:tr>
      <w:tr w:rsidR="00000000" w14:paraId="656AD847" w14:textId="77777777" w:rsidTr="002B56F7">
        <w:tblPrEx>
          <w:tblCellMar>
            <w:top w:w="0" w:type="dxa"/>
            <w:left w:w="0" w:type="dxa"/>
            <w:bottom w:w="0" w:type="dxa"/>
            <w:right w:w="0" w:type="dxa"/>
          </w:tblCellMar>
        </w:tblPrEx>
        <w:trPr>
          <w:trHeight w:val="453"/>
        </w:trPr>
        <w:tc>
          <w:tcPr>
            <w:tcW w:w="5216" w:type="dxa"/>
            <w:shd w:val="clear" w:color="auto" w:fill="auto"/>
            <w:tcMar>
              <w:top w:w="113" w:type="dxa"/>
              <w:left w:w="113" w:type="dxa"/>
              <w:bottom w:w="113" w:type="dxa"/>
              <w:right w:w="113" w:type="dxa"/>
            </w:tcMar>
          </w:tcPr>
          <w:p w14:paraId="4D56849B" w14:textId="77777777" w:rsidR="00000000" w:rsidRDefault="00057D8B">
            <w:pPr>
              <w:pStyle w:val="Bodycopy"/>
            </w:pPr>
            <w:r w:rsidRPr="002B56F7">
              <w:rPr>
                <w:rFonts w:ascii="Arial" w:hAnsi="Arial" w:cs="Arial"/>
                <w:color w:val="auto"/>
                <w:spacing w:val="0"/>
              </w:rPr>
              <w:t>Sea urchin (already reporting electronically)</w:t>
            </w:r>
          </w:p>
        </w:tc>
        <w:tc>
          <w:tcPr>
            <w:tcW w:w="5215" w:type="dxa"/>
            <w:shd w:val="clear" w:color="auto" w:fill="auto"/>
            <w:tcMar>
              <w:top w:w="113" w:type="dxa"/>
              <w:left w:w="113" w:type="dxa"/>
              <w:bottom w:w="113" w:type="dxa"/>
              <w:right w:w="113" w:type="dxa"/>
            </w:tcMar>
          </w:tcPr>
          <w:p w14:paraId="0B2A00BC" w14:textId="77777777" w:rsidR="00000000" w:rsidRDefault="00057D8B">
            <w:pPr>
              <w:pStyle w:val="Bodycopy"/>
            </w:pPr>
            <w:r w:rsidRPr="002B56F7">
              <w:rPr>
                <w:rFonts w:ascii="Arial" w:hAnsi="Arial" w:cs="Arial"/>
                <w:color w:val="auto"/>
                <w:spacing w:val="0"/>
              </w:rPr>
              <w:t>1 February 2020</w:t>
            </w:r>
          </w:p>
        </w:tc>
      </w:tr>
    </w:tbl>
    <w:p w14:paraId="4EF80D89" w14:textId="77777777" w:rsidR="00000000" w:rsidRPr="002B56F7" w:rsidRDefault="00057D8B">
      <w:pPr>
        <w:pStyle w:val="Bodycopy"/>
        <w:rPr>
          <w:rFonts w:ascii="Arial" w:hAnsi="Arial" w:cs="Arial"/>
          <w:color w:val="auto"/>
          <w:spacing w:val="0"/>
        </w:rPr>
      </w:pPr>
    </w:p>
    <w:p w14:paraId="1D2C1045" w14:textId="77777777" w:rsidR="00000000" w:rsidRPr="002B56F7" w:rsidRDefault="00057D8B">
      <w:pPr>
        <w:pStyle w:val="note"/>
        <w:rPr>
          <w:rFonts w:ascii="Arial" w:hAnsi="Arial" w:cs="Arial"/>
          <w:color w:val="auto"/>
          <w:spacing w:val="0"/>
          <w:sz w:val="19"/>
          <w:szCs w:val="19"/>
        </w:rPr>
      </w:pPr>
      <w:r w:rsidRPr="002B56F7">
        <w:rPr>
          <w:rFonts w:ascii="Arial" w:hAnsi="Arial" w:cs="Arial"/>
          <w:color w:val="auto"/>
          <w:spacing w:val="0"/>
        </w:rPr>
        <w:t>*</w:t>
      </w:r>
      <w:r w:rsidRPr="002B56F7">
        <w:rPr>
          <w:rFonts w:ascii="Arial" w:hAnsi="Arial" w:cs="Arial"/>
          <w:color w:val="auto"/>
          <w:spacing w:val="0"/>
        </w:rPr>
        <w:tab/>
      </w:r>
      <w:r w:rsidRPr="002B56F7">
        <w:rPr>
          <w:rFonts w:ascii="Arial" w:hAnsi="Arial" w:cs="Arial"/>
          <w:color w:val="auto"/>
          <w:spacing w:val="0"/>
        </w:rPr>
        <w:t>The regulations are framed on the basis that electronic reporting will be required on 1 February 2020. However, the VFA will exempt all relevant licence classes from this requirement until the expected implementation date detailed above to help with the tr</w:t>
      </w:r>
      <w:r w:rsidRPr="002B56F7">
        <w:rPr>
          <w:rFonts w:ascii="Arial" w:hAnsi="Arial" w:cs="Arial"/>
          <w:color w:val="auto"/>
          <w:spacing w:val="0"/>
        </w:rPr>
        <w:t>ansition.</w:t>
      </w:r>
    </w:p>
    <w:p w14:paraId="3E78F631" w14:textId="77777777" w:rsidR="00000000" w:rsidRPr="002B56F7" w:rsidRDefault="00057D8B">
      <w:pPr>
        <w:pStyle w:val="HEADINGB"/>
        <w:rPr>
          <w:rFonts w:ascii="Arial" w:hAnsi="Arial" w:cs="Arial"/>
          <w:color w:val="auto"/>
        </w:rPr>
      </w:pPr>
      <w:r w:rsidRPr="002B56F7">
        <w:rPr>
          <w:rFonts w:ascii="Arial" w:hAnsi="Arial" w:cs="Arial"/>
          <w:color w:val="auto"/>
        </w:rPr>
        <w:t>How do I start electronic reporting?</w:t>
      </w:r>
    </w:p>
    <w:p w14:paraId="41898872" w14:textId="1C594390" w:rsidR="00000000" w:rsidRPr="002B56F7" w:rsidRDefault="00057D8B">
      <w:pPr>
        <w:pStyle w:val="Bodycopy"/>
        <w:rPr>
          <w:rFonts w:ascii="Arial" w:hAnsi="Arial" w:cs="Arial"/>
          <w:color w:val="auto"/>
          <w:spacing w:val="0"/>
        </w:rPr>
      </w:pPr>
      <w:r w:rsidRPr="002B56F7">
        <w:rPr>
          <w:rFonts w:ascii="Arial" w:hAnsi="Arial" w:cs="Arial"/>
          <w:color w:val="auto"/>
          <w:spacing w:val="0"/>
        </w:rPr>
        <w:t>The VFA is working hard to make sure the Vic-</w:t>
      </w:r>
      <w:proofErr w:type="spellStart"/>
      <w:r w:rsidRPr="002B56F7">
        <w:rPr>
          <w:rFonts w:ascii="Arial" w:hAnsi="Arial" w:cs="Arial"/>
          <w:color w:val="auto"/>
          <w:spacing w:val="0"/>
        </w:rPr>
        <w:t>eCatch</w:t>
      </w:r>
      <w:proofErr w:type="spellEnd"/>
      <w:r w:rsidRPr="002B56F7">
        <w:rPr>
          <w:rFonts w:ascii="Arial" w:hAnsi="Arial" w:cs="Arial"/>
          <w:color w:val="auto"/>
          <w:spacing w:val="0"/>
        </w:rPr>
        <w:t xml:space="preserve"> system is easy to use and that the transition to electronic reporting </w:t>
      </w:r>
      <w:r w:rsidRPr="002B56F7">
        <w:rPr>
          <w:rFonts w:ascii="Arial" w:hAnsi="Arial" w:cs="Arial"/>
          <w:color w:val="auto"/>
          <w:spacing w:val="0"/>
        </w:rPr>
        <w:t>for commercial fishers is smooth. The VFA will hold a series of information sessions o</w:t>
      </w:r>
      <w:r w:rsidRPr="002B56F7">
        <w:rPr>
          <w:rFonts w:ascii="Arial" w:hAnsi="Arial" w:cs="Arial"/>
          <w:color w:val="auto"/>
          <w:spacing w:val="0"/>
        </w:rPr>
        <w:t>n the development of Vic-</w:t>
      </w:r>
      <w:proofErr w:type="spellStart"/>
      <w:r w:rsidRPr="002B56F7">
        <w:rPr>
          <w:rFonts w:ascii="Arial" w:hAnsi="Arial" w:cs="Arial"/>
          <w:color w:val="auto"/>
          <w:spacing w:val="0"/>
        </w:rPr>
        <w:t>eCatch</w:t>
      </w:r>
      <w:proofErr w:type="spellEnd"/>
      <w:r w:rsidRPr="002B56F7">
        <w:rPr>
          <w:rFonts w:ascii="Arial" w:hAnsi="Arial" w:cs="Arial"/>
          <w:color w:val="auto"/>
          <w:spacing w:val="0"/>
        </w:rPr>
        <w:t xml:space="preserve"> </w:t>
      </w:r>
      <w:r w:rsidRPr="002B56F7">
        <w:rPr>
          <w:rFonts w:ascii="Arial" w:hAnsi="Arial" w:cs="Arial"/>
          <w:color w:val="auto"/>
          <w:spacing w:val="0"/>
        </w:rPr>
        <w:t xml:space="preserve">and will run training sessions for fishers throughout the state in the lead up to the commencement of the electronic reporting requirement. </w:t>
      </w:r>
    </w:p>
    <w:p w14:paraId="544464AA" w14:textId="77777777" w:rsidR="00000000" w:rsidRPr="002B56F7" w:rsidRDefault="00057D8B">
      <w:pPr>
        <w:pStyle w:val="Imprinttext"/>
        <w:rPr>
          <w:rFonts w:ascii="Arial" w:hAnsi="Arial" w:cs="Arial"/>
          <w:color w:val="auto"/>
        </w:rPr>
      </w:pPr>
      <w:r w:rsidRPr="002B56F7">
        <w:rPr>
          <w:rFonts w:ascii="Arial" w:hAnsi="Arial" w:cs="Arial"/>
          <w:color w:val="auto"/>
        </w:rPr>
        <w:t>Published by the Victorian Fisheries Authority (VFA), January 2020</w:t>
      </w:r>
    </w:p>
    <w:p w14:paraId="5ED6B322" w14:textId="77777777" w:rsidR="00000000" w:rsidRPr="002B56F7" w:rsidRDefault="00057D8B">
      <w:pPr>
        <w:pStyle w:val="Imprinttext"/>
        <w:rPr>
          <w:rFonts w:ascii="Arial" w:hAnsi="Arial" w:cs="Arial"/>
          <w:color w:val="auto"/>
        </w:rPr>
      </w:pPr>
      <w:r w:rsidRPr="002B56F7">
        <w:rPr>
          <w:rFonts w:ascii="Arial" w:hAnsi="Arial" w:cs="Arial"/>
          <w:color w:val="auto"/>
        </w:rPr>
        <w:lastRenderedPageBreak/>
        <w:t xml:space="preserve">© The State of </w:t>
      </w:r>
      <w:r w:rsidRPr="002B56F7">
        <w:rPr>
          <w:rFonts w:ascii="Arial" w:hAnsi="Arial" w:cs="Arial"/>
          <w:color w:val="auto"/>
        </w:rPr>
        <w:t>Victoria, VFA, Melbourne January 2020</w:t>
      </w:r>
    </w:p>
    <w:p w14:paraId="6DA31656" w14:textId="2781B2F2" w:rsidR="00000000" w:rsidRPr="002B56F7" w:rsidRDefault="00057D8B">
      <w:pPr>
        <w:pStyle w:val="Imprinttext"/>
        <w:rPr>
          <w:rFonts w:ascii="Arial" w:hAnsi="Arial" w:cs="Arial"/>
          <w:color w:val="auto"/>
        </w:rPr>
      </w:pPr>
      <w:r w:rsidRPr="002B56F7">
        <w:rPr>
          <w:rFonts w:ascii="Arial" w:hAnsi="Arial" w:cs="Arial"/>
          <w:color w:val="auto"/>
        </w:rPr>
        <w:t xml:space="preserve">This publication is copyright. No part may be reproduced by any process </w:t>
      </w:r>
      <w:r w:rsidRPr="002B56F7">
        <w:rPr>
          <w:rFonts w:ascii="Arial" w:hAnsi="Arial" w:cs="Arial"/>
          <w:color w:val="auto"/>
        </w:rPr>
        <w:t xml:space="preserve">except in accordance with the provisions of the </w:t>
      </w:r>
      <w:r w:rsidRPr="002B56F7">
        <w:rPr>
          <w:rStyle w:val="lightitalic"/>
          <w:rFonts w:ascii="Arial" w:hAnsi="Arial" w:cs="Arial"/>
          <w:color w:val="auto"/>
        </w:rPr>
        <w:t>Copyright Act 1968</w:t>
      </w:r>
      <w:r w:rsidRPr="002B56F7">
        <w:rPr>
          <w:rFonts w:ascii="Arial" w:hAnsi="Arial" w:cs="Arial"/>
          <w:color w:val="auto"/>
        </w:rPr>
        <w:t>.</w:t>
      </w:r>
    </w:p>
    <w:p w14:paraId="249CCC2B" w14:textId="77777777" w:rsidR="00000000" w:rsidRPr="002B56F7" w:rsidRDefault="00057D8B">
      <w:pPr>
        <w:pStyle w:val="Imprinttext"/>
        <w:rPr>
          <w:rFonts w:ascii="Arial" w:hAnsi="Arial" w:cs="Arial"/>
          <w:color w:val="auto"/>
        </w:rPr>
      </w:pPr>
      <w:r w:rsidRPr="002B56F7">
        <w:rPr>
          <w:rFonts w:ascii="Arial" w:hAnsi="Arial" w:cs="Arial"/>
          <w:color w:val="auto"/>
        </w:rPr>
        <w:t>Authorised by the Victorian Government, 1 Spring Street, Melbourne</w:t>
      </w:r>
    </w:p>
    <w:p w14:paraId="2E5148E4" w14:textId="360B3E71" w:rsidR="00000000" w:rsidRPr="002B56F7" w:rsidRDefault="00057D8B">
      <w:pPr>
        <w:pStyle w:val="Imprinttext"/>
        <w:rPr>
          <w:rFonts w:ascii="Arial" w:hAnsi="Arial" w:cs="Arial"/>
          <w:color w:val="auto"/>
        </w:rPr>
      </w:pPr>
      <w:r w:rsidRPr="002B56F7">
        <w:rPr>
          <w:rStyle w:val="heavy"/>
          <w:rFonts w:ascii="Arial" w:hAnsi="Arial" w:cs="Arial"/>
          <w:color w:val="auto"/>
        </w:rPr>
        <w:t>Disclaimer</w:t>
      </w:r>
      <w:r w:rsidR="002B56F7">
        <w:rPr>
          <w:rStyle w:val="heavy"/>
          <w:rFonts w:ascii="Arial" w:hAnsi="Arial" w:cs="Arial"/>
          <w:color w:val="auto"/>
        </w:rPr>
        <w:br/>
      </w:r>
      <w:r w:rsidRPr="002B56F7">
        <w:rPr>
          <w:rFonts w:ascii="Arial" w:hAnsi="Arial" w:cs="Arial"/>
          <w:color w:val="auto"/>
        </w:rPr>
        <w:t xml:space="preserve">This publication may be of assistance to you but the State of Victoria and its employees do not guarantee that the publication is without flaw of any kind or is wholly appropriate for your particular purposes and therefore disclaims all liability for any </w:t>
      </w:r>
      <w:r w:rsidRPr="002B56F7">
        <w:rPr>
          <w:rFonts w:ascii="Arial" w:hAnsi="Arial" w:cs="Arial"/>
          <w:color w:val="auto"/>
        </w:rPr>
        <w:t>error, loss or other consequence which may arise from you relying on any information in this publication.</w:t>
      </w:r>
    </w:p>
    <w:p w14:paraId="7F66204D" w14:textId="5D617CF9" w:rsidR="00000000" w:rsidRPr="002B56F7" w:rsidRDefault="00057D8B">
      <w:pPr>
        <w:pStyle w:val="Imprinttext"/>
        <w:rPr>
          <w:rFonts w:ascii="Arial" w:hAnsi="Arial" w:cs="Arial"/>
          <w:color w:val="auto"/>
        </w:rPr>
      </w:pPr>
      <w:r w:rsidRPr="002B56F7">
        <w:rPr>
          <w:rStyle w:val="heavy"/>
          <w:rFonts w:ascii="Arial" w:hAnsi="Arial" w:cs="Arial"/>
          <w:color w:val="auto"/>
        </w:rPr>
        <w:t>Accessibility</w:t>
      </w:r>
      <w:r w:rsidR="002B56F7">
        <w:rPr>
          <w:rStyle w:val="heavy"/>
          <w:rFonts w:ascii="Arial" w:hAnsi="Arial" w:cs="Arial"/>
          <w:color w:val="auto"/>
        </w:rPr>
        <w:br/>
      </w:r>
      <w:r w:rsidRPr="002B56F7">
        <w:rPr>
          <w:rFonts w:ascii="Arial" w:hAnsi="Arial" w:cs="Arial"/>
          <w:color w:val="auto"/>
        </w:rPr>
        <w:t xml:space="preserve">If you would like to receive this publication in an accessible format, </w:t>
      </w:r>
      <w:r w:rsidRPr="002B56F7">
        <w:rPr>
          <w:rFonts w:ascii="Arial" w:hAnsi="Arial" w:cs="Arial"/>
          <w:color w:val="auto"/>
        </w:rPr>
        <w:t>such as large print or audio, please telephone 136 186,</w:t>
      </w:r>
      <w:r w:rsidR="002B56F7">
        <w:rPr>
          <w:rFonts w:ascii="Arial" w:hAnsi="Arial" w:cs="Arial"/>
          <w:color w:val="auto"/>
        </w:rPr>
        <w:t xml:space="preserve"> </w:t>
      </w:r>
      <w:bookmarkStart w:id="0" w:name="_GoBack"/>
      <w:bookmarkEnd w:id="0"/>
      <w:r w:rsidRPr="002B56F7">
        <w:rPr>
          <w:rFonts w:ascii="Arial" w:hAnsi="Arial" w:cs="Arial"/>
          <w:color w:val="auto"/>
        </w:rPr>
        <w:t xml:space="preserve">or email </w:t>
      </w:r>
      <w:r w:rsidRPr="002B56F7">
        <w:rPr>
          <w:rFonts w:ascii="Arial" w:hAnsi="Arial" w:cs="Arial"/>
          <w:color w:val="auto"/>
        </w:rPr>
        <w:t>customer.service@ecodev.vic.gov.au</w:t>
      </w:r>
    </w:p>
    <w:p w14:paraId="0BF22323" w14:textId="77777777" w:rsidR="00000000" w:rsidRPr="002B56F7" w:rsidRDefault="00057D8B">
      <w:pPr>
        <w:pStyle w:val="Imprinttext"/>
        <w:rPr>
          <w:rFonts w:ascii="Arial" w:hAnsi="Arial" w:cs="Arial"/>
          <w:color w:val="auto"/>
        </w:rPr>
      </w:pPr>
      <w:r w:rsidRPr="002B56F7">
        <w:rPr>
          <w:rFonts w:ascii="Arial" w:hAnsi="Arial" w:cs="Arial"/>
          <w:color w:val="auto"/>
        </w:rPr>
        <w:t>Deaf, hearing impaired or speech impaired? Call us via the National Relay Service on 133 677 or visit www.relayservice.com.au</w:t>
      </w:r>
    </w:p>
    <w:p w14:paraId="633A9E40" w14:textId="77777777" w:rsidR="00057D8B" w:rsidRPr="002B56F7" w:rsidRDefault="00057D8B">
      <w:pPr>
        <w:pStyle w:val="Imprinttext"/>
        <w:rPr>
          <w:rFonts w:ascii="Arial" w:hAnsi="Arial" w:cs="Arial"/>
          <w:color w:val="auto"/>
        </w:rPr>
      </w:pPr>
      <w:r w:rsidRPr="002B56F7">
        <w:rPr>
          <w:rFonts w:ascii="Arial" w:hAnsi="Arial" w:cs="Arial"/>
          <w:color w:val="auto"/>
        </w:rPr>
        <w:t>This document is also available on the internet at www.vfa.vic.gov.au</w:t>
      </w:r>
    </w:p>
    <w:sectPr w:rsidR="00057D8B" w:rsidRPr="002B56F7" w:rsidSect="002B56F7">
      <w:pgSz w:w="11906" w:h="16838"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venir LT Std 55 Roman">
    <w:panose1 w:val="020B0503020203020204"/>
    <w:charset w:val="00"/>
    <w:family w:val="swiss"/>
    <w:notTrueType/>
    <w:pitch w:val="variable"/>
    <w:sig w:usb0="00000003" w:usb1="00000000" w:usb2="00000000" w:usb3="00000000" w:csb0="00000001" w:csb1="00000000"/>
  </w:font>
  <w:font w:name="Avenir LT Std 65 Medium">
    <w:panose1 w:val="020B0603020203020204"/>
    <w:charset w:val="00"/>
    <w:family w:val="swiss"/>
    <w:notTrueType/>
    <w:pitch w:val="variable"/>
    <w:sig w:usb0="00000003" w:usb1="00000000" w:usb2="00000000" w:usb3="00000000" w:csb0="00000001" w:csb1="00000000"/>
  </w:font>
  <w:font w:name="Avenir LT Std 45 Book">
    <w:panose1 w:val="020B0502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F7"/>
    <w:rsid w:val="00057D8B"/>
    <w:rsid w:val="002B56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32D4F"/>
  <w14:defaultImageDpi w14:val="0"/>
  <w15:docId w15:val="{320409DD-810A-4A57-B4DA-096EC324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tyle>
  <w:style w:type="paragraph" w:customStyle="1" w:styleId="HEADINGB">
    <w:name w:val="HEADING B"/>
    <w:basedOn w:val="NoParagraphStyle"/>
    <w:uiPriority w:val="99"/>
    <w:pPr>
      <w:tabs>
        <w:tab w:val="left" w:pos="450"/>
      </w:tabs>
      <w:suppressAutoHyphens/>
      <w:spacing w:before="57" w:after="57" w:line="320" w:lineRule="atLeast"/>
    </w:pPr>
    <w:rPr>
      <w:rFonts w:ascii="Avenir LT Std 55 Roman" w:hAnsi="Avenir LT Std 55 Roman" w:cs="Avenir LT Std 55 Roman"/>
      <w:color w:val="00B2B9"/>
      <w:sz w:val="26"/>
      <w:szCs w:val="26"/>
      <w:lang w:val="en-GB"/>
    </w:rPr>
  </w:style>
  <w:style w:type="paragraph" w:customStyle="1" w:styleId="HEADINGA">
    <w:name w:val="HEADING A"/>
    <w:basedOn w:val="NoParagraphStyle"/>
    <w:next w:val="NoParagraphStyle"/>
    <w:uiPriority w:val="99"/>
    <w:pPr>
      <w:tabs>
        <w:tab w:val="left" w:pos="618"/>
      </w:tabs>
      <w:suppressAutoHyphens/>
      <w:spacing w:after="340" w:line="520" w:lineRule="atLeast"/>
    </w:pPr>
    <w:rPr>
      <w:rFonts w:ascii="Avenir LT Std 55 Roman" w:hAnsi="Avenir LT Std 55 Roman" w:cs="Avenir LT Std 55 Roman"/>
      <w:color w:val="003D69"/>
      <w:sz w:val="48"/>
      <w:szCs w:val="48"/>
      <w:lang w:val="en-GB"/>
    </w:rPr>
  </w:style>
  <w:style w:type="paragraph" w:customStyle="1" w:styleId="Introparagraph">
    <w:name w:val="Intro paragraph"/>
    <w:basedOn w:val="NoParagraphStyle"/>
    <w:uiPriority w:val="99"/>
    <w:pPr>
      <w:suppressAutoHyphens/>
      <w:spacing w:line="300" w:lineRule="atLeast"/>
    </w:pPr>
    <w:rPr>
      <w:rFonts w:ascii="Avenir LT Std 65 Medium" w:hAnsi="Avenir LT Std 65 Medium" w:cs="Avenir LT Std 65 Medium"/>
      <w:lang w:val="en-GB"/>
    </w:rPr>
  </w:style>
  <w:style w:type="paragraph" w:customStyle="1" w:styleId="Bodycopy">
    <w:name w:val="Body copy"/>
    <w:basedOn w:val="NoParagraphStyle"/>
    <w:uiPriority w:val="99"/>
    <w:pPr>
      <w:tabs>
        <w:tab w:val="left" w:pos="450"/>
      </w:tabs>
      <w:suppressAutoHyphens/>
      <w:spacing w:after="142" w:line="240" w:lineRule="atLeast"/>
    </w:pPr>
    <w:rPr>
      <w:rFonts w:ascii="Avenir LT Std 45 Book" w:hAnsi="Avenir LT Std 45 Book" w:cs="Avenir LT Std 45 Book"/>
      <w:spacing w:val="-1"/>
      <w:sz w:val="19"/>
      <w:szCs w:val="19"/>
      <w:lang w:val="en-GB"/>
    </w:rPr>
  </w:style>
  <w:style w:type="paragraph" w:customStyle="1" w:styleId="note">
    <w:name w:val="note"/>
    <w:basedOn w:val="Bodycopy"/>
    <w:uiPriority w:val="99"/>
    <w:pPr>
      <w:spacing w:line="200" w:lineRule="atLeast"/>
      <w:ind w:left="170" w:hanging="170"/>
    </w:pPr>
    <w:rPr>
      <w:sz w:val="16"/>
      <w:szCs w:val="16"/>
    </w:rPr>
  </w:style>
  <w:style w:type="paragraph" w:customStyle="1" w:styleId="Imprinttext">
    <w:name w:val="Imprint text"/>
    <w:basedOn w:val="Bodycopy"/>
    <w:uiPriority w:val="99"/>
    <w:pPr>
      <w:tabs>
        <w:tab w:val="clear" w:pos="450"/>
        <w:tab w:val="left" w:pos="315"/>
      </w:tabs>
      <w:spacing w:after="79" w:line="160" w:lineRule="atLeast"/>
    </w:pPr>
    <w:rPr>
      <w:spacing w:val="0"/>
      <w:sz w:val="14"/>
      <w:szCs w:val="14"/>
    </w:rPr>
  </w:style>
  <w:style w:type="paragraph" w:customStyle="1" w:styleId="HeadingC">
    <w:name w:val="Heading C"/>
    <w:basedOn w:val="NoParagraphStyle"/>
    <w:uiPriority w:val="99"/>
    <w:pPr>
      <w:tabs>
        <w:tab w:val="left" w:pos="450"/>
      </w:tabs>
      <w:suppressAutoHyphens/>
      <w:spacing w:before="227" w:line="240" w:lineRule="atLeast"/>
    </w:pPr>
    <w:rPr>
      <w:rFonts w:ascii="Avenir LT Std 65 Medium" w:hAnsi="Avenir LT Std 65 Medium" w:cs="Avenir LT Std 65 Medium"/>
      <w:color w:val="003D69"/>
      <w:sz w:val="20"/>
      <w:szCs w:val="20"/>
      <w:lang w:val="en-GB"/>
    </w:rPr>
  </w:style>
  <w:style w:type="character" w:customStyle="1" w:styleId="lightitalic">
    <w:name w:val="light italic"/>
    <w:uiPriority w:val="99"/>
    <w:rPr>
      <w:i/>
      <w:iCs/>
    </w:rPr>
  </w:style>
  <w:style w:type="character" w:customStyle="1" w:styleId="heavy">
    <w:name w:val="heavy"/>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Griffin</dc:creator>
  <cp:keywords/>
  <dc:description/>
  <cp:lastModifiedBy>Victoria Griffin</cp:lastModifiedBy>
  <cp:revision>2</cp:revision>
  <dcterms:created xsi:type="dcterms:W3CDTF">2020-02-03T05:19:00Z</dcterms:created>
  <dcterms:modified xsi:type="dcterms:W3CDTF">2020-02-03T05:19:00Z</dcterms:modified>
</cp:coreProperties>
</file>