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EB07F" w14:textId="77777777" w:rsidR="007C0F04" w:rsidRDefault="007C0F04" w:rsidP="00A357F4">
      <w:pPr>
        <w:pStyle w:val="VFANormal"/>
      </w:pPr>
    </w:p>
    <w:p w14:paraId="20B5B8E1" w14:textId="77777777" w:rsidR="007C0F04" w:rsidRDefault="007C0F04" w:rsidP="00A357F4">
      <w:pPr>
        <w:pStyle w:val="VFANormal"/>
        <w:sectPr w:rsidR="007C0F04" w:rsidSect="00FA3E94">
          <w:headerReference w:type="even" r:id="rId11"/>
          <w:headerReference w:type="default" r:id="rId12"/>
          <w:footerReference w:type="even" r:id="rId13"/>
          <w:footerReference w:type="default" r:id="rId14"/>
          <w:headerReference w:type="first" r:id="rId15"/>
          <w:pgSz w:w="11900" w:h="16840"/>
          <w:pgMar w:top="1701" w:right="851" w:bottom="1701" w:left="851" w:header="0" w:footer="709" w:gutter="0"/>
          <w:cols w:space="708"/>
          <w:titlePg/>
          <w:docGrid w:linePitch="245"/>
        </w:sectPr>
      </w:pPr>
    </w:p>
    <w:p w14:paraId="768240D0" w14:textId="77777777" w:rsidR="00CA3327" w:rsidRDefault="00E1789F" w:rsidP="00A357F4">
      <w:pPr>
        <w:pStyle w:val="VFANormal"/>
      </w:pPr>
      <w:r>
        <w:rPr>
          <w:noProof/>
        </w:rPr>
        <mc:AlternateContent>
          <mc:Choice Requires="wps">
            <w:drawing>
              <wp:anchor distT="45720" distB="45720" distL="114300" distR="114300" simplePos="0" relativeHeight="251658240" behindDoc="0" locked="0" layoutInCell="1" allowOverlap="1" wp14:anchorId="56F26E55" wp14:editId="2D7FA080">
                <wp:simplePos x="0" y="0"/>
                <wp:positionH relativeFrom="page">
                  <wp:posOffset>0</wp:posOffset>
                </wp:positionH>
                <wp:positionV relativeFrom="page">
                  <wp:posOffset>3600450</wp:posOffset>
                </wp:positionV>
                <wp:extent cx="7560000" cy="2219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2219325"/>
                        </a:xfrm>
                        <a:prstGeom prst="rect">
                          <a:avLst/>
                        </a:prstGeom>
                        <a:noFill/>
                        <a:ln w="9525">
                          <a:noFill/>
                          <a:miter lim="800000"/>
                          <a:headEnd/>
                          <a:tailEnd/>
                        </a:ln>
                      </wps:spPr>
                      <wps:txbx>
                        <w:txbxContent>
                          <w:p w14:paraId="63531465" w14:textId="6DA40DF1" w:rsidR="00C950BD" w:rsidRPr="00095711" w:rsidRDefault="00C950BD" w:rsidP="003603B4">
                            <w:pPr>
                              <w:pStyle w:val="VFATitle"/>
                              <w:rPr>
                                <w:color w:val="FFFFFF" w:themeColor="background1"/>
                                <w:sz w:val="72"/>
                                <w:szCs w:val="72"/>
                              </w:rPr>
                            </w:pPr>
                            <w:r w:rsidRPr="00095711">
                              <w:rPr>
                                <w:color w:val="FFFFFF" w:themeColor="background1"/>
                                <w:sz w:val="72"/>
                                <w:szCs w:val="72"/>
                              </w:rPr>
                              <w:t>Statement of Expec</w:t>
                            </w:r>
                            <w:r>
                              <w:rPr>
                                <w:color w:val="FFFFFF" w:themeColor="background1"/>
                                <w:sz w:val="72"/>
                                <w:szCs w:val="72"/>
                              </w:rPr>
                              <w:t>tations</w:t>
                            </w:r>
                          </w:p>
                          <w:p w14:paraId="0542566A" w14:textId="2F3747BE" w:rsidR="00C950BD" w:rsidRDefault="00C950BD" w:rsidP="00A357F4">
                            <w:pPr>
                              <w:pStyle w:val="VFASubtitle"/>
                              <w:rPr>
                                <w:color w:val="FFFFFF" w:themeColor="background1"/>
                                <w:sz w:val="52"/>
                              </w:rPr>
                            </w:pPr>
                            <w:r>
                              <w:rPr>
                                <w:color w:val="FFFFFF" w:themeColor="background1"/>
                                <w:sz w:val="52"/>
                              </w:rPr>
                              <w:t>1 J</w:t>
                            </w:r>
                            <w:r w:rsidR="00A3308B">
                              <w:rPr>
                                <w:color w:val="FFFFFF" w:themeColor="background1"/>
                                <w:sz w:val="52"/>
                              </w:rPr>
                              <w:t>anuary</w:t>
                            </w:r>
                            <w:r>
                              <w:rPr>
                                <w:color w:val="FFFFFF" w:themeColor="background1"/>
                                <w:sz w:val="52"/>
                              </w:rPr>
                              <w:t xml:space="preserve"> 2018 – 30 June 2020 </w:t>
                            </w:r>
                          </w:p>
                          <w:p w14:paraId="380164EE" w14:textId="2889BD67" w:rsidR="00C950BD" w:rsidRDefault="00C950BD" w:rsidP="00A357F4">
                            <w:pPr>
                              <w:pStyle w:val="VFASubtitle"/>
                              <w:rPr>
                                <w:color w:val="FFFFFF" w:themeColor="background1"/>
                                <w:sz w:val="52"/>
                              </w:rPr>
                            </w:pPr>
                          </w:p>
                          <w:p w14:paraId="4733E213" w14:textId="4DBD4F0F" w:rsidR="00C950BD" w:rsidRPr="00095711" w:rsidRDefault="00C950BD" w:rsidP="00A357F4">
                            <w:pPr>
                              <w:pStyle w:val="VFASubtitle"/>
                              <w:rPr>
                                <w:b/>
                                <w:bCs/>
                                <w:color w:val="FFFFFF" w:themeColor="background1"/>
                                <w:sz w:val="52"/>
                              </w:rPr>
                            </w:pPr>
                            <w:r w:rsidRPr="00095711">
                              <w:rPr>
                                <w:b/>
                                <w:bCs/>
                                <w:color w:val="FFFFFF" w:themeColor="background1"/>
                                <w:sz w:val="52"/>
                              </w:rPr>
                              <w:t>Evaluation Report</w:t>
                            </w:r>
                          </w:p>
                        </w:txbxContent>
                      </wps:txbx>
                      <wps:bodyPr rot="0" vert="horz" wrap="square" lIns="540000" tIns="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26E55" id="_x0000_t202" coordsize="21600,21600" o:spt="202" path="m,l,21600r21600,l21600,xe">
                <v:stroke joinstyle="miter"/>
                <v:path gradientshapeok="t" o:connecttype="rect"/>
              </v:shapetype>
              <v:shape id="Text Box 2" o:spid="_x0000_s1026" type="#_x0000_t202" style="position:absolute;margin-left:0;margin-top:283.5pt;width:595.3pt;height:174.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" filled="f" stroked="f">
                <v:textbox inset="15mm,0,15mm,0">
                  <w:txbxContent>
                    <w:p w14:paraId="63531465" w14:textId="6DA40DF1" w:rsidR="00C950BD" w:rsidRPr="00095711" w:rsidRDefault="00C950BD" w:rsidP="003603B4">
                      <w:pPr>
                        <w:pStyle w:val="VFATitle"/>
                        <w:rPr>
                          <w:color w:val="FFFFFF" w:themeColor="background1"/>
                          <w:sz w:val="72"/>
                          <w:szCs w:val="72"/>
                        </w:rPr>
                      </w:pPr>
                      <w:r w:rsidRPr="00095711">
                        <w:rPr>
                          <w:color w:val="FFFFFF" w:themeColor="background1"/>
                          <w:sz w:val="72"/>
                          <w:szCs w:val="72"/>
                        </w:rPr>
                        <w:t>Statement of Expec</w:t>
                      </w:r>
                      <w:r>
                        <w:rPr>
                          <w:color w:val="FFFFFF" w:themeColor="background1"/>
                          <w:sz w:val="72"/>
                          <w:szCs w:val="72"/>
                        </w:rPr>
                        <w:t>tations</w:t>
                      </w:r>
                    </w:p>
                    <w:p w14:paraId="0542566A" w14:textId="2F3747BE" w:rsidR="00C950BD" w:rsidRDefault="00C950BD" w:rsidP="00A357F4">
                      <w:pPr>
                        <w:pStyle w:val="VFASubtitle"/>
                        <w:rPr>
                          <w:color w:val="FFFFFF" w:themeColor="background1"/>
                          <w:sz w:val="52"/>
                        </w:rPr>
                      </w:pPr>
                      <w:r>
                        <w:rPr>
                          <w:color w:val="FFFFFF" w:themeColor="background1"/>
                          <w:sz w:val="52"/>
                        </w:rPr>
                        <w:t>1 J</w:t>
                      </w:r>
                      <w:r w:rsidR="00A3308B">
                        <w:rPr>
                          <w:color w:val="FFFFFF" w:themeColor="background1"/>
                          <w:sz w:val="52"/>
                        </w:rPr>
                        <w:t>anuary</w:t>
                      </w:r>
                      <w:r>
                        <w:rPr>
                          <w:color w:val="FFFFFF" w:themeColor="background1"/>
                          <w:sz w:val="52"/>
                        </w:rPr>
                        <w:t xml:space="preserve"> 2018 – 30 June 2020 </w:t>
                      </w:r>
                    </w:p>
                    <w:p w14:paraId="380164EE" w14:textId="2889BD67" w:rsidR="00C950BD" w:rsidRDefault="00C950BD" w:rsidP="00A357F4">
                      <w:pPr>
                        <w:pStyle w:val="VFASubtitle"/>
                        <w:rPr>
                          <w:color w:val="FFFFFF" w:themeColor="background1"/>
                          <w:sz w:val="52"/>
                        </w:rPr>
                      </w:pPr>
                    </w:p>
                    <w:p w14:paraId="4733E213" w14:textId="4DBD4F0F" w:rsidR="00C950BD" w:rsidRPr="00095711" w:rsidRDefault="00C950BD" w:rsidP="00A357F4">
                      <w:pPr>
                        <w:pStyle w:val="VFASubtitle"/>
                        <w:rPr>
                          <w:b/>
                          <w:bCs/>
                          <w:color w:val="FFFFFF" w:themeColor="background1"/>
                          <w:sz w:val="52"/>
                        </w:rPr>
                      </w:pPr>
                      <w:r w:rsidRPr="00095711">
                        <w:rPr>
                          <w:b/>
                          <w:bCs/>
                          <w:color w:val="FFFFFF" w:themeColor="background1"/>
                          <w:sz w:val="52"/>
                        </w:rPr>
                        <w:t>Evaluation Report</w:t>
                      </w:r>
                    </w:p>
                  </w:txbxContent>
                </v:textbox>
                <w10:wrap anchorx="page" anchory="page"/>
              </v:shape>
            </w:pict>
          </mc:Fallback>
        </mc:AlternateContent>
      </w:r>
      <w:r w:rsidR="00CA3327">
        <w:br w:type="page"/>
      </w:r>
    </w:p>
    <w:tbl>
      <w:tblPr>
        <w:tblpPr w:leftFromText="181" w:rightFromText="181" w:vertAnchor="text" w:horzAnchor="margin" w:tblpX="1" w:tblpY="6238"/>
        <w:tblW w:w="10206" w:type="dxa"/>
        <w:tblCellMar>
          <w:left w:w="0" w:type="dxa"/>
          <w:right w:w="0" w:type="dxa"/>
        </w:tblCellMar>
        <w:tblLook w:val="01E0" w:firstRow="1" w:lastRow="1" w:firstColumn="1" w:lastColumn="1" w:noHBand="0" w:noVBand="0"/>
      </w:tblPr>
      <w:tblGrid>
        <w:gridCol w:w="10206"/>
      </w:tblGrid>
      <w:tr w:rsidR="00E56191" w14:paraId="7DF6B1B4" w14:textId="77777777" w:rsidTr="00FA3E94">
        <w:trPr>
          <w:trHeight w:val="7200"/>
        </w:trPr>
        <w:tc>
          <w:tcPr>
            <w:tcW w:w="10772" w:type="dxa"/>
            <w:shd w:val="clear" w:color="auto" w:fill="auto"/>
            <w:vAlign w:val="bottom"/>
          </w:tcPr>
          <w:p w14:paraId="7DFD6ACA" w14:textId="77777777" w:rsidR="00E56191" w:rsidRDefault="00E56191" w:rsidP="00A357F4">
            <w:pPr>
              <w:pStyle w:val="VFAImprint"/>
              <w:framePr w:hSpace="0" w:wrap="auto" w:vAnchor="margin" w:hAnchor="text" w:xAlign="left" w:yAlign="inline"/>
            </w:pPr>
          </w:p>
        </w:tc>
      </w:tr>
    </w:tbl>
    <w:p w14:paraId="7C0C3D00" w14:textId="77777777" w:rsidR="00A357F4" w:rsidRDefault="00A357F4" w:rsidP="00FC3D77">
      <w:pPr>
        <w:pStyle w:val="BasicParagraph"/>
      </w:pPr>
    </w:p>
    <w:p w14:paraId="7C8D1784" w14:textId="77777777" w:rsidR="00E832D6" w:rsidRPr="00C6430E" w:rsidRDefault="00E832D6" w:rsidP="00FC3D77">
      <w:pPr>
        <w:pStyle w:val="BasicParagraph"/>
        <w:rPr>
          <w:lang w:val="en-AU"/>
        </w:rPr>
      </w:pPr>
    </w:p>
    <w:p w14:paraId="4BCC2028" w14:textId="77777777" w:rsidR="00E832D6" w:rsidRDefault="00E832D6" w:rsidP="00FC3D77">
      <w:pPr>
        <w:pStyle w:val="BasicParagraph"/>
      </w:pPr>
    </w:p>
    <w:p w14:paraId="70FA8C73" w14:textId="77777777" w:rsidR="00E832D6" w:rsidRDefault="00E832D6" w:rsidP="00FC3D77">
      <w:pPr>
        <w:pStyle w:val="BasicParagraph"/>
      </w:pPr>
    </w:p>
    <w:p w14:paraId="56EB0386" w14:textId="77777777" w:rsidR="00E832D6" w:rsidRDefault="00E832D6" w:rsidP="00FC3D77">
      <w:pPr>
        <w:pStyle w:val="BasicParagraph"/>
      </w:pPr>
    </w:p>
    <w:p w14:paraId="10F30D50" w14:textId="77777777" w:rsidR="00E832D6" w:rsidRDefault="00E832D6" w:rsidP="00FC3D77">
      <w:pPr>
        <w:pStyle w:val="BasicParagraph"/>
      </w:pPr>
    </w:p>
    <w:p w14:paraId="5752838A" w14:textId="77777777" w:rsidR="00E832D6" w:rsidRDefault="00E832D6" w:rsidP="00FC3D77">
      <w:pPr>
        <w:pStyle w:val="BasicParagraph"/>
      </w:pPr>
    </w:p>
    <w:p w14:paraId="138D17EE" w14:textId="77777777" w:rsidR="00E832D6" w:rsidRDefault="00E832D6" w:rsidP="00FC3D77">
      <w:pPr>
        <w:pStyle w:val="BasicParagraph"/>
      </w:pPr>
    </w:p>
    <w:p w14:paraId="26DBD44A" w14:textId="77777777" w:rsidR="00E832D6" w:rsidRDefault="00E832D6" w:rsidP="00FC3D77">
      <w:pPr>
        <w:pStyle w:val="BasicParagraph"/>
      </w:pPr>
    </w:p>
    <w:p w14:paraId="5A6BD1A7" w14:textId="77777777" w:rsidR="00E832D6" w:rsidRDefault="00E832D6" w:rsidP="00FC3D77">
      <w:pPr>
        <w:pStyle w:val="BasicParagraph"/>
      </w:pPr>
    </w:p>
    <w:p w14:paraId="7556EB67" w14:textId="77777777" w:rsidR="00E832D6" w:rsidRDefault="00E832D6" w:rsidP="00FC3D77">
      <w:pPr>
        <w:pStyle w:val="BasicParagraph"/>
      </w:pPr>
    </w:p>
    <w:p w14:paraId="2291B24D" w14:textId="77777777" w:rsidR="00E832D6" w:rsidRDefault="00E832D6" w:rsidP="00FC3D77">
      <w:pPr>
        <w:pStyle w:val="BasicParagraph"/>
      </w:pPr>
    </w:p>
    <w:p w14:paraId="4A71EC65" w14:textId="77777777" w:rsidR="00E832D6" w:rsidRDefault="00E832D6" w:rsidP="00FC3D77">
      <w:pPr>
        <w:pStyle w:val="BasicParagraph"/>
      </w:pPr>
    </w:p>
    <w:p w14:paraId="0F86AFEB" w14:textId="77777777" w:rsidR="00E832D6" w:rsidRDefault="00E832D6" w:rsidP="00FC3D77">
      <w:pPr>
        <w:pStyle w:val="BasicParagraph"/>
      </w:pPr>
    </w:p>
    <w:p w14:paraId="3D1779F3" w14:textId="77777777" w:rsidR="00E832D6" w:rsidRDefault="00E832D6" w:rsidP="00FC3D77">
      <w:pPr>
        <w:pStyle w:val="BasicParagraph"/>
      </w:pPr>
    </w:p>
    <w:p w14:paraId="48AE463B" w14:textId="77777777" w:rsidR="00E832D6" w:rsidRDefault="00E832D6" w:rsidP="00FC3D77">
      <w:pPr>
        <w:pStyle w:val="BasicParagraph"/>
      </w:pPr>
    </w:p>
    <w:p w14:paraId="60C90EF0" w14:textId="77777777" w:rsidR="00E832D6" w:rsidRDefault="00E832D6" w:rsidP="00FC3D77">
      <w:pPr>
        <w:pStyle w:val="BasicParagraph"/>
      </w:pPr>
    </w:p>
    <w:p w14:paraId="1C4EEE4C" w14:textId="77777777" w:rsidR="00E832D6" w:rsidRDefault="00E832D6" w:rsidP="00FC3D77">
      <w:pPr>
        <w:pStyle w:val="BasicParagraph"/>
      </w:pPr>
    </w:p>
    <w:p w14:paraId="1B189CAC" w14:textId="77777777" w:rsidR="00E832D6" w:rsidRDefault="00E832D6" w:rsidP="00FC3D77">
      <w:pPr>
        <w:pStyle w:val="BasicParagraph"/>
        <w:sectPr w:rsidR="00E832D6" w:rsidSect="00A357F4">
          <w:headerReference w:type="default" r:id="rId16"/>
          <w:footerReference w:type="default" r:id="rId17"/>
          <w:type w:val="continuous"/>
          <w:pgSz w:w="11900" w:h="16840"/>
          <w:pgMar w:top="1701" w:right="851" w:bottom="1701" w:left="851" w:header="709" w:footer="709" w:gutter="0"/>
          <w:pgNumType w:start="1"/>
          <w:cols w:space="708"/>
        </w:sectPr>
      </w:pPr>
    </w:p>
    <w:p w14:paraId="1A3F3BC4" w14:textId="77777777" w:rsidR="007C0F04" w:rsidRPr="000954F4" w:rsidRDefault="007C0F04" w:rsidP="007F4D10">
      <w:pPr>
        <w:pStyle w:val="VFASectionHeadingNoTOC"/>
      </w:pPr>
      <w:r w:rsidRPr="000954F4">
        <w:lastRenderedPageBreak/>
        <w:t>Contents</w:t>
      </w:r>
    </w:p>
    <w:p w14:paraId="50C0B295" w14:textId="6BA00D3A" w:rsidR="00EB7538" w:rsidRDefault="007F4D10">
      <w:pPr>
        <w:pStyle w:val="TOC1"/>
        <w:rPr>
          <w:rFonts w:asciiTheme="minorHAnsi" w:eastAsiaTheme="minorEastAsia" w:hAnsiTheme="minorHAnsi" w:cstheme="minorBidi"/>
          <w:b w:val="0"/>
          <w:color w:val="auto"/>
          <w:sz w:val="22"/>
          <w:szCs w:val="22"/>
          <w:lang w:eastAsia="en-AU"/>
        </w:rPr>
      </w:pPr>
      <w:r>
        <w:rPr>
          <w:color w:val="004976" w:themeColor="accent1"/>
        </w:rPr>
        <w:fldChar w:fldCharType="begin"/>
      </w:r>
      <w:r>
        <w:instrText xml:space="preserve"> TOC \t "VFA Section Heading,1,VFA Heading 1,2,VFA Heading 2,3,VFA Heading 3,4" </w:instrText>
      </w:r>
      <w:r>
        <w:rPr>
          <w:color w:val="004976" w:themeColor="accent1"/>
        </w:rPr>
        <w:fldChar w:fldCharType="separate"/>
      </w:r>
      <w:r w:rsidR="00EB7538">
        <w:t>Introduction</w:t>
      </w:r>
      <w:r w:rsidR="00EB7538">
        <w:tab/>
      </w:r>
      <w:r w:rsidR="00EB7538">
        <w:fldChar w:fldCharType="begin"/>
      </w:r>
      <w:r w:rsidR="00EB7538">
        <w:instrText xml:space="preserve"> PAGEREF _Toc48750123 \h </w:instrText>
      </w:r>
      <w:r w:rsidR="00EB7538">
        <w:fldChar w:fldCharType="separate"/>
      </w:r>
      <w:r w:rsidR="00497C25">
        <w:t>3</w:t>
      </w:r>
      <w:r w:rsidR="00EB7538">
        <w:fldChar w:fldCharType="end"/>
      </w:r>
    </w:p>
    <w:p w14:paraId="0B8FE802" w14:textId="0296C9D3" w:rsidR="00EB7538" w:rsidRDefault="00EB7538">
      <w:pPr>
        <w:pStyle w:val="TOC2"/>
        <w:rPr>
          <w:rFonts w:asciiTheme="minorHAnsi" w:eastAsiaTheme="minorEastAsia" w:hAnsiTheme="minorHAnsi" w:cstheme="minorBidi"/>
          <w:b w:val="0"/>
          <w:color w:val="auto"/>
          <w:sz w:val="22"/>
          <w:szCs w:val="22"/>
          <w:lang w:eastAsia="en-AU"/>
        </w:rPr>
      </w:pPr>
      <w:r>
        <w:t xml:space="preserve">The </w:t>
      </w:r>
      <w:r w:rsidR="00B34745">
        <w:t>Minister's</w:t>
      </w:r>
      <w:r>
        <w:t xml:space="preserve"> Statement of Expectations</w:t>
      </w:r>
      <w:r w:rsidR="00B34745">
        <w:t xml:space="preserve"> for the VFA</w:t>
      </w:r>
      <w:r>
        <w:tab/>
      </w:r>
      <w:r>
        <w:fldChar w:fldCharType="begin"/>
      </w:r>
      <w:r>
        <w:instrText xml:space="preserve"> PAGEREF _Toc48750124 \h </w:instrText>
      </w:r>
      <w:r>
        <w:fldChar w:fldCharType="separate"/>
      </w:r>
      <w:r w:rsidR="00497C25">
        <w:t>3</w:t>
      </w:r>
      <w:r>
        <w:fldChar w:fldCharType="end"/>
      </w:r>
    </w:p>
    <w:p w14:paraId="2AC43B17" w14:textId="61680FEB" w:rsidR="00EB7538" w:rsidRDefault="00EB7538">
      <w:pPr>
        <w:pStyle w:val="TOC2"/>
        <w:rPr>
          <w:rFonts w:asciiTheme="minorHAnsi" w:eastAsiaTheme="minorEastAsia" w:hAnsiTheme="minorHAnsi" w:cstheme="minorBidi"/>
          <w:b w:val="0"/>
          <w:color w:val="auto"/>
          <w:sz w:val="22"/>
          <w:szCs w:val="22"/>
          <w:lang w:eastAsia="en-AU"/>
        </w:rPr>
      </w:pPr>
      <w:r>
        <w:t>Evaluation objectives</w:t>
      </w:r>
      <w:r>
        <w:tab/>
      </w:r>
      <w:r>
        <w:fldChar w:fldCharType="begin"/>
      </w:r>
      <w:r>
        <w:instrText xml:space="preserve"> PAGEREF _Toc48750125 \h </w:instrText>
      </w:r>
      <w:r>
        <w:fldChar w:fldCharType="separate"/>
      </w:r>
      <w:r w:rsidR="00497C25">
        <w:t>4</w:t>
      </w:r>
      <w:r>
        <w:fldChar w:fldCharType="end"/>
      </w:r>
    </w:p>
    <w:p w14:paraId="451BBB32" w14:textId="1ED1C688" w:rsidR="00EB7538" w:rsidRDefault="00EB7538">
      <w:pPr>
        <w:pStyle w:val="TOC2"/>
        <w:rPr>
          <w:rFonts w:asciiTheme="minorHAnsi" w:eastAsiaTheme="minorEastAsia" w:hAnsiTheme="minorHAnsi" w:cstheme="minorBidi"/>
          <w:b w:val="0"/>
          <w:color w:val="auto"/>
          <w:sz w:val="22"/>
          <w:szCs w:val="22"/>
          <w:lang w:eastAsia="en-AU"/>
        </w:rPr>
      </w:pPr>
      <w:r>
        <w:t>Evaluation Methodology</w:t>
      </w:r>
      <w:r>
        <w:tab/>
      </w:r>
      <w:r>
        <w:fldChar w:fldCharType="begin"/>
      </w:r>
      <w:r>
        <w:instrText xml:space="preserve"> PAGEREF _Toc48750126 \h </w:instrText>
      </w:r>
      <w:r>
        <w:fldChar w:fldCharType="separate"/>
      </w:r>
      <w:r w:rsidR="00497C25">
        <w:t>4</w:t>
      </w:r>
      <w:r>
        <w:fldChar w:fldCharType="end"/>
      </w:r>
    </w:p>
    <w:p w14:paraId="53E93ED6" w14:textId="2B8BE416" w:rsidR="00EB7538" w:rsidRDefault="00EB7538">
      <w:pPr>
        <w:pStyle w:val="TOC2"/>
        <w:rPr>
          <w:rFonts w:asciiTheme="minorHAnsi" w:eastAsiaTheme="minorEastAsia" w:hAnsiTheme="minorHAnsi" w:cstheme="minorBidi"/>
          <w:b w:val="0"/>
          <w:color w:val="auto"/>
          <w:sz w:val="22"/>
          <w:szCs w:val="22"/>
          <w:lang w:eastAsia="en-AU"/>
        </w:rPr>
      </w:pPr>
      <w:r>
        <w:t>Process Evaluation – Key Findings</w:t>
      </w:r>
      <w:r>
        <w:tab/>
      </w:r>
      <w:r>
        <w:fldChar w:fldCharType="begin"/>
      </w:r>
      <w:r>
        <w:instrText xml:space="preserve"> PAGEREF _Toc48750127 \h </w:instrText>
      </w:r>
      <w:r>
        <w:fldChar w:fldCharType="separate"/>
      </w:r>
      <w:r w:rsidR="00497C25">
        <w:t>4</w:t>
      </w:r>
      <w:r>
        <w:fldChar w:fldCharType="end"/>
      </w:r>
    </w:p>
    <w:p w14:paraId="361C7122" w14:textId="657962AD" w:rsidR="00EB7538" w:rsidRDefault="00EB7538">
      <w:pPr>
        <w:pStyle w:val="TOC2"/>
        <w:rPr>
          <w:rFonts w:asciiTheme="minorHAnsi" w:eastAsiaTheme="minorEastAsia" w:hAnsiTheme="minorHAnsi" w:cstheme="minorBidi"/>
          <w:b w:val="0"/>
          <w:color w:val="auto"/>
          <w:sz w:val="22"/>
          <w:szCs w:val="22"/>
          <w:lang w:eastAsia="en-AU"/>
        </w:rPr>
      </w:pPr>
      <w:r>
        <w:t>Outcome Evaluation – Key Findings</w:t>
      </w:r>
      <w:r>
        <w:tab/>
      </w:r>
      <w:r>
        <w:fldChar w:fldCharType="begin"/>
      </w:r>
      <w:r>
        <w:instrText xml:space="preserve"> PAGEREF _Toc48750128 \h </w:instrText>
      </w:r>
      <w:r>
        <w:fldChar w:fldCharType="separate"/>
      </w:r>
      <w:r w:rsidR="00497C25">
        <w:t>6</w:t>
      </w:r>
      <w:r>
        <w:fldChar w:fldCharType="end"/>
      </w:r>
    </w:p>
    <w:p w14:paraId="7C2CF393" w14:textId="2376B886" w:rsidR="00EB7538" w:rsidRDefault="00EB7538">
      <w:pPr>
        <w:pStyle w:val="TOC2"/>
        <w:rPr>
          <w:rFonts w:asciiTheme="minorHAnsi" w:eastAsiaTheme="minorEastAsia" w:hAnsiTheme="minorHAnsi" w:cstheme="minorBidi"/>
          <w:b w:val="0"/>
          <w:color w:val="auto"/>
          <w:sz w:val="22"/>
          <w:szCs w:val="22"/>
          <w:lang w:eastAsia="en-AU"/>
        </w:rPr>
      </w:pPr>
      <w:r>
        <w:t>Conclusion</w:t>
      </w:r>
      <w:r>
        <w:tab/>
      </w:r>
      <w:r>
        <w:fldChar w:fldCharType="begin"/>
      </w:r>
      <w:r>
        <w:instrText xml:space="preserve"> PAGEREF _Toc48750129 \h </w:instrText>
      </w:r>
      <w:r>
        <w:fldChar w:fldCharType="separate"/>
      </w:r>
      <w:r w:rsidR="00497C25">
        <w:t>15</w:t>
      </w:r>
      <w:r>
        <w:fldChar w:fldCharType="end"/>
      </w:r>
    </w:p>
    <w:p w14:paraId="0C06DE7B" w14:textId="63894084" w:rsidR="00CA3327" w:rsidRDefault="007F4D10" w:rsidP="007C0F04">
      <w:pPr>
        <w:sectPr w:rsidR="00CA3327" w:rsidSect="00A357F4">
          <w:headerReference w:type="default" r:id="rId18"/>
          <w:footerReference w:type="default" r:id="rId19"/>
          <w:pgSz w:w="11900" w:h="16840"/>
          <w:pgMar w:top="1701" w:right="851" w:bottom="1701" w:left="851" w:header="709" w:footer="709" w:gutter="0"/>
          <w:pgNumType w:start="1"/>
          <w:cols w:space="708"/>
        </w:sectPr>
      </w:pPr>
      <w:r>
        <w:rPr>
          <w:rFonts w:ascii="Arial Bold" w:eastAsia="Times New Roman" w:hAnsi="Arial Bold"/>
          <w:b/>
          <w:caps/>
          <w:noProof/>
          <w:color w:val="004876"/>
          <w:sz w:val="20"/>
          <w:szCs w:val="20"/>
          <w:u w:val="single" w:color="004876"/>
        </w:rPr>
        <w:fldChar w:fldCharType="end"/>
      </w:r>
    </w:p>
    <w:p w14:paraId="6E34F535" w14:textId="77777777" w:rsidR="00E832D6" w:rsidRDefault="00E832D6" w:rsidP="00A357F4">
      <w:pPr>
        <w:pStyle w:val="VFAHeading1"/>
      </w:pPr>
    </w:p>
    <w:p w14:paraId="7C5C0513" w14:textId="77777777" w:rsidR="006F1F0B" w:rsidRPr="006F1F0B" w:rsidRDefault="006F1F0B" w:rsidP="006F1F0B">
      <w:pPr>
        <w:pStyle w:val="NormalIndent"/>
      </w:pPr>
    </w:p>
    <w:p w14:paraId="7E91CA7B" w14:textId="58487172" w:rsidR="006F1F0B" w:rsidRPr="006F1F0B" w:rsidRDefault="006F1F0B" w:rsidP="006F1F0B">
      <w:pPr>
        <w:rPr>
          <w:lang w:eastAsia="en-US"/>
        </w:rPr>
        <w:sectPr w:rsidR="006F1F0B" w:rsidRPr="006F1F0B" w:rsidSect="00A357F4">
          <w:headerReference w:type="default" r:id="rId20"/>
          <w:pgSz w:w="11900" w:h="16840"/>
          <w:pgMar w:top="1701" w:right="851" w:bottom="1701" w:left="851" w:header="709" w:footer="709" w:gutter="0"/>
          <w:cols w:space="708"/>
        </w:sectPr>
      </w:pPr>
    </w:p>
    <w:p w14:paraId="3A11BA8F" w14:textId="0D8E9DA7" w:rsidR="007C0F04" w:rsidRPr="00D57343" w:rsidRDefault="00B86CB3" w:rsidP="00D57343">
      <w:pPr>
        <w:pStyle w:val="VFASectionHeading"/>
        <w:spacing w:before="240"/>
        <w:rPr>
          <w:sz w:val="48"/>
          <w:szCs w:val="48"/>
        </w:rPr>
      </w:pPr>
      <w:bookmarkStart w:id="0" w:name="_Toc48750123"/>
      <w:r w:rsidRPr="00D57343">
        <w:rPr>
          <w:sz w:val="48"/>
          <w:szCs w:val="48"/>
        </w:rPr>
        <w:lastRenderedPageBreak/>
        <w:t>Introduction</w:t>
      </w:r>
      <w:bookmarkEnd w:id="0"/>
    </w:p>
    <w:p w14:paraId="583A2B1A" w14:textId="6306699F" w:rsidR="00AF7977" w:rsidRPr="00D57343" w:rsidRDefault="00AF7977" w:rsidP="00C0561D">
      <w:pPr>
        <w:spacing w:before="0" w:after="120"/>
        <w:rPr>
          <w:rFonts w:asciiTheme="minorHAnsi" w:hAnsiTheme="minorHAnsi" w:cstheme="minorHAnsi"/>
          <w:sz w:val="22"/>
          <w:szCs w:val="22"/>
        </w:rPr>
      </w:pPr>
      <w:r w:rsidRPr="00D57343">
        <w:rPr>
          <w:rFonts w:asciiTheme="minorHAnsi" w:hAnsiTheme="minorHAnsi" w:cstheme="minorHAnsi"/>
          <w:sz w:val="22"/>
          <w:szCs w:val="22"/>
        </w:rPr>
        <w:t xml:space="preserve">The Victorian Fisheries Authority (VFA) was created on 1 July 2017 by establishing the then Fisheries Victoria as a statutory authority under the </w:t>
      </w:r>
      <w:r w:rsidRPr="00D57343">
        <w:rPr>
          <w:rFonts w:asciiTheme="minorHAnsi" w:hAnsiTheme="minorHAnsi" w:cstheme="minorHAnsi"/>
          <w:i/>
          <w:sz w:val="22"/>
          <w:szCs w:val="22"/>
        </w:rPr>
        <w:t>Victorian Fisheries Authority Act 2016</w:t>
      </w:r>
      <w:r w:rsidRPr="00D57343">
        <w:rPr>
          <w:rFonts w:asciiTheme="minorHAnsi" w:hAnsiTheme="minorHAnsi" w:cstheme="minorHAnsi"/>
          <w:sz w:val="22"/>
          <w:szCs w:val="22"/>
        </w:rPr>
        <w:t xml:space="preserve">.  The VFA is the regulatory body responsible for managing Victoria’s fisheries resources to ensure their ongoing sustainability by licensing commercial fishing and aquaculture activities and regulating the take of freshwater and marine species by recreational and commercial fishers.  </w:t>
      </w:r>
      <w:r w:rsidR="004E07B1" w:rsidRPr="00D57343">
        <w:rPr>
          <w:rFonts w:asciiTheme="minorHAnsi" w:hAnsiTheme="minorHAnsi" w:cstheme="minorHAnsi"/>
          <w:sz w:val="22"/>
          <w:szCs w:val="22"/>
        </w:rPr>
        <w:t>T</w:t>
      </w:r>
      <w:r w:rsidRPr="00D57343">
        <w:rPr>
          <w:rFonts w:asciiTheme="minorHAnsi" w:hAnsiTheme="minorHAnsi" w:cstheme="minorHAnsi"/>
          <w:sz w:val="22"/>
          <w:szCs w:val="22"/>
        </w:rPr>
        <w:t xml:space="preserve">he VFA is accountable to the Victorian Government, through the Minister for Fishing and Boating, for fulfilling its statutory responsibilities in line with government policy and within an appropriate governance framework.  </w:t>
      </w:r>
    </w:p>
    <w:p w14:paraId="175560B8" w14:textId="28E1C13C" w:rsidR="009D2ACB" w:rsidRPr="00D57343" w:rsidRDefault="00AF7977" w:rsidP="00C0561D">
      <w:pPr>
        <w:pStyle w:val="VFANormal"/>
        <w:rPr>
          <w:rFonts w:asciiTheme="minorHAnsi" w:hAnsiTheme="minorHAnsi" w:cstheme="minorHAnsi"/>
          <w:sz w:val="22"/>
          <w:szCs w:val="22"/>
        </w:rPr>
      </w:pPr>
      <w:r w:rsidRPr="00D57343">
        <w:rPr>
          <w:rFonts w:asciiTheme="minorHAnsi" w:hAnsiTheme="minorHAnsi" w:cstheme="minorHAnsi"/>
          <w:sz w:val="22"/>
          <w:szCs w:val="22"/>
        </w:rPr>
        <w:t>As a Victorian State Government regulator, the VFA is subject to the requirements of the</w:t>
      </w:r>
      <w:r w:rsidR="007867ED" w:rsidRPr="00D57343">
        <w:rPr>
          <w:rFonts w:asciiTheme="minorHAnsi" w:hAnsiTheme="minorHAnsi" w:cstheme="minorHAnsi"/>
          <w:sz w:val="22"/>
          <w:szCs w:val="22"/>
        </w:rPr>
        <w:t xml:space="preserve"> Government’s </w:t>
      </w:r>
      <w:r w:rsidR="007867ED" w:rsidRPr="00D57343">
        <w:rPr>
          <w:rFonts w:asciiTheme="minorHAnsi" w:hAnsiTheme="minorHAnsi" w:cstheme="minorHAnsi"/>
          <w:i/>
          <w:iCs/>
          <w:sz w:val="22"/>
          <w:szCs w:val="22"/>
        </w:rPr>
        <w:t>S</w:t>
      </w:r>
      <w:r w:rsidRPr="00D57343">
        <w:rPr>
          <w:rFonts w:asciiTheme="minorHAnsi" w:hAnsiTheme="minorHAnsi" w:cstheme="minorHAnsi"/>
          <w:i/>
          <w:iCs/>
          <w:sz w:val="22"/>
          <w:szCs w:val="22"/>
        </w:rPr>
        <w:t>tatement of Expectations Framework for Regulators</w:t>
      </w:r>
      <w:r w:rsidRPr="00D57343">
        <w:rPr>
          <w:rFonts w:asciiTheme="minorHAnsi" w:hAnsiTheme="minorHAnsi" w:cstheme="minorHAnsi"/>
          <w:sz w:val="22"/>
          <w:szCs w:val="22"/>
        </w:rPr>
        <w:t xml:space="preserve"> (the SOE Framework).  The SOE Framework </w:t>
      </w:r>
      <w:r w:rsidR="004E07B1" w:rsidRPr="00D57343">
        <w:rPr>
          <w:rFonts w:asciiTheme="minorHAnsi" w:hAnsiTheme="minorHAnsi" w:cstheme="minorHAnsi"/>
          <w:sz w:val="22"/>
          <w:szCs w:val="22"/>
        </w:rPr>
        <w:t xml:space="preserve">was developed </w:t>
      </w:r>
      <w:r w:rsidRPr="00D57343">
        <w:rPr>
          <w:rFonts w:asciiTheme="minorHAnsi" w:hAnsiTheme="minorHAnsi" w:cstheme="minorHAnsi"/>
          <w:sz w:val="22"/>
          <w:szCs w:val="22"/>
        </w:rPr>
        <w:t>to promote greater efficiency and effectiveness in the administration and enforcement of regulation</w:t>
      </w:r>
      <w:r w:rsidR="007867ED" w:rsidRPr="00D57343">
        <w:rPr>
          <w:rFonts w:asciiTheme="minorHAnsi" w:hAnsiTheme="minorHAnsi" w:cstheme="minorHAnsi"/>
          <w:sz w:val="22"/>
          <w:szCs w:val="22"/>
        </w:rPr>
        <w:t>,</w:t>
      </w:r>
      <w:r w:rsidRPr="00D57343">
        <w:rPr>
          <w:rFonts w:asciiTheme="minorHAnsi" w:hAnsiTheme="minorHAnsi" w:cstheme="minorHAnsi"/>
          <w:sz w:val="22"/>
          <w:szCs w:val="22"/>
        </w:rPr>
        <w:t xml:space="preserve"> and forms part of the Government’s program to reduce red tape.  </w:t>
      </w:r>
    </w:p>
    <w:p w14:paraId="2E89FB5D" w14:textId="72006570" w:rsidR="00AF7977" w:rsidRPr="00D57343" w:rsidRDefault="00AF7977" w:rsidP="00C0561D">
      <w:pPr>
        <w:pStyle w:val="VFANormal"/>
        <w:rPr>
          <w:rFonts w:asciiTheme="minorHAnsi" w:hAnsiTheme="minorHAnsi" w:cstheme="minorHAnsi"/>
          <w:sz w:val="22"/>
          <w:szCs w:val="22"/>
        </w:rPr>
      </w:pPr>
      <w:r w:rsidRPr="00D57343">
        <w:rPr>
          <w:rFonts w:asciiTheme="minorHAnsi" w:hAnsiTheme="minorHAnsi" w:cstheme="minorHAnsi"/>
          <w:sz w:val="22"/>
          <w:szCs w:val="22"/>
        </w:rPr>
        <w:t>The SOE Framework requires that all Victorian business regulators have a Statement of Expectations issued by the relevant Minister.  The Ministerial</w:t>
      </w:r>
      <w:r w:rsidR="009D2ACB" w:rsidRPr="00D57343">
        <w:rPr>
          <w:rFonts w:asciiTheme="minorHAnsi" w:hAnsiTheme="minorHAnsi" w:cstheme="minorHAnsi"/>
          <w:sz w:val="22"/>
          <w:szCs w:val="22"/>
        </w:rPr>
        <w:t xml:space="preserve"> </w:t>
      </w:r>
      <w:r w:rsidR="00D86D25" w:rsidRPr="00D57343">
        <w:rPr>
          <w:rFonts w:asciiTheme="minorHAnsi" w:hAnsiTheme="minorHAnsi" w:cstheme="minorHAnsi"/>
          <w:sz w:val="22"/>
          <w:szCs w:val="22"/>
        </w:rPr>
        <w:t xml:space="preserve">Statement of Expectations (the </w:t>
      </w:r>
      <w:r w:rsidR="009D2ACB" w:rsidRPr="00D57343">
        <w:rPr>
          <w:rFonts w:asciiTheme="minorHAnsi" w:hAnsiTheme="minorHAnsi" w:cstheme="minorHAnsi"/>
          <w:sz w:val="22"/>
          <w:szCs w:val="22"/>
        </w:rPr>
        <w:t>SOE</w:t>
      </w:r>
      <w:r w:rsidR="00D86D25" w:rsidRPr="00D57343">
        <w:rPr>
          <w:rFonts w:asciiTheme="minorHAnsi" w:hAnsiTheme="minorHAnsi" w:cstheme="minorHAnsi"/>
          <w:sz w:val="22"/>
          <w:szCs w:val="22"/>
        </w:rPr>
        <w:t>)</w:t>
      </w:r>
      <w:r w:rsidRPr="00D57343">
        <w:rPr>
          <w:rFonts w:asciiTheme="minorHAnsi" w:hAnsiTheme="minorHAnsi" w:cstheme="minorHAnsi"/>
          <w:sz w:val="22"/>
          <w:szCs w:val="22"/>
        </w:rPr>
        <w:t xml:space="preserve"> is a formal and public statement that establishes an agreement between the responsible Minister and their regulators regarding performance expectations to improve regulator outcomes and reduce costs on regulated parties.  </w:t>
      </w:r>
      <w:r w:rsidR="00025055" w:rsidRPr="00D57343">
        <w:rPr>
          <w:rFonts w:asciiTheme="minorHAnsi" w:hAnsiTheme="minorHAnsi" w:cstheme="minorHAnsi"/>
          <w:sz w:val="22"/>
          <w:szCs w:val="22"/>
        </w:rPr>
        <w:t>The regulator’s response to the SOE, by way of letter to the Minister, outlines how the regulator will meet the expectations set out in the SOE.</w:t>
      </w:r>
    </w:p>
    <w:p w14:paraId="09A38033" w14:textId="7598FF4E" w:rsidR="00A12B01" w:rsidRPr="00D57343" w:rsidRDefault="00AF7977" w:rsidP="00C0561D">
      <w:pPr>
        <w:pStyle w:val="VFANormal"/>
        <w:rPr>
          <w:rFonts w:asciiTheme="minorHAnsi" w:hAnsiTheme="minorHAnsi" w:cstheme="minorHAnsi"/>
          <w:sz w:val="22"/>
          <w:szCs w:val="22"/>
        </w:rPr>
      </w:pPr>
      <w:r w:rsidRPr="00D57343">
        <w:rPr>
          <w:rFonts w:asciiTheme="minorHAnsi" w:hAnsiTheme="minorHAnsi" w:cstheme="minorHAnsi"/>
          <w:sz w:val="22"/>
          <w:szCs w:val="22"/>
        </w:rPr>
        <w:t xml:space="preserve">Under the SOE Framework, there is a mandatory requirement to evaluate the SOEs of regulators to assess how well the SOE is contributing to better regulatory practice. </w:t>
      </w:r>
      <w:r w:rsidR="00D9091C" w:rsidRPr="00D57343">
        <w:rPr>
          <w:rFonts w:asciiTheme="minorHAnsi" w:hAnsiTheme="minorHAnsi" w:cstheme="minorHAnsi"/>
          <w:sz w:val="22"/>
          <w:szCs w:val="22"/>
        </w:rPr>
        <w:t xml:space="preserve"> </w:t>
      </w:r>
    </w:p>
    <w:p w14:paraId="09874F0C" w14:textId="34C82BCE" w:rsidR="00C86FA2" w:rsidRPr="005D0B2A" w:rsidRDefault="00C86FA2" w:rsidP="00C0561D">
      <w:pPr>
        <w:pStyle w:val="VFANormal"/>
        <w:rPr>
          <w:rFonts w:asciiTheme="minorHAnsi" w:hAnsiTheme="minorHAnsi" w:cstheme="minorHAnsi"/>
          <w:sz w:val="22"/>
          <w:szCs w:val="22"/>
        </w:rPr>
      </w:pPr>
      <w:r w:rsidRPr="005D0B2A">
        <w:rPr>
          <w:rFonts w:asciiTheme="minorHAnsi" w:hAnsiTheme="minorHAnsi" w:cstheme="minorHAnsi"/>
          <w:sz w:val="22"/>
          <w:szCs w:val="22"/>
        </w:rPr>
        <w:t xml:space="preserve">The primary purpose of this report is to provide the results of the evaluation of the VFA’s </w:t>
      </w:r>
      <w:r w:rsidRPr="005D0B2A">
        <w:rPr>
          <w:rFonts w:asciiTheme="minorHAnsi" w:hAnsiTheme="minorHAnsi" w:cstheme="minorHAnsi"/>
          <w:i/>
          <w:iCs/>
          <w:sz w:val="22"/>
          <w:szCs w:val="22"/>
        </w:rPr>
        <w:t>Ministerial Statement of Expectations 1 January 2018 – 30 June 2020.</w:t>
      </w:r>
      <w:r w:rsidRPr="005D0B2A">
        <w:rPr>
          <w:rFonts w:asciiTheme="minorHAnsi" w:hAnsiTheme="minorHAnsi" w:cstheme="minorHAnsi"/>
          <w:sz w:val="22"/>
          <w:szCs w:val="22"/>
        </w:rPr>
        <w:t xml:space="preserve">  </w:t>
      </w:r>
    </w:p>
    <w:p w14:paraId="07FA7947" w14:textId="63663FD4" w:rsidR="00C86FA2" w:rsidRPr="00A70758" w:rsidRDefault="00C86FA2" w:rsidP="00D57343">
      <w:pPr>
        <w:pStyle w:val="VFAHeading1"/>
        <w:spacing w:before="160" w:after="160"/>
        <w:rPr>
          <w:sz w:val="28"/>
          <w:szCs w:val="28"/>
        </w:rPr>
      </w:pPr>
      <w:bookmarkStart w:id="1" w:name="_Toc48750124"/>
      <w:r w:rsidRPr="00A70758">
        <w:rPr>
          <w:sz w:val="28"/>
          <w:szCs w:val="28"/>
        </w:rPr>
        <w:t>The</w:t>
      </w:r>
      <w:r w:rsidR="00B34745">
        <w:rPr>
          <w:sz w:val="28"/>
          <w:szCs w:val="28"/>
        </w:rPr>
        <w:t xml:space="preserve"> Ministerial</w:t>
      </w:r>
      <w:r w:rsidRPr="00A70758">
        <w:rPr>
          <w:sz w:val="28"/>
          <w:szCs w:val="28"/>
        </w:rPr>
        <w:t xml:space="preserve"> Statement of Expectations</w:t>
      </w:r>
      <w:bookmarkEnd w:id="1"/>
      <w:r w:rsidR="00B34745">
        <w:rPr>
          <w:sz w:val="28"/>
          <w:szCs w:val="28"/>
        </w:rPr>
        <w:t xml:space="preserve"> for the VFA</w:t>
      </w:r>
    </w:p>
    <w:p w14:paraId="3C85F269" w14:textId="268FBBC1" w:rsidR="005B33EB" w:rsidRPr="00D57343" w:rsidRDefault="005B33EB" w:rsidP="00C0561D">
      <w:pPr>
        <w:pStyle w:val="VFANormal"/>
        <w:rPr>
          <w:rFonts w:asciiTheme="minorHAnsi" w:hAnsiTheme="minorHAnsi" w:cstheme="minorHAnsi"/>
          <w:sz w:val="22"/>
          <w:szCs w:val="20"/>
        </w:rPr>
      </w:pPr>
      <w:r w:rsidRPr="00D57343">
        <w:rPr>
          <w:rFonts w:asciiTheme="minorHAnsi" w:hAnsiTheme="minorHAnsi" w:cstheme="minorHAnsi"/>
          <w:sz w:val="22"/>
          <w:szCs w:val="20"/>
        </w:rPr>
        <w:t>On 1 January 2018, the Minister for Fishing and Boating (</w:t>
      </w:r>
      <w:r w:rsidRPr="00E574C4">
        <w:rPr>
          <w:rFonts w:asciiTheme="minorHAnsi" w:hAnsiTheme="minorHAnsi" w:cstheme="minorHAnsi"/>
          <w:sz w:val="22"/>
          <w:szCs w:val="20"/>
        </w:rPr>
        <w:t xml:space="preserve">then </w:t>
      </w:r>
      <w:r w:rsidR="00E574C4">
        <w:rPr>
          <w:rFonts w:asciiTheme="minorHAnsi" w:hAnsiTheme="minorHAnsi" w:cstheme="minorHAnsi"/>
          <w:sz w:val="22"/>
          <w:szCs w:val="20"/>
        </w:rPr>
        <w:t>Agriculture</w:t>
      </w:r>
      <w:r w:rsidRPr="00D57343">
        <w:rPr>
          <w:rFonts w:asciiTheme="minorHAnsi" w:hAnsiTheme="minorHAnsi" w:cstheme="minorHAnsi"/>
          <w:sz w:val="22"/>
          <w:szCs w:val="20"/>
        </w:rPr>
        <w:t>) issued the VFA with a SOE for the period to 30 June 2020, which related to the following areas:</w:t>
      </w:r>
    </w:p>
    <w:p w14:paraId="79B18394" w14:textId="77777777" w:rsidR="005B33EB" w:rsidRPr="00D57343" w:rsidRDefault="005B33EB" w:rsidP="009A7DB4">
      <w:pPr>
        <w:pStyle w:val="VFANormal"/>
        <w:numPr>
          <w:ilvl w:val="0"/>
          <w:numId w:val="2"/>
        </w:numPr>
        <w:rPr>
          <w:rFonts w:asciiTheme="minorHAnsi" w:hAnsiTheme="minorHAnsi" w:cstheme="minorHAnsi"/>
          <w:sz w:val="22"/>
          <w:szCs w:val="20"/>
        </w:rPr>
      </w:pPr>
      <w:bookmarkStart w:id="2" w:name="_Hlk41318126"/>
      <w:r w:rsidRPr="00D57343">
        <w:rPr>
          <w:rFonts w:asciiTheme="minorHAnsi" w:hAnsiTheme="minorHAnsi" w:cstheme="minorHAnsi"/>
          <w:sz w:val="22"/>
          <w:szCs w:val="20"/>
        </w:rPr>
        <w:t>Timeliness</w:t>
      </w:r>
    </w:p>
    <w:p w14:paraId="2A11B203" w14:textId="77777777"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Risk-based strategies</w:t>
      </w:r>
    </w:p>
    <w:p w14:paraId="03E6F0A4" w14:textId="77777777"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Compliance-related assistance and advice</w:t>
      </w:r>
    </w:p>
    <w:p w14:paraId="4DAA64FF" w14:textId="77777777"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Incentive-based regulations</w:t>
      </w:r>
    </w:p>
    <w:p w14:paraId="1CF164EE" w14:textId="77777777"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Cooperation among regulators</w:t>
      </w:r>
    </w:p>
    <w:p w14:paraId="73B9AD37" w14:textId="77777777"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Stakeholder consultation and engagement</w:t>
      </w:r>
    </w:p>
    <w:p w14:paraId="3536FE02" w14:textId="77777777"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Accountability and transparency</w:t>
      </w:r>
    </w:p>
    <w:p w14:paraId="19BB6347" w14:textId="50C4F8B4" w:rsidR="005B33EB" w:rsidRPr="00D57343" w:rsidRDefault="005B33EB" w:rsidP="009A7DB4">
      <w:pPr>
        <w:pStyle w:val="VFANormal"/>
        <w:numPr>
          <w:ilvl w:val="0"/>
          <w:numId w:val="2"/>
        </w:numPr>
        <w:rPr>
          <w:rFonts w:asciiTheme="minorHAnsi" w:hAnsiTheme="minorHAnsi" w:cstheme="minorHAnsi"/>
          <w:sz w:val="22"/>
          <w:szCs w:val="20"/>
        </w:rPr>
      </w:pPr>
      <w:r w:rsidRPr="00D57343">
        <w:rPr>
          <w:rFonts w:asciiTheme="minorHAnsi" w:hAnsiTheme="minorHAnsi" w:cstheme="minorHAnsi"/>
          <w:sz w:val="22"/>
          <w:szCs w:val="20"/>
        </w:rPr>
        <w:t>Clear and consistent regulatory activities</w:t>
      </w:r>
    </w:p>
    <w:bookmarkEnd w:id="2"/>
    <w:p w14:paraId="35998700" w14:textId="35E5C74C" w:rsidR="005D0B2A" w:rsidRPr="005D0B2A" w:rsidRDefault="005D0B2A" w:rsidP="005D0B2A">
      <w:pPr>
        <w:pStyle w:val="VFANormal"/>
        <w:rPr>
          <w:rFonts w:asciiTheme="minorHAnsi" w:hAnsiTheme="minorHAnsi" w:cstheme="minorHAnsi"/>
          <w:sz w:val="22"/>
          <w:szCs w:val="22"/>
        </w:rPr>
      </w:pPr>
      <w:r>
        <w:rPr>
          <w:rFonts w:asciiTheme="minorHAnsi" w:hAnsiTheme="minorHAnsi" w:cstheme="minorHAnsi"/>
          <w:sz w:val="22"/>
          <w:szCs w:val="22"/>
        </w:rPr>
        <w:t xml:space="preserve">At the time of the SOE’s creation, the VFA </w:t>
      </w:r>
      <w:r w:rsidR="00EF5E97">
        <w:rPr>
          <w:rFonts w:asciiTheme="minorHAnsi" w:hAnsiTheme="minorHAnsi" w:cstheme="minorHAnsi"/>
          <w:sz w:val="22"/>
          <w:szCs w:val="22"/>
        </w:rPr>
        <w:t xml:space="preserve">reported to the Minister through the Department of Economic Development, Jobs, Transport and Resources (DEDJTR).  </w:t>
      </w:r>
      <w:r w:rsidR="00EF5E97">
        <w:rPr>
          <w:rFonts w:asciiTheme="minorHAnsi" w:hAnsiTheme="minorHAnsi"/>
          <w:sz w:val="22"/>
          <w:szCs w:val="22"/>
        </w:rPr>
        <w:t xml:space="preserve">In the </w:t>
      </w:r>
      <w:r w:rsidR="00EF5E97" w:rsidRPr="00121199">
        <w:rPr>
          <w:rFonts w:asciiTheme="minorHAnsi" w:hAnsiTheme="minorHAnsi"/>
          <w:sz w:val="22"/>
          <w:szCs w:val="22"/>
        </w:rPr>
        <w:t xml:space="preserve">machinery of government changes </w:t>
      </w:r>
      <w:r w:rsidR="00EF5E97">
        <w:rPr>
          <w:rFonts w:asciiTheme="minorHAnsi" w:hAnsiTheme="minorHAnsi"/>
          <w:sz w:val="22"/>
          <w:szCs w:val="22"/>
        </w:rPr>
        <w:t xml:space="preserve">resulting from </w:t>
      </w:r>
      <w:r w:rsidR="00EF5E97" w:rsidRPr="00121199">
        <w:rPr>
          <w:rFonts w:asciiTheme="minorHAnsi" w:hAnsiTheme="minorHAnsi"/>
          <w:sz w:val="22"/>
          <w:szCs w:val="22"/>
        </w:rPr>
        <w:t>the 2018 State election, the VFA was transferred to the portfolio of the Department of Transport (DoT).</w:t>
      </w:r>
    </w:p>
    <w:p w14:paraId="79FF8EEB" w14:textId="467E8C81" w:rsidR="005D0B2A" w:rsidRDefault="005D0B2A" w:rsidP="005D0B2A">
      <w:pPr>
        <w:pStyle w:val="VFANormal"/>
        <w:rPr>
          <w:rFonts w:asciiTheme="minorHAnsi" w:hAnsiTheme="minorHAnsi" w:cstheme="minorHAnsi"/>
          <w:sz w:val="22"/>
          <w:szCs w:val="22"/>
        </w:rPr>
      </w:pPr>
    </w:p>
    <w:p w14:paraId="7FE10AEC" w14:textId="776D0CAC" w:rsidR="00EF5E97" w:rsidRDefault="00EF5E97" w:rsidP="005D0B2A">
      <w:pPr>
        <w:pStyle w:val="VFANormal"/>
        <w:rPr>
          <w:rFonts w:asciiTheme="minorHAnsi" w:hAnsiTheme="minorHAnsi" w:cstheme="minorHAnsi"/>
          <w:sz w:val="22"/>
          <w:szCs w:val="22"/>
        </w:rPr>
      </w:pPr>
    </w:p>
    <w:p w14:paraId="2D8C15F3" w14:textId="77777777" w:rsidR="00EF5E97" w:rsidRPr="005D0B2A" w:rsidRDefault="00EF5E97" w:rsidP="005D0B2A">
      <w:pPr>
        <w:pStyle w:val="VFANormal"/>
        <w:rPr>
          <w:rFonts w:asciiTheme="minorHAnsi" w:hAnsiTheme="minorHAnsi" w:cstheme="minorHAnsi"/>
          <w:sz w:val="22"/>
          <w:szCs w:val="22"/>
        </w:rPr>
      </w:pPr>
    </w:p>
    <w:p w14:paraId="68370AEC" w14:textId="5C1AC63B" w:rsidR="00B86CB3" w:rsidRPr="00D57343" w:rsidRDefault="00C86FA2" w:rsidP="00D57343">
      <w:pPr>
        <w:pStyle w:val="VFAHeading1"/>
        <w:spacing w:before="160" w:after="160"/>
        <w:rPr>
          <w:sz w:val="28"/>
          <w:szCs w:val="28"/>
        </w:rPr>
      </w:pPr>
      <w:bookmarkStart w:id="3" w:name="_Toc48750125"/>
      <w:r w:rsidRPr="00D57343">
        <w:rPr>
          <w:sz w:val="28"/>
          <w:szCs w:val="28"/>
        </w:rPr>
        <w:lastRenderedPageBreak/>
        <w:t>E</w:t>
      </w:r>
      <w:r w:rsidR="00B86CB3" w:rsidRPr="00D57343">
        <w:rPr>
          <w:sz w:val="28"/>
          <w:szCs w:val="28"/>
        </w:rPr>
        <w:t>valuation objectives</w:t>
      </w:r>
      <w:bookmarkEnd w:id="3"/>
    </w:p>
    <w:p w14:paraId="41356912" w14:textId="2DB2AD63" w:rsidR="00B629BC" w:rsidRPr="00D57343" w:rsidRDefault="00B629BC" w:rsidP="00C0561D">
      <w:pPr>
        <w:pStyle w:val="VFANormal"/>
        <w:rPr>
          <w:rFonts w:asciiTheme="minorHAnsi" w:hAnsiTheme="minorHAnsi" w:cstheme="minorHAnsi"/>
          <w:sz w:val="22"/>
          <w:szCs w:val="22"/>
        </w:rPr>
      </w:pPr>
      <w:bookmarkStart w:id="4" w:name="_Hlk40879175"/>
      <w:r w:rsidRPr="00D57343">
        <w:rPr>
          <w:rFonts w:asciiTheme="minorHAnsi" w:hAnsiTheme="minorHAnsi" w:cstheme="minorHAnsi"/>
          <w:sz w:val="22"/>
          <w:szCs w:val="22"/>
        </w:rPr>
        <w:t xml:space="preserve">This report evaluates the VFA’s SOE in </w:t>
      </w:r>
      <w:r w:rsidR="007867ED" w:rsidRPr="00D57343">
        <w:rPr>
          <w:rFonts w:asciiTheme="minorHAnsi" w:hAnsiTheme="minorHAnsi" w:cstheme="minorHAnsi"/>
          <w:sz w:val="22"/>
          <w:szCs w:val="22"/>
        </w:rPr>
        <w:t xml:space="preserve">accordance with </w:t>
      </w:r>
      <w:r w:rsidRPr="00D57343">
        <w:rPr>
          <w:rFonts w:asciiTheme="minorHAnsi" w:hAnsiTheme="minorHAnsi" w:cstheme="minorHAnsi"/>
          <w:sz w:val="22"/>
          <w:szCs w:val="22"/>
        </w:rPr>
        <w:t xml:space="preserve">the Department of Treasury and Finance’s </w:t>
      </w:r>
      <w:r w:rsidRPr="00D57343">
        <w:rPr>
          <w:rFonts w:asciiTheme="minorHAnsi" w:hAnsiTheme="minorHAnsi" w:cstheme="minorHAnsi"/>
          <w:i/>
          <w:iCs/>
          <w:sz w:val="22"/>
          <w:szCs w:val="22"/>
        </w:rPr>
        <w:t>Guidelines for Evaluation of Statements of Expectations for Regulators</w:t>
      </w:r>
      <w:r w:rsidRPr="00D57343">
        <w:rPr>
          <w:rFonts w:asciiTheme="minorHAnsi" w:hAnsiTheme="minorHAnsi" w:cstheme="minorHAnsi"/>
          <w:sz w:val="22"/>
          <w:szCs w:val="22"/>
        </w:rPr>
        <w:t xml:space="preserve"> </w:t>
      </w:r>
      <w:r w:rsidR="00C8003A" w:rsidRPr="00D57343">
        <w:rPr>
          <w:rFonts w:asciiTheme="minorHAnsi" w:hAnsiTheme="minorHAnsi" w:cstheme="minorHAnsi"/>
          <w:sz w:val="22"/>
          <w:szCs w:val="22"/>
        </w:rPr>
        <w:t xml:space="preserve">(the DTF Guidelines) </w:t>
      </w:r>
      <w:r w:rsidRPr="00D57343">
        <w:rPr>
          <w:rFonts w:asciiTheme="minorHAnsi" w:hAnsiTheme="minorHAnsi" w:cstheme="minorHAnsi"/>
          <w:sz w:val="22"/>
          <w:szCs w:val="22"/>
        </w:rPr>
        <w:t>in relation to:</w:t>
      </w:r>
    </w:p>
    <w:p w14:paraId="4519FF0A" w14:textId="3648C981" w:rsidR="00B629BC" w:rsidRPr="00D57343" w:rsidRDefault="00B629BC" w:rsidP="009A7DB4">
      <w:pPr>
        <w:pStyle w:val="VFANormal"/>
        <w:numPr>
          <w:ilvl w:val="0"/>
          <w:numId w:val="5"/>
        </w:numPr>
        <w:rPr>
          <w:rFonts w:asciiTheme="minorHAnsi" w:hAnsiTheme="minorHAnsi" w:cstheme="minorHAnsi"/>
          <w:sz w:val="22"/>
          <w:szCs w:val="22"/>
        </w:rPr>
      </w:pPr>
      <w:r w:rsidRPr="00D57343">
        <w:rPr>
          <w:rFonts w:asciiTheme="minorHAnsi" w:hAnsiTheme="minorHAnsi" w:cstheme="minorHAnsi"/>
          <w:sz w:val="22"/>
          <w:szCs w:val="22"/>
        </w:rPr>
        <w:t>The VFA’s SOE development process</w:t>
      </w:r>
      <w:r w:rsidR="001E0EE9" w:rsidRPr="00D57343">
        <w:rPr>
          <w:rFonts w:asciiTheme="minorHAnsi" w:hAnsiTheme="minorHAnsi" w:cstheme="minorHAnsi"/>
          <w:sz w:val="22"/>
          <w:szCs w:val="22"/>
        </w:rPr>
        <w:t>.</w:t>
      </w:r>
    </w:p>
    <w:p w14:paraId="78B7053C" w14:textId="0474232D" w:rsidR="00B629BC" w:rsidRPr="00D57343" w:rsidRDefault="00B629BC" w:rsidP="009A7DB4">
      <w:pPr>
        <w:pStyle w:val="VFANormal"/>
        <w:numPr>
          <w:ilvl w:val="0"/>
          <w:numId w:val="5"/>
        </w:numPr>
        <w:rPr>
          <w:rFonts w:asciiTheme="minorHAnsi" w:hAnsiTheme="minorHAnsi" w:cstheme="minorHAnsi"/>
          <w:sz w:val="22"/>
          <w:szCs w:val="22"/>
        </w:rPr>
      </w:pPr>
      <w:r w:rsidRPr="00D57343">
        <w:rPr>
          <w:rFonts w:asciiTheme="minorHAnsi" w:hAnsiTheme="minorHAnsi" w:cstheme="minorHAnsi"/>
          <w:sz w:val="22"/>
          <w:szCs w:val="22"/>
        </w:rPr>
        <w:t>The delivery of the improvements and targets described in the VFA’s SOE response.</w:t>
      </w:r>
    </w:p>
    <w:p w14:paraId="05839F85" w14:textId="0DDFEA81" w:rsidR="007F4D10" w:rsidRPr="00BB679C" w:rsidRDefault="00B629BC" w:rsidP="009A7DB4">
      <w:pPr>
        <w:pStyle w:val="VFANormal"/>
        <w:numPr>
          <w:ilvl w:val="0"/>
          <w:numId w:val="5"/>
        </w:numPr>
        <w:spacing w:after="0"/>
        <w:rPr>
          <w:sz w:val="20"/>
          <w:szCs w:val="20"/>
        </w:rPr>
      </w:pPr>
      <w:bookmarkStart w:id="5" w:name="_Hlk49177146"/>
      <w:r w:rsidRPr="00BB679C">
        <w:rPr>
          <w:rFonts w:asciiTheme="minorHAnsi" w:hAnsiTheme="minorHAnsi" w:cstheme="minorHAnsi"/>
          <w:sz w:val="22"/>
          <w:szCs w:val="22"/>
        </w:rPr>
        <w:t>The impact the SOE has made towards achieving greater efficiency and effectiveness in the VFA’s administration and enforcement of regulation.</w:t>
      </w:r>
      <w:bookmarkEnd w:id="4"/>
    </w:p>
    <w:p w14:paraId="258B6385" w14:textId="2395CF1A" w:rsidR="007F4D10" w:rsidRPr="004203E9" w:rsidRDefault="009F71E3" w:rsidP="00C0561D">
      <w:pPr>
        <w:pStyle w:val="VFAHeading1"/>
        <w:spacing w:after="240"/>
        <w:rPr>
          <w:sz w:val="28"/>
          <w:szCs w:val="28"/>
        </w:rPr>
      </w:pPr>
      <w:bookmarkStart w:id="6" w:name="_Toc48750126"/>
      <w:bookmarkEnd w:id="5"/>
      <w:r w:rsidRPr="004203E9">
        <w:rPr>
          <w:sz w:val="28"/>
          <w:szCs w:val="28"/>
        </w:rPr>
        <w:t>Evaluation Methodology</w:t>
      </w:r>
      <w:bookmarkEnd w:id="6"/>
    </w:p>
    <w:p w14:paraId="7F99EAA0" w14:textId="1ED46691" w:rsidR="00B629BC" w:rsidRPr="004751FF" w:rsidRDefault="00C8003A" w:rsidP="00C0561D">
      <w:pPr>
        <w:rPr>
          <w:rFonts w:asciiTheme="minorHAnsi" w:eastAsia="Times New Roman" w:hAnsiTheme="minorHAnsi" w:cstheme="minorHAnsi"/>
          <w:sz w:val="22"/>
          <w:szCs w:val="22"/>
          <w:lang w:eastAsia="en-US"/>
        </w:rPr>
      </w:pPr>
      <w:r w:rsidRPr="004751FF">
        <w:rPr>
          <w:rFonts w:asciiTheme="minorHAnsi" w:eastAsia="Times New Roman" w:hAnsiTheme="minorHAnsi" w:cstheme="minorHAnsi"/>
          <w:sz w:val="22"/>
          <w:szCs w:val="22"/>
          <w:lang w:eastAsia="en-US"/>
        </w:rPr>
        <w:t xml:space="preserve">The DTF Guidelines specify that evaluations </w:t>
      </w:r>
      <w:r w:rsidR="00524C45" w:rsidRPr="004751FF">
        <w:rPr>
          <w:rFonts w:asciiTheme="minorHAnsi" w:eastAsia="Times New Roman" w:hAnsiTheme="minorHAnsi" w:cstheme="minorHAnsi"/>
          <w:sz w:val="22"/>
          <w:szCs w:val="22"/>
          <w:lang w:eastAsia="en-US"/>
        </w:rPr>
        <w:t xml:space="preserve">be </w:t>
      </w:r>
      <w:r w:rsidRPr="004751FF">
        <w:rPr>
          <w:rFonts w:asciiTheme="minorHAnsi" w:eastAsia="Times New Roman" w:hAnsiTheme="minorHAnsi" w:cstheme="minorHAnsi"/>
          <w:sz w:val="22"/>
          <w:szCs w:val="22"/>
          <w:lang w:eastAsia="en-US"/>
        </w:rPr>
        <w:t xml:space="preserve">comprised of two components: </w:t>
      </w:r>
    </w:p>
    <w:p w14:paraId="61E82E72" w14:textId="731637B0" w:rsidR="00BC6582" w:rsidRPr="004751FF" w:rsidRDefault="00B629BC" w:rsidP="009A7DB4">
      <w:pPr>
        <w:pStyle w:val="VFANormal"/>
        <w:numPr>
          <w:ilvl w:val="0"/>
          <w:numId w:val="4"/>
        </w:numPr>
        <w:spacing w:before="120"/>
        <w:ind w:left="714" w:hanging="357"/>
        <w:rPr>
          <w:rFonts w:asciiTheme="minorHAnsi" w:hAnsiTheme="minorHAnsi" w:cstheme="minorHAnsi"/>
          <w:sz w:val="22"/>
          <w:szCs w:val="22"/>
        </w:rPr>
      </w:pPr>
      <w:r w:rsidRPr="004751FF">
        <w:rPr>
          <w:rFonts w:asciiTheme="minorHAnsi" w:hAnsiTheme="minorHAnsi" w:cstheme="minorHAnsi"/>
          <w:sz w:val="22"/>
          <w:szCs w:val="22"/>
        </w:rPr>
        <w:t>A</w:t>
      </w:r>
      <w:r w:rsidR="00C8003A" w:rsidRPr="004751FF">
        <w:rPr>
          <w:rFonts w:asciiTheme="minorHAnsi" w:hAnsiTheme="minorHAnsi" w:cstheme="minorHAnsi"/>
          <w:sz w:val="22"/>
          <w:szCs w:val="22"/>
        </w:rPr>
        <w:t xml:space="preserve"> process evaluation, that is, an </w:t>
      </w:r>
      <w:r w:rsidRPr="004751FF">
        <w:rPr>
          <w:rFonts w:asciiTheme="minorHAnsi" w:hAnsiTheme="minorHAnsi" w:cstheme="minorHAnsi"/>
          <w:sz w:val="22"/>
          <w:szCs w:val="22"/>
        </w:rPr>
        <w:t>evaluation of the process used to develop the VFA’s SOE</w:t>
      </w:r>
      <w:r w:rsidR="00BC6582" w:rsidRPr="004751FF">
        <w:rPr>
          <w:rFonts w:asciiTheme="minorHAnsi" w:hAnsiTheme="minorHAnsi" w:cstheme="minorHAnsi"/>
          <w:sz w:val="22"/>
          <w:szCs w:val="22"/>
        </w:rPr>
        <w:t xml:space="preserve">, which </w:t>
      </w:r>
      <w:r w:rsidR="00AC3EFA" w:rsidRPr="004751FF">
        <w:rPr>
          <w:rFonts w:asciiTheme="minorHAnsi" w:hAnsiTheme="minorHAnsi" w:cstheme="minorHAnsi"/>
          <w:sz w:val="22"/>
          <w:szCs w:val="22"/>
        </w:rPr>
        <w:t>asks</w:t>
      </w:r>
      <w:r w:rsidR="00BC6582" w:rsidRPr="004751FF">
        <w:rPr>
          <w:rFonts w:asciiTheme="minorHAnsi" w:hAnsiTheme="minorHAnsi" w:cstheme="minorHAnsi"/>
          <w:sz w:val="22"/>
          <w:szCs w:val="22"/>
        </w:rPr>
        <w:t>:</w:t>
      </w:r>
    </w:p>
    <w:p w14:paraId="0C82E1AB" w14:textId="5AEF3F6B" w:rsidR="00B629BC" w:rsidRPr="004751FF" w:rsidRDefault="00BC6582" w:rsidP="009A7DB4">
      <w:pPr>
        <w:pStyle w:val="VFANormal"/>
        <w:numPr>
          <w:ilvl w:val="1"/>
          <w:numId w:val="4"/>
        </w:numPr>
        <w:spacing w:before="120"/>
        <w:rPr>
          <w:rFonts w:asciiTheme="minorHAnsi" w:hAnsiTheme="minorHAnsi" w:cstheme="minorHAnsi"/>
          <w:sz w:val="22"/>
          <w:szCs w:val="22"/>
        </w:rPr>
      </w:pPr>
      <w:r w:rsidRPr="004751FF">
        <w:rPr>
          <w:rFonts w:asciiTheme="minorHAnsi" w:hAnsiTheme="minorHAnsi" w:cstheme="minorHAnsi"/>
          <w:sz w:val="22"/>
          <w:szCs w:val="22"/>
        </w:rPr>
        <w:t>How aligned is the VFA’s SOE to the SOE Framework</w:t>
      </w:r>
      <w:r w:rsidR="00B629BC" w:rsidRPr="004751FF">
        <w:rPr>
          <w:rFonts w:asciiTheme="minorHAnsi" w:hAnsiTheme="minorHAnsi" w:cstheme="minorHAnsi"/>
          <w:sz w:val="22"/>
          <w:szCs w:val="22"/>
        </w:rPr>
        <w:t>; and</w:t>
      </w:r>
    </w:p>
    <w:p w14:paraId="2760D1DA" w14:textId="257BE0C6" w:rsidR="00BC6582" w:rsidRPr="004751FF" w:rsidRDefault="00AC3EFA" w:rsidP="009A7DB4">
      <w:pPr>
        <w:pStyle w:val="VFANormal"/>
        <w:numPr>
          <w:ilvl w:val="1"/>
          <w:numId w:val="4"/>
        </w:numPr>
        <w:spacing w:before="120"/>
        <w:rPr>
          <w:rFonts w:asciiTheme="minorHAnsi" w:hAnsiTheme="minorHAnsi" w:cstheme="minorHAnsi"/>
          <w:sz w:val="22"/>
          <w:szCs w:val="22"/>
        </w:rPr>
      </w:pPr>
      <w:r w:rsidRPr="004751FF">
        <w:rPr>
          <w:rFonts w:asciiTheme="minorHAnsi" w:hAnsiTheme="minorHAnsi" w:cstheme="minorHAnsi"/>
          <w:sz w:val="22"/>
          <w:szCs w:val="22"/>
        </w:rPr>
        <w:t>How appropriate was the process for developing the SOE?</w:t>
      </w:r>
    </w:p>
    <w:p w14:paraId="14180FB3" w14:textId="4579CD80" w:rsidR="00B629BC" w:rsidRPr="004751FF" w:rsidRDefault="00B629BC" w:rsidP="009A7DB4">
      <w:pPr>
        <w:pStyle w:val="VFANormal"/>
        <w:numPr>
          <w:ilvl w:val="0"/>
          <w:numId w:val="4"/>
        </w:numPr>
        <w:rPr>
          <w:rFonts w:asciiTheme="minorHAnsi" w:hAnsiTheme="minorHAnsi" w:cstheme="minorHAnsi"/>
          <w:sz w:val="22"/>
          <w:szCs w:val="22"/>
        </w:rPr>
      </w:pPr>
      <w:r w:rsidRPr="004751FF">
        <w:rPr>
          <w:rFonts w:asciiTheme="minorHAnsi" w:hAnsiTheme="minorHAnsi" w:cstheme="minorHAnsi"/>
          <w:sz w:val="22"/>
          <w:szCs w:val="22"/>
        </w:rPr>
        <w:t>An outcome evaluation</w:t>
      </w:r>
      <w:r w:rsidR="00C8003A" w:rsidRPr="004751FF">
        <w:rPr>
          <w:rFonts w:asciiTheme="minorHAnsi" w:hAnsiTheme="minorHAnsi" w:cstheme="minorHAnsi"/>
          <w:sz w:val="22"/>
          <w:szCs w:val="22"/>
        </w:rPr>
        <w:t xml:space="preserve">, that is, an evaluation of </w:t>
      </w:r>
      <w:r w:rsidRPr="004751FF">
        <w:rPr>
          <w:rFonts w:asciiTheme="minorHAnsi" w:hAnsiTheme="minorHAnsi" w:cstheme="minorHAnsi"/>
          <w:sz w:val="22"/>
          <w:szCs w:val="22"/>
        </w:rPr>
        <w:t>the VFA’s performance in delivering the SOE</w:t>
      </w:r>
      <w:r w:rsidR="00C8003A" w:rsidRPr="004751FF">
        <w:rPr>
          <w:rFonts w:asciiTheme="minorHAnsi" w:hAnsiTheme="minorHAnsi" w:cstheme="minorHAnsi"/>
          <w:sz w:val="22"/>
          <w:szCs w:val="22"/>
        </w:rPr>
        <w:t xml:space="preserve"> on time and on budget</w:t>
      </w:r>
      <w:r w:rsidRPr="004751FF">
        <w:rPr>
          <w:rFonts w:asciiTheme="minorHAnsi" w:hAnsiTheme="minorHAnsi" w:cstheme="minorHAnsi"/>
          <w:sz w:val="22"/>
          <w:szCs w:val="22"/>
        </w:rPr>
        <w:t>.</w:t>
      </w:r>
    </w:p>
    <w:p w14:paraId="3C97D433" w14:textId="320F89CE" w:rsidR="00C8003A" w:rsidRPr="004751FF" w:rsidRDefault="001E0EE9" w:rsidP="00C0561D">
      <w:pPr>
        <w:pStyle w:val="VFANormal"/>
        <w:rPr>
          <w:rFonts w:asciiTheme="minorHAnsi" w:hAnsiTheme="minorHAnsi" w:cstheme="minorHAnsi"/>
          <w:sz w:val="22"/>
          <w:szCs w:val="22"/>
        </w:rPr>
      </w:pPr>
      <w:r w:rsidRPr="004751FF">
        <w:rPr>
          <w:rFonts w:asciiTheme="minorHAnsi" w:hAnsiTheme="minorHAnsi" w:cstheme="minorHAnsi"/>
          <w:sz w:val="22"/>
          <w:szCs w:val="22"/>
        </w:rPr>
        <w:t>The evaluation was based on information gathered from:</w:t>
      </w:r>
    </w:p>
    <w:p w14:paraId="3BAD4FBE" w14:textId="602A6BC7" w:rsidR="001E0EE9" w:rsidRPr="004751FF" w:rsidRDefault="001E0EE9" w:rsidP="009A7DB4">
      <w:pPr>
        <w:pStyle w:val="VFANormal"/>
        <w:numPr>
          <w:ilvl w:val="0"/>
          <w:numId w:val="6"/>
        </w:numPr>
        <w:rPr>
          <w:rFonts w:asciiTheme="minorHAnsi" w:hAnsiTheme="minorHAnsi" w:cstheme="minorHAnsi"/>
          <w:sz w:val="22"/>
          <w:szCs w:val="22"/>
        </w:rPr>
      </w:pPr>
      <w:r w:rsidRPr="004751FF">
        <w:rPr>
          <w:rFonts w:asciiTheme="minorHAnsi" w:hAnsiTheme="minorHAnsi" w:cstheme="minorHAnsi"/>
          <w:sz w:val="22"/>
          <w:szCs w:val="22"/>
        </w:rPr>
        <w:t>The VFA’s Annual Reports</w:t>
      </w:r>
      <w:r w:rsidR="006A1626">
        <w:rPr>
          <w:rFonts w:asciiTheme="minorHAnsi" w:hAnsiTheme="minorHAnsi" w:cstheme="minorHAnsi"/>
          <w:sz w:val="22"/>
          <w:szCs w:val="22"/>
        </w:rPr>
        <w:t>;</w:t>
      </w:r>
    </w:p>
    <w:p w14:paraId="3BAB4127" w14:textId="5675989E" w:rsidR="001E0EE9" w:rsidRPr="004751FF" w:rsidRDefault="00AC125C" w:rsidP="009A7DB4">
      <w:pPr>
        <w:pStyle w:val="VFANormal"/>
        <w:numPr>
          <w:ilvl w:val="0"/>
          <w:numId w:val="6"/>
        </w:numPr>
        <w:rPr>
          <w:rFonts w:asciiTheme="minorHAnsi" w:hAnsiTheme="minorHAnsi" w:cstheme="minorHAnsi"/>
          <w:sz w:val="22"/>
          <w:szCs w:val="22"/>
        </w:rPr>
      </w:pPr>
      <w:r w:rsidRPr="004751FF">
        <w:rPr>
          <w:rFonts w:asciiTheme="minorHAnsi" w:hAnsiTheme="minorHAnsi" w:cstheme="minorHAnsi"/>
          <w:sz w:val="22"/>
          <w:szCs w:val="22"/>
        </w:rPr>
        <w:t>Evaluation reports and independent reviews</w:t>
      </w:r>
      <w:r w:rsidR="006A1626">
        <w:rPr>
          <w:rFonts w:asciiTheme="minorHAnsi" w:hAnsiTheme="minorHAnsi" w:cstheme="minorHAnsi"/>
          <w:sz w:val="22"/>
          <w:szCs w:val="22"/>
        </w:rPr>
        <w:t>;</w:t>
      </w:r>
    </w:p>
    <w:p w14:paraId="296A23C1" w14:textId="786CD1BE" w:rsidR="00AC125C" w:rsidRPr="004751FF" w:rsidRDefault="00AC125C" w:rsidP="009A7DB4">
      <w:pPr>
        <w:pStyle w:val="VFANormal"/>
        <w:numPr>
          <w:ilvl w:val="0"/>
          <w:numId w:val="6"/>
        </w:numPr>
        <w:rPr>
          <w:rFonts w:asciiTheme="minorHAnsi" w:hAnsiTheme="minorHAnsi" w:cstheme="minorHAnsi"/>
          <w:sz w:val="22"/>
          <w:szCs w:val="22"/>
        </w:rPr>
      </w:pPr>
      <w:r w:rsidRPr="004751FF">
        <w:rPr>
          <w:rFonts w:asciiTheme="minorHAnsi" w:hAnsiTheme="minorHAnsi" w:cstheme="minorHAnsi"/>
          <w:sz w:val="22"/>
          <w:szCs w:val="22"/>
        </w:rPr>
        <w:t>Internal project material</w:t>
      </w:r>
      <w:r w:rsidR="006A1626">
        <w:rPr>
          <w:rFonts w:asciiTheme="minorHAnsi" w:hAnsiTheme="minorHAnsi" w:cstheme="minorHAnsi"/>
          <w:sz w:val="22"/>
          <w:szCs w:val="22"/>
        </w:rPr>
        <w:t>;</w:t>
      </w:r>
    </w:p>
    <w:p w14:paraId="09A728C8" w14:textId="105C02BE" w:rsidR="00AC125C" w:rsidRPr="004751FF" w:rsidRDefault="00AC125C" w:rsidP="009A7DB4">
      <w:pPr>
        <w:pStyle w:val="VFANormal"/>
        <w:numPr>
          <w:ilvl w:val="0"/>
          <w:numId w:val="6"/>
        </w:numPr>
        <w:rPr>
          <w:rFonts w:asciiTheme="minorHAnsi" w:hAnsiTheme="minorHAnsi" w:cstheme="minorHAnsi"/>
          <w:sz w:val="22"/>
          <w:szCs w:val="22"/>
        </w:rPr>
      </w:pPr>
      <w:r w:rsidRPr="004751FF">
        <w:rPr>
          <w:rFonts w:asciiTheme="minorHAnsi" w:hAnsiTheme="minorHAnsi" w:cstheme="minorHAnsi"/>
          <w:sz w:val="22"/>
          <w:szCs w:val="22"/>
        </w:rPr>
        <w:t>The VFA’s website, media releases and other published material</w:t>
      </w:r>
      <w:r w:rsidR="006A1626">
        <w:rPr>
          <w:rFonts w:asciiTheme="minorHAnsi" w:hAnsiTheme="minorHAnsi" w:cstheme="minorHAnsi"/>
          <w:sz w:val="22"/>
          <w:szCs w:val="22"/>
        </w:rPr>
        <w:t>; and</w:t>
      </w:r>
    </w:p>
    <w:p w14:paraId="6B19E501" w14:textId="34E1E90C" w:rsidR="00AC125C" w:rsidRPr="004751FF" w:rsidRDefault="00AC125C" w:rsidP="009A7DB4">
      <w:pPr>
        <w:pStyle w:val="VFANormal"/>
        <w:numPr>
          <w:ilvl w:val="0"/>
          <w:numId w:val="6"/>
        </w:numPr>
        <w:rPr>
          <w:rFonts w:asciiTheme="minorHAnsi" w:hAnsiTheme="minorHAnsi" w:cstheme="minorHAnsi"/>
          <w:sz w:val="22"/>
          <w:szCs w:val="22"/>
        </w:rPr>
      </w:pPr>
      <w:r w:rsidRPr="004751FF">
        <w:rPr>
          <w:rFonts w:asciiTheme="minorHAnsi" w:hAnsiTheme="minorHAnsi" w:cstheme="minorHAnsi"/>
          <w:sz w:val="22"/>
          <w:szCs w:val="22"/>
        </w:rPr>
        <w:t>Consultations with project leaders and program managers</w:t>
      </w:r>
      <w:r w:rsidR="006A1626">
        <w:rPr>
          <w:rFonts w:asciiTheme="minorHAnsi" w:hAnsiTheme="minorHAnsi" w:cstheme="minorHAnsi"/>
          <w:sz w:val="22"/>
          <w:szCs w:val="22"/>
        </w:rPr>
        <w:t>.</w:t>
      </w:r>
    </w:p>
    <w:p w14:paraId="0AF74F38" w14:textId="76C81C5C" w:rsidR="00F34094" w:rsidRPr="004751FF" w:rsidRDefault="00AC125C" w:rsidP="00C0561D">
      <w:pPr>
        <w:pStyle w:val="VFANormal"/>
        <w:rPr>
          <w:rFonts w:asciiTheme="minorHAnsi" w:hAnsiTheme="minorHAnsi" w:cstheme="minorHAnsi"/>
          <w:sz w:val="22"/>
          <w:szCs w:val="22"/>
        </w:rPr>
      </w:pPr>
      <w:r w:rsidRPr="004751FF">
        <w:rPr>
          <w:rFonts w:asciiTheme="minorHAnsi" w:hAnsiTheme="minorHAnsi" w:cstheme="minorHAnsi"/>
          <w:sz w:val="22"/>
          <w:szCs w:val="22"/>
        </w:rPr>
        <w:t xml:space="preserve">Analysis of the data enabled an assessment of how the </w:t>
      </w:r>
      <w:r w:rsidR="00D57343" w:rsidRPr="004751FF">
        <w:rPr>
          <w:rFonts w:asciiTheme="minorHAnsi" w:hAnsiTheme="minorHAnsi" w:cstheme="minorHAnsi"/>
          <w:sz w:val="22"/>
          <w:szCs w:val="22"/>
        </w:rPr>
        <w:t xml:space="preserve">VFA prepared the SOE and SOE response </w:t>
      </w:r>
      <w:r w:rsidR="00C32C6C" w:rsidRPr="004751FF">
        <w:rPr>
          <w:rFonts w:asciiTheme="minorHAnsi" w:hAnsiTheme="minorHAnsi" w:cstheme="minorHAnsi"/>
          <w:sz w:val="22"/>
          <w:szCs w:val="22"/>
        </w:rPr>
        <w:t>letter and</w:t>
      </w:r>
      <w:r w:rsidR="00D57343" w:rsidRPr="004751FF">
        <w:rPr>
          <w:rFonts w:asciiTheme="minorHAnsi" w:hAnsiTheme="minorHAnsi" w:cstheme="minorHAnsi"/>
          <w:sz w:val="22"/>
          <w:szCs w:val="22"/>
        </w:rPr>
        <w:t xml:space="preserve"> evaluated performance on the status and quality of implementation against the targets and improvements in the response letter.</w:t>
      </w:r>
    </w:p>
    <w:p w14:paraId="30AA4C54" w14:textId="1E4D7B88" w:rsidR="00D57343" w:rsidRPr="004751FF" w:rsidRDefault="00D57343" w:rsidP="00C0561D">
      <w:pPr>
        <w:pStyle w:val="VFANormal"/>
        <w:rPr>
          <w:rFonts w:asciiTheme="minorHAnsi" w:hAnsiTheme="minorHAnsi" w:cstheme="minorHAnsi"/>
          <w:sz w:val="22"/>
          <w:szCs w:val="22"/>
        </w:rPr>
      </w:pPr>
      <w:r w:rsidRPr="004751FF">
        <w:rPr>
          <w:rFonts w:asciiTheme="minorHAnsi" w:hAnsiTheme="minorHAnsi" w:cstheme="minorHAnsi"/>
          <w:sz w:val="22"/>
          <w:szCs w:val="22"/>
        </w:rPr>
        <w:t>As prescribed by the DTF Guidelines, the evaluation was conducted by an internal team from within the VFA’s Office of the CEO.</w:t>
      </w:r>
    </w:p>
    <w:p w14:paraId="31CFEFFE" w14:textId="7AFA23C6" w:rsidR="009F71E3" w:rsidRDefault="009F71E3" w:rsidP="00C0561D">
      <w:pPr>
        <w:pStyle w:val="VFAHeading1"/>
        <w:spacing w:after="240"/>
      </w:pPr>
      <w:bookmarkStart w:id="7" w:name="_Toc48750127"/>
      <w:bookmarkStart w:id="8" w:name="_Hlk40878909"/>
      <w:r>
        <w:t>Process Evaluation</w:t>
      </w:r>
      <w:r w:rsidR="004203E9">
        <w:t xml:space="preserve"> – Key Findings</w:t>
      </w:r>
      <w:bookmarkEnd w:id="7"/>
    </w:p>
    <w:bookmarkEnd w:id="8"/>
    <w:p w14:paraId="47879AB1" w14:textId="77777777" w:rsidR="00AC3EFA" w:rsidRPr="00E574C4" w:rsidRDefault="00AC3EFA" w:rsidP="00C0561D">
      <w:pPr>
        <w:rPr>
          <w:rFonts w:asciiTheme="minorHAnsi" w:hAnsiTheme="minorHAnsi" w:cstheme="minorHAnsi"/>
          <w:b/>
          <w:bCs/>
          <w:sz w:val="22"/>
          <w:szCs w:val="22"/>
        </w:rPr>
      </w:pPr>
      <w:r w:rsidRPr="00E574C4">
        <w:rPr>
          <w:rFonts w:asciiTheme="minorHAnsi" w:hAnsiTheme="minorHAnsi" w:cstheme="minorHAnsi"/>
          <w:b/>
          <w:bCs/>
          <w:sz w:val="22"/>
          <w:szCs w:val="22"/>
        </w:rPr>
        <w:t xml:space="preserve">How aligned is the VFA’s SOE to the SOE Framework? </w:t>
      </w:r>
    </w:p>
    <w:p w14:paraId="7D4E51CD" w14:textId="5248F2B5" w:rsidR="00AC3EFA" w:rsidRPr="00E574C4" w:rsidRDefault="00AC3EFA" w:rsidP="00C0561D">
      <w:pPr>
        <w:rPr>
          <w:rFonts w:asciiTheme="minorHAnsi" w:hAnsiTheme="minorHAnsi" w:cstheme="minorHAnsi"/>
          <w:sz w:val="22"/>
          <w:szCs w:val="22"/>
        </w:rPr>
      </w:pPr>
      <w:r w:rsidRPr="00E574C4">
        <w:rPr>
          <w:rFonts w:asciiTheme="minorHAnsi" w:hAnsiTheme="minorHAnsi" w:cstheme="minorHAnsi"/>
          <w:sz w:val="22"/>
          <w:szCs w:val="22"/>
        </w:rPr>
        <w:t xml:space="preserve">The SOE Framework consists of three mandatory elements of good regulatory practice and outlines a further </w:t>
      </w:r>
      <w:r w:rsidR="00082A4D" w:rsidRPr="00E574C4">
        <w:rPr>
          <w:rFonts w:asciiTheme="minorHAnsi" w:hAnsiTheme="minorHAnsi" w:cstheme="minorHAnsi"/>
          <w:sz w:val="22"/>
          <w:szCs w:val="22"/>
        </w:rPr>
        <w:t>six</w:t>
      </w:r>
      <w:r w:rsidRPr="00E574C4">
        <w:rPr>
          <w:rFonts w:asciiTheme="minorHAnsi" w:hAnsiTheme="minorHAnsi" w:cstheme="minorHAnsi"/>
          <w:sz w:val="22"/>
          <w:szCs w:val="22"/>
        </w:rPr>
        <w:t xml:space="preserve"> as recommended </w:t>
      </w:r>
      <w:r w:rsidR="00010F81" w:rsidRPr="00E574C4">
        <w:rPr>
          <w:rFonts w:asciiTheme="minorHAnsi" w:hAnsiTheme="minorHAnsi" w:cstheme="minorHAnsi"/>
          <w:sz w:val="22"/>
          <w:szCs w:val="22"/>
        </w:rPr>
        <w:t xml:space="preserve">and suggested </w:t>
      </w:r>
      <w:r w:rsidRPr="00E574C4">
        <w:rPr>
          <w:rFonts w:asciiTheme="minorHAnsi" w:hAnsiTheme="minorHAnsi" w:cstheme="minorHAnsi"/>
          <w:sz w:val="22"/>
          <w:szCs w:val="22"/>
        </w:rPr>
        <w:t xml:space="preserve">minimum standards. </w:t>
      </w:r>
      <w:r w:rsidR="00082A4D" w:rsidRPr="00E574C4">
        <w:rPr>
          <w:rFonts w:asciiTheme="minorHAnsi" w:hAnsiTheme="minorHAnsi" w:cstheme="minorHAnsi"/>
          <w:sz w:val="22"/>
          <w:szCs w:val="22"/>
        </w:rPr>
        <w:t xml:space="preserve"> The VFA’s SOE is aligned with the SOE Framework as it comprises all mandatory and recommended elements and four of the five suggested elements</w:t>
      </w:r>
      <w:r w:rsidR="00ED7DC7">
        <w:rPr>
          <w:rFonts w:asciiTheme="minorHAnsi" w:hAnsiTheme="minorHAnsi" w:cstheme="minorHAnsi"/>
          <w:sz w:val="22"/>
          <w:szCs w:val="22"/>
        </w:rPr>
        <w:t xml:space="preserve"> (as evidenced in the </w:t>
      </w:r>
      <w:r w:rsidR="006A1626">
        <w:rPr>
          <w:rFonts w:asciiTheme="minorHAnsi" w:hAnsiTheme="minorHAnsi" w:cstheme="minorHAnsi"/>
          <w:sz w:val="22"/>
          <w:szCs w:val="22"/>
        </w:rPr>
        <w:t xml:space="preserve">following </w:t>
      </w:r>
      <w:r w:rsidR="00ED7DC7">
        <w:rPr>
          <w:rFonts w:asciiTheme="minorHAnsi" w:hAnsiTheme="minorHAnsi" w:cstheme="minorHAnsi"/>
          <w:sz w:val="22"/>
          <w:szCs w:val="22"/>
        </w:rPr>
        <w:t>table)</w:t>
      </w:r>
      <w:r w:rsidR="00082A4D" w:rsidRPr="00E574C4">
        <w:rPr>
          <w:rFonts w:asciiTheme="minorHAnsi" w:hAnsiTheme="minorHAnsi" w:cstheme="minorHAnsi"/>
          <w:sz w:val="22"/>
          <w:szCs w:val="22"/>
        </w:rPr>
        <w:t>.</w:t>
      </w:r>
    </w:p>
    <w:p w14:paraId="44947E19" w14:textId="7232E1AB" w:rsidR="00082A4D" w:rsidRDefault="00082A4D" w:rsidP="00C0561D">
      <w:pPr>
        <w:rPr>
          <w:rFonts w:asciiTheme="minorHAnsi" w:hAnsiTheme="minorHAnsi" w:cstheme="minorHAnsi"/>
          <w:sz w:val="22"/>
          <w:szCs w:val="22"/>
        </w:rPr>
      </w:pPr>
    </w:p>
    <w:p w14:paraId="25084785" w14:textId="49AC9075" w:rsidR="00EF5E97" w:rsidRDefault="00EF5E97" w:rsidP="00C0561D">
      <w:pPr>
        <w:rPr>
          <w:rFonts w:asciiTheme="minorHAnsi" w:hAnsiTheme="minorHAnsi" w:cstheme="minorHAnsi"/>
          <w:sz w:val="22"/>
          <w:szCs w:val="22"/>
        </w:rPr>
      </w:pPr>
    </w:p>
    <w:p w14:paraId="7C2EBBDB" w14:textId="18322EA9" w:rsidR="00EF5E97" w:rsidRDefault="00EF5E97" w:rsidP="00C0561D">
      <w:pPr>
        <w:rPr>
          <w:rFonts w:asciiTheme="minorHAnsi" w:hAnsiTheme="minorHAnsi" w:cstheme="minorHAnsi"/>
          <w:sz w:val="22"/>
          <w:szCs w:val="22"/>
        </w:rPr>
      </w:pPr>
    </w:p>
    <w:p w14:paraId="5834C7CF" w14:textId="77777777" w:rsidR="006A1626" w:rsidRDefault="006A1626" w:rsidP="00C0561D">
      <w:pPr>
        <w:rPr>
          <w:rFonts w:asciiTheme="minorHAnsi" w:hAnsiTheme="minorHAnsi" w:cstheme="minorHAnsi"/>
          <w:sz w:val="22"/>
          <w:szCs w:val="22"/>
        </w:rPr>
      </w:pPr>
    </w:p>
    <w:p w14:paraId="4CC01428" w14:textId="7FD220F0" w:rsidR="00EF5E97" w:rsidRDefault="00EF5E97" w:rsidP="00C0561D">
      <w:pPr>
        <w:rPr>
          <w:rFonts w:asciiTheme="minorHAnsi" w:hAnsiTheme="minorHAnsi" w:cstheme="minorHAnsi"/>
          <w:sz w:val="22"/>
          <w:szCs w:val="22"/>
        </w:rPr>
      </w:pPr>
    </w:p>
    <w:p w14:paraId="3B46924C" w14:textId="1D6731DF" w:rsidR="00EF5E97" w:rsidRDefault="00EF5E97" w:rsidP="00C0561D">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536"/>
        <w:gridCol w:w="2693"/>
      </w:tblGrid>
      <w:tr w:rsidR="004C7969" w:rsidRPr="00E574C4" w14:paraId="0FFAE16E" w14:textId="77777777" w:rsidTr="00082A4D">
        <w:tc>
          <w:tcPr>
            <w:tcW w:w="6521" w:type="dxa"/>
            <w:gridSpan w:val="2"/>
            <w:shd w:val="clear" w:color="auto" w:fill="407798" w:themeFill="text2"/>
            <w:vAlign w:val="center"/>
          </w:tcPr>
          <w:p w14:paraId="7AF14546" w14:textId="402D16EE" w:rsidR="004C7969" w:rsidRPr="00E574C4" w:rsidRDefault="004C7969" w:rsidP="004C7969">
            <w:pPr>
              <w:spacing w:before="40" w:after="40"/>
              <w:rPr>
                <w:rFonts w:asciiTheme="minorHAnsi" w:hAnsiTheme="minorHAnsi" w:cstheme="minorHAnsi"/>
                <w:b/>
                <w:bCs/>
                <w:color w:val="FFFFFF" w:themeColor="background1"/>
                <w:sz w:val="22"/>
                <w:szCs w:val="22"/>
              </w:rPr>
            </w:pPr>
            <w:r w:rsidRPr="00E574C4">
              <w:rPr>
                <w:rFonts w:asciiTheme="minorHAnsi" w:hAnsiTheme="minorHAnsi" w:cstheme="minorHAnsi"/>
                <w:b/>
                <w:bCs/>
                <w:color w:val="FFFFFF" w:themeColor="background1"/>
                <w:sz w:val="22"/>
                <w:szCs w:val="22"/>
              </w:rPr>
              <w:lastRenderedPageBreak/>
              <w:t>Elements of Good Regulatory Practice</w:t>
            </w:r>
          </w:p>
        </w:tc>
        <w:tc>
          <w:tcPr>
            <w:tcW w:w="2693" w:type="dxa"/>
            <w:shd w:val="clear" w:color="auto" w:fill="407798" w:themeFill="text2"/>
            <w:vAlign w:val="center"/>
          </w:tcPr>
          <w:p w14:paraId="14FB83C5" w14:textId="64192F57" w:rsidR="004C7969" w:rsidRPr="00E574C4" w:rsidRDefault="004C7969" w:rsidP="00082A4D">
            <w:pPr>
              <w:spacing w:before="40" w:after="40"/>
              <w:rPr>
                <w:rFonts w:asciiTheme="minorHAnsi" w:hAnsiTheme="minorHAnsi" w:cstheme="minorHAnsi"/>
                <w:b/>
                <w:bCs/>
                <w:color w:val="FFFFFF" w:themeColor="background1"/>
                <w:sz w:val="22"/>
                <w:szCs w:val="22"/>
              </w:rPr>
            </w:pPr>
            <w:r w:rsidRPr="00E574C4">
              <w:rPr>
                <w:rFonts w:asciiTheme="minorHAnsi" w:hAnsiTheme="minorHAnsi" w:cstheme="minorHAnsi"/>
                <w:b/>
                <w:bCs/>
                <w:color w:val="FFFFFF" w:themeColor="background1"/>
                <w:sz w:val="22"/>
                <w:szCs w:val="22"/>
              </w:rPr>
              <w:t>Is the VFA SOE consistent?</w:t>
            </w:r>
          </w:p>
        </w:tc>
      </w:tr>
      <w:tr w:rsidR="004C7969" w:rsidRPr="00E574C4" w14:paraId="266FC24A" w14:textId="77777777" w:rsidTr="00082A4D">
        <w:tc>
          <w:tcPr>
            <w:tcW w:w="1985" w:type="dxa"/>
            <w:shd w:val="clear" w:color="auto" w:fill="D5E4ED" w:themeFill="text2" w:themeFillTint="33"/>
            <w:vAlign w:val="center"/>
          </w:tcPr>
          <w:p w14:paraId="26A6E9AB" w14:textId="2F4843E7" w:rsidR="004C7969" w:rsidRPr="00E574C4" w:rsidRDefault="004C7969" w:rsidP="004C7969">
            <w:pPr>
              <w:spacing w:before="40" w:after="40"/>
              <w:rPr>
                <w:rFonts w:asciiTheme="minorHAnsi" w:hAnsiTheme="minorHAnsi" w:cstheme="minorHAnsi"/>
                <w:b/>
                <w:bCs/>
                <w:sz w:val="22"/>
                <w:szCs w:val="22"/>
              </w:rPr>
            </w:pPr>
            <w:r w:rsidRPr="00E574C4">
              <w:rPr>
                <w:rFonts w:asciiTheme="minorHAnsi" w:hAnsiTheme="minorHAnsi" w:cstheme="minorHAnsi"/>
                <w:b/>
                <w:bCs/>
                <w:sz w:val="22"/>
                <w:szCs w:val="22"/>
              </w:rPr>
              <w:t>Mandatory</w:t>
            </w:r>
          </w:p>
        </w:tc>
        <w:tc>
          <w:tcPr>
            <w:tcW w:w="4536" w:type="dxa"/>
          </w:tcPr>
          <w:p w14:paraId="6C5EFB24" w14:textId="71D5B3BB"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Timeliness</w:t>
            </w:r>
          </w:p>
        </w:tc>
        <w:tc>
          <w:tcPr>
            <w:tcW w:w="2693" w:type="dxa"/>
            <w:vAlign w:val="center"/>
          </w:tcPr>
          <w:p w14:paraId="12D592DC" w14:textId="7B1AE4DB"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57542470" w14:textId="77777777" w:rsidTr="00082A4D">
        <w:tc>
          <w:tcPr>
            <w:tcW w:w="1985" w:type="dxa"/>
            <w:shd w:val="clear" w:color="auto" w:fill="D5E4ED" w:themeFill="text2" w:themeFillTint="33"/>
            <w:vAlign w:val="center"/>
          </w:tcPr>
          <w:p w14:paraId="287D457C" w14:textId="77777777" w:rsidR="004C7969" w:rsidRPr="00E574C4" w:rsidRDefault="004C7969" w:rsidP="004C7969">
            <w:pPr>
              <w:spacing w:before="40" w:after="40"/>
              <w:rPr>
                <w:rFonts w:asciiTheme="minorHAnsi" w:hAnsiTheme="minorHAnsi" w:cstheme="minorHAnsi"/>
                <w:b/>
                <w:bCs/>
                <w:sz w:val="22"/>
                <w:szCs w:val="22"/>
              </w:rPr>
            </w:pPr>
          </w:p>
        </w:tc>
        <w:tc>
          <w:tcPr>
            <w:tcW w:w="4536" w:type="dxa"/>
          </w:tcPr>
          <w:p w14:paraId="68DF6D27" w14:textId="2E5CF1A3"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Risk-based strategies</w:t>
            </w:r>
          </w:p>
        </w:tc>
        <w:tc>
          <w:tcPr>
            <w:tcW w:w="2693" w:type="dxa"/>
            <w:vAlign w:val="center"/>
          </w:tcPr>
          <w:p w14:paraId="5E6B5977" w14:textId="51CA8D1C"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243A4ECD" w14:textId="77777777" w:rsidTr="00082A4D">
        <w:tc>
          <w:tcPr>
            <w:tcW w:w="1985" w:type="dxa"/>
            <w:tcBorders>
              <w:bottom w:val="single" w:sz="2" w:space="0" w:color="004976" w:themeColor="accent1"/>
            </w:tcBorders>
            <w:shd w:val="clear" w:color="auto" w:fill="D5E4ED" w:themeFill="text2" w:themeFillTint="33"/>
            <w:vAlign w:val="center"/>
          </w:tcPr>
          <w:p w14:paraId="5206C057" w14:textId="77777777" w:rsidR="004C7969" w:rsidRPr="00E574C4" w:rsidRDefault="004C7969" w:rsidP="004C7969">
            <w:pPr>
              <w:spacing w:before="40" w:after="40"/>
              <w:rPr>
                <w:rFonts w:asciiTheme="minorHAnsi" w:hAnsiTheme="minorHAnsi" w:cstheme="minorHAnsi"/>
                <w:b/>
                <w:bCs/>
                <w:sz w:val="22"/>
                <w:szCs w:val="22"/>
              </w:rPr>
            </w:pPr>
          </w:p>
        </w:tc>
        <w:tc>
          <w:tcPr>
            <w:tcW w:w="4536" w:type="dxa"/>
            <w:tcBorders>
              <w:bottom w:val="single" w:sz="2" w:space="0" w:color="004976" w:themeColor="accent1"/>
            </w:tcBorders>
          </w:tcPr>
          <w:p w14:paraId="680DB9C5" w14:textId="3EAED8DA"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Compliance-related assistance and advice</w:t>
            </w:r>
          </w:p>
        </w:tc>
        <w:tc>
          <w:tcPr>
            <w:tcW w:w="2693" w:type="dxa"/>
            <w:tcBorders>
              <w:bottom w:val="single" w:sz="2" w:space="0" w:color="004976" w:themeColor="accent1"/>
            </w:tcBorders>
            <w:vAlign w:val="center"/>
          </w:tcPr>
          <w:p w14:paraId="719CB78B" w14:textId="62944635"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75A85C59" w14:textId="77777777" w:rsidTr="00082A4D">
        <w:tc>
          <w:tcPr>
            <w:tcW w:w="1985" w:type="dxa"/>
            <w:tcBorders>
              <w:top w:val="single" w:sz="2" w:space="0" w:color="004976" w:themeColor="accent1"/>
              <w:bottom w:val="single" w:sz="2" w:space="0" w:color="004976" w:themeColor="accent1"/>
            </w:tcBorders>
            <w:shd w:val="clear" w:color="auto" w:fill="D5E4ED" w:themeFill="text2" w:themeFillTint="33"/>
            <w:vAlign w:val="center"/>
          </w:tcPr>
          <w:p w14:paraId="6BEDD953" w14:textId="3B46A922" w:rsidR="004C7969" w:rsidRPr="00E574C4" w:rsidRDefault="004C7969" w:rsidP="004C7969">
            <w:pPr>
              <w:spacing w:before="40" w:after="40"/>
              <w:rPr>
                <w:rFonts w:asciiTheme="minorHAnsi" w:hAnsiTheme="minorHAnsi" w:cstheme="minorHAnsi"/>
                <w:b/>
                <w:bCs/>
                <w:sz w:val="22"/>
                <w:szCs w:val="22"/>
              </w:rPr>
            </w:pPr>
            <w:r w:rsidRPr="00E574C4">
              <w:rPr>
                <w:rFonts w:asciiTheme="minorHAnsi" w:hAnsiTheme="minorHAnsi" w:cstheme="minorHAnsi"/>
                <w:b/>
                <w:bCs/>
                <w:sz w:val="22"/>
                <w:szCs w:val="22"/>
              </w:rPr>
              <w:t>Recommended</w:t>
            </w:r>
          </w:p>
        </w:tc>
        <w:tc>
          <w:tcPr>
            <w:tcW w:w="4536" w:type="dxa"/>
            <w:tcBorders>
              <w:top w:val="single" w:sz="2" w:space="0" w:color="004976" w:themeColor="accent1"/>
              <w:bottom w:val="single" w:sz="2" w:space="0" w:color="004976" w:themeColor="accent1"/>
            </w:tcBorders>
          </w:tcPr>
          <w:p w14:paraId="1EB7309A" w14:textId="78ABD5AF"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Incentive-based regulations</w:t>
            </w:r>
          </w:p>
        </w:tc>
        <w:tc>
          <w:tcPr>
            <w:tcW w:w="2693" w:type="dxa"/>
            <w:tcBorders>
              <w:top w:val="single" w:sz="2" w:space="0" w:color="004976" w:themeColor="accent1"/>
              <w:bottom w:val="single" w:sz="2" w:space="0" w:color="004976" w:themeColor="accent1"/>
            </w:tcBorders>
            <w:vAlign w:val="center"/>
          </w:tcPr>
          <w:p w14:paraId="74D049B3" w14:textId="6D5653B1"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78916374" w14:textId="77777777" w:rsidTr="00EB7538">
        <w:tc>
          <w:tcPr>
            <w:tcW w:w="1985" w:type="dxa"/>
            <w:tcBorders>
              <w:top w:val="single" w:sz="2" w:space="0" w:color="004976" w:themeColor="accent1"/>
            </w:tcBorders>
            <w:shd w:val="clear" w:color="auto" w:fill="D5E4ED" w:themeFill="text2" w:themeFillTint="33"/>
          </w:tcPr>
          <w:p w14:paraId="56EBBA24" w14:textId="7F68E4BE" w:rsidR="004C7969" w:rsidRPr="00E574C4" w:rsidRDefault="004C7969" w:rsidP="00EB7538">
            <w:pPr>
              <w:spacing w:before="40" w:after="40"/>
              <w:rPr>
                <w:rFonts w:asciiTheme="minorHAnsi" w:hAnsiTheme="minorHAnsi" w:cstheme="minorHAnsi"/>
                <w:b/>
                <w:bCs/>
                <w:sz w:val="22"/>
                <w:szCs w:val="22"/>
              </w:rPr>
            </w:pPr>
            <w:r w:rsidRPr="00E574C4">
              <w:rPr>
                <w:rFonts w:asciiTheme="minorHAnsi" w:hAnsiTheme="minorHAnsi" w:cstheme="minorHAnsi"/>
                <w:b/>
                <w:bCs/>
                <w:sz w:val="22"/>
                <w:szCs w:val="22"/>
              </w:rPr>
              <w:t>Suggested</w:t>
            </w:r>
          </w:p>
        </w:tc>
        <w:tc>
          <w:tcPr>
            <w:tcW w:w="4536" w:type="dxa"/>
            <w:tcBorders>
              <w:top w:val="single" w:sz="2" w:space="0" w:color="004976" w:themeColor="accent1"/>
            </w:tcBorders>
          </w:tcPr>
          <w:p w14:paraId="2C50E201" w14:textId="73318724"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Role clarity</w:t>
            </w:r>
          </w:p>
        </w:tc>
        <w:tc>
          <w:tcPr>
            <w:tcW w:w="2693" w:type="dxa"/>
            <w:tcBorders>
              <w:top w:val="single" w:sz="2" w:space="0" w:color="004976" w:themeColor="accent1"/>
            </w:tcBorders>
            <w:vAlign w:val="center"/>
          </w:tcPr>
          <w:p w14:paraId="35FAFB8F" w14:textId="23D5917B"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N – not considered necessary</w:t>
            </w:r>
          </w:p>
        </w:tc>
      </w:tr>
      <w:tr w:rsidR="004C7969" w:rsidRPr="00E574C4" w14:paraId="160B6249" w14:textId="77777777" w:rsidTr="00082A4D">
        <w:tc>
          <w:tcPr>
            <w:tcW w:w="1985" w:type="dxa"/>
            <w:shd w:val="clear" w:color="auto" w:fill="D5E4ED" w:themeFill="text2" w:themeFillTint="33"/>
            <w:vAlign w:val="center"/>
          </w:tcPr>
          <w:p w14:paraId="7CA1566B" w14:textId="77777777" w:rsidR="004C7969" w:rsidRPr="00E574C4" w:rsidRDefault="004C7969" w:rsidP="004C7969">
            <w:pPr>
              <w:spacing w:before="40" w:after="40"/>
              <w:rPr>
                <w:rFonts w:asciiTheme="minorHAnsi" w:hAnsiTheme="minorHAnsi" w:cstheme="minorHAnsi"/>
                <w:sz w:val="22"/>
                <w:szCs w:val="22"/>
              </w:rPr>
            </w:pPr>
          </w:p>
        </w:tc>
        <w:tc>
          <w:tcPr>
            <w:tcW w:w="4536" w:type="dxa"/>
          </w:tcPr>
          <w:p w14:paraId="547D3BAF" w14:textId="4E1A77EC"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Cooperation among regulators</w:t>
            </w:r>
          </w:p>
        </w:tc>
        <w:tc>
          <w:tcPr>
            <w:tcW w:w="2693" w:type="dxa"/>
            <w:vAlign w:val="center"/>
          </w:tcPr>
          <w:p w14:paraId="6367894E" w14:textId="533AEFFA"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7AC19487" w14:textId="77777777" w:rsidTr="00082A4D">
        <w:tc>
          <w:tcPr>
            <w:tcW w:w="1985" w:type="dxa"/>
            <w:shd w:val="clear" w:color="auto" w:fill="D5E4ED" w:themeFill="text2" w:themeFillTint="33"/>
            <w:vAlign w:val="center"/>
          </w:tcPr>
          <w:p w14:paraId="4DC6420A" w14:textId="77777777" w:rsidR="004C7969" w:rsidRPr="00E574C4" w:rsidRDefault="004C7969" w:rsidP="004C7969">
            <w:pPr>
              <w:spacing w:before="40" w:after="40"/>
              <w:rPr>
                <w:rFonts w:asciiTheme="minorHAnsi" w:hAnsiTheme="minorHAnsi" w:cstheme="minorHAnsi"/>
                <w:sz w:val="22"/>
                <w:szCs w:val="22"/>
              </w:rPr>
            </w:pPr>
          </w:p>
        </w:tc>
        <w:tc>
          <w:tcPr>
            <w:tcW w:w="4536" w:type="dxa"/>
          </w:tcPr>
          <w:p w14:paraId="49E06A53" w14:textId="68777EB6"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Stakeholder consultation and engagement</w:t>
            </w:r>
          </w:p>
        </w:tc>
        <w:tc>
          <w:tcPr>
            <w:tcW w:w="2693" w:type="dxa"/>
            <w:vAlign w:val="center"/>
          </w:tcPr>
          <w:p w14:paraId="415BD32F" w14:textId="171530ED"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6D88F45D" w14:textId="77777777" w:rsidTr="00082A4D">
        <w:tc>
          <w:tcPr>
            <w:tcW w:w="1985" w:type="dxa"/>
            <w:shd w:val="clear" w:color="auto" w:fill="D5E4ED" w:themeFill="text2" w:themeFillTint="33"/>
            <w:vAlign w:val="center"/>
          </w:tcPr>
          <w:p w14:paraId="1715DDCA" w14:textId="77777777" w:rsidR="004C7969" w:rsidRPr="00E574C4" w:rsidRDefault="004C7969" w:rsidP="004C7969">
            <w:pPr>
              <w:spacing w:before="40" w:after="40"/>
              <w:rPr>
                <w:rFonts w:asciiTheme="minorHAnsi" w:hAnsiTheme="minorHAnsi" w:cstheme="minorHAnsi"/>
                <w:sz w:val="22"/>
                <w:szCs w:val="22"/>
              </w:rPr>
            </w:pPr>
          </w:p>
        </w:tc>
        <w:tc>
          <w:tcPr>
            <w:tcW w:w="4536" w:type="dxa"/>
          </w:tcPr>
          <w:p w14:paraId="3CEA53D8" w14:textId="6594731C"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Accountability and transparency</w:t>
            </w:r>
          </w:p>
        </w:tc>
        <w:tc>
          <w:tcPr>
            <w:tcW w:w="2693" w:type="dxa"/>
            <w:vAlign w:val="center"/>
          </w:tcPr>
          <w:p w14:paraId="049F478F" w14:textId="2302A52E"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r w:rsidR="004C7969" w:rsidRPr="00E574C4" w14:paraId="5DEB9A1B" w14:textId="77777777" w:rsidTr="00082A4D">
        <w:tc>
          <w:tcPr>
            <w:tcW w:w="1985" w:type="dxa"/>
            <w:tcBorders>
              <w:bottom w:val="single" w:sz="2" w:space="0" w:color="004976" w:themeColor="accent1"/>
            </w:tcBorders>
            <w:shd w:val="clear" w:color="auto" w:fill="D5E4ED" w:themeFill="text2" w:themeFillTint="33"/>
            <w:vAlign w:val="center"/>
          </w:tcPr>
          <w:p w14:paraId="295ED550" w14:textId="77777777" w:rsidR="004C7969" w:rsidRPr="00E574C4" w:rsidRDefault="004C7969" w:rsidP="004C7969">
            <w:pPr>
              <w:spacing w:before="40" w:after="40"/>
              <w:rPr>
                <w:rFonts w:asciiTheme="minorHAnsi" w:hAnsiTheme="minorHAnsi" w:cstheme="minorHAnsi"/>
                <w:sz w:val="22"/>
                <w:szCs w:val="22"/>
              </w:rPr>
            </w:pPr>
          </w:p>
        </w:tc>
        <w:tc>
          <w:tcPr>
            <w:tcW w:w="4536" w:type="dxa"/>
            <w:tcBorders>
              <w:bottom w:val="single" w:sz="2" w:space="0" w:color="004976" w:themeColor="accent1"/>
            </w:tcBorders>
          </w:tcPr>
          <w:p w14:paraId="362A36B4" w14:textId="0B10F675" w:rsidR="004C7969" w:rsidRPr="00E574C4" w:rsidRDefault="004C7969" w:rsidP="004C7969">
            <w:pPr>
              <w:spacing w:before="40" w:after="40"/>
              <w:rPr>
                <w:rFonts w:asciiTheme="minorHAnsi" w:hAnsiTheme="minorHAnsi" w:cstheme="minorHAnsi"/>
                <w:sz w:val="22"/>
                <w:szCs w:val="22"/>
              </w:rPr>
            </w:pPr>
            <w:r w:rsidRPr="00E574C4">
              <w:rPr>
                <w:rFonts w:asciiTheme="minorHAnsi" w:hAnsiTheme="minorHAnsi" w:cstheme="minorHAnsi"/>
                <w:sz w:val="22"/>
                <w:szCs w:val="22"/>
              </w:rPr>
              <w:t>Clear and consistent regulatory activities</w:t>
            </w:r>
          </w:p>
        </w:tc>
        <w:tc>
          <w:tcPr>
            <w:tcW w:w="2693" w:type="dxa"/>
            <w:tcBorders>
              <w:bottom w:val="single" w:sz="2" w:space="0" w:color="004976" w:themeColor="accent1"/>
            </w:tcBorders>
            <w:vAlign w:val="center"/>
          </w:tcPr>
          <w:p w14:paraId="0C81782A" w14:textId="37878837" w:rsidR="004C7969" w:rsidRPr="00E574C4" w:rsidRDefault="004C7969" w:rsidP="00082A4D">
            <w:pPr>
              <w:spacing w:before="40" w:after="40"/>
              <w:rPr>
                <w:rFonts w:asciiTheme="minorHAnsi" w:hAnsiTheme="minorHAnsi" w:cstheme="minorHAnsi"/>
                <w:sz w:val="22"/>
                <w:szCs w:val="22"/>
              </w:rPr>
            </w:pPr>
            <w:r w:rsidRPr="00E574C4">
              <w:rPr>
                <w:rFonts w:asciiTheme="minorHAnsi" w:hAnsiTheme="minorHAnsi" w:cstheme="minorHAnsi"/>
                <w:sz w:val="22"/>
                <w:szCs w:val="22"/>
              </w:rPr>
              <w:t>Y</w:t>
            </w:r>
          </w:p>
        </w:tc>
      </w:tr>
    </w:tbl>
    <w:p w14:paraId="78DDC968" w14:textId="6E49EF0A" w:rsidR="004C7969" w:rsidRPr="00E574C4" w:rsidRDefault="00082A4D" w:rsidP="00C0561D">
      <w:pPr>
        <w:rPr>
          <w:rFonts w:asciiTheme="minorHAnsi" w:hAnsiTheme="minorHAnsi" w:cstheme="minorHAnsi"/>
          <w:b/>
          <w:bCs/>
          <w:sz w:val="22"/>
          <w:szCs w:val="22"/>
        </w:rPr>
      </w:pPr>
      <w:r w:rsidRPr="00E574C4">
        <w:rPr>
          <w:rFonts w:asciiTheme="minorHAnsi" w:hAnsiTheme="minorHAnsi" w:cstheme="minorHAnsi"/>
          <w:b/>
          <w:bCs/>
          <w:sz w:val="22"/>
          <w:szCs w:val="22"/>
        </w:rPr>
        <w:t>How appropriate was the process for developing the SOE?</w:t>
      </w:r>
    </w:p>
    <w:p w14:paraId="1B846456" w14:textId="1061D186" w:rsidR="00AC3EFA" w:rsidRPr="00E574C4" w:rsidRDefault="00B5085E" w:rsidP="00C0561D">
      <w:pPr>
        <w:rPr>
          <w:rFonts w:asciiTheme="minorHAnsi" w:hAnsiTheme="minorHAnsi" w:cstheme="minorHAnsi"/>
          <w:sz w:val="22"/>
          <w:szCs w:val="22"/>
        </w:rPr>
      </w:pPr>
      <w:r w:rsidRPr="00E574C4">
        <w:rPr>
          <w:rFonts w:asciiTheme="minorHAnsi" w:hAnsiTheme="minorHAnsi" w:cstheme="minorHAnsi"/>
          <w:sz w:val="22"/>
          <w:szCs w:val="22"/>
        </w:rPr>
        <w:t xml:space="preserve">The SOE Framework outlines key steps for developing the SOE letter and regulator response.  The evaluation determined that the VFA </w:t>
      </w:r>
      <w:r w:rsidR="00564E75" w:rsidRPr="00E574C4">
        <w:rPr>
          <w:rFonts w:asciiTheme="minorHAnsi" w:hAnsiTheme="minorHAnsi" w:cstheme="minorHAnsi"/>
          <w:sz w:val="22"/>
          <w:szCs w:val="22"/>
        </w:rPr>
        <w:t>complied with these steps by:</w:t>
      </w:r>
    </w:p>
    <w:p w14:paraId="33AF6FD4" w14:textId="552AE1ED" w:rsidR="00AC3EFA" w:rsidRPr="00E574C4" w:rsidRDefault="00564E75" w:rsidP="009A7DB4">
      <w:pPr>
        <w:pStyle w:val="VFANormal"/>
        <w:numPr>
          <w:ilvl w:val="0"/>
          <w:numId w:val="6"/>
        </w:numPr>
        <w:rPr>
          <w:rFonts w:asciiTheme="minorHAnsi" w:hAnsiTheme="minorHAnsi" w:cstheme="minorHAnsi"/>
          <w:sz w:val="22"/>
          <w:szCs w:val="22"/>
        </w:rPr>
      </w:pPr>
      <w:r w:rsidRPr="00E574C4">
        <w:rPr>
          <w:rFonts w:asciiTheme="minorHAnsi" w:hAnsiTheme="minorHAnsi" w:cstheme="minorHAnsi"/>
          <w:sz w:val="22"/>
          <w:szCs w:val="22"/>
        </w:rPr>
        <w:t xml:space="preserve">Undertaking a Regulator Self-Assessment against the elements of good regulatory practice.  Previous SOE’s developed for the then Fisheries Victoria were used to establish a baseline for performance and potential for future performance goals. </w:t>
      </w:r>
    </w:p>
    <w:p w14:paraId="692A29B2" w14:textId="59DFE5E1" w:rsidR="00564E75" w:rsidRPr="00E574C4" w:rsidRDefault="00564E75" w:rsidP="009A7DB4">
      <w:pPr>
        <w:pStyle w:val="VFANormal"/>
        <w:numPr>
          <w:ilvl w:val="0"/>
          <w:numId w:val="6"/>
        </w:numPr>
        <w:rPr>
          <w:rFonts w:asciiTheme="minorHAnsi" w:hAnsiTheme="minorHAnsi" w:cstheme="minorHAnsi"/>
          <w:sz w:val="22"/>
          <w:szCs w:val="22"/>
        </w:rPr>
      </w:pPr>
      <w:r w:rsidRPr="00E574C4">
        <w:rPr>
          <w:rFonts w:asciiTheme="minorHAnsi" w:hAnsiTheme="minorHAnsi" w:cstheme="minorHAnsi"/>
          <w:sz w:val="22"/>
          <w:szCs w:val="22"/>
        </w:rPr>
        <w:t>Consulting with the Minister’s Office</w:t>
      </w:r>
      <w:r w:rsidR="00BE6542" w:rsidRPr="00E574C4">
        <w:rPr>
          <w:rFonts w:asciiTheme="minorHAnsi" w:hAnsiTheme="minorHAnsi" w:cstheme="minorHAnsi"/>
          <w:sz w:val="22"/>
          <w:szCs w:val="22"/>
        </w:rPr>
        <w:t>, the (then) Department of Economic Development, Jobs, Transport and Resources</w:t>
      </w:r>
      <w:r w:rsidRPr="00E574C4">
        <w:rPr>
          <w:rFonts w:asciiTheme="minorHAnsi" w:hAnsiTheme="minorHAnsi" w:cstheme="minorHAnsi"/>
          <w:sz w:val="22"/>
          <w:szCs w:val="22"/>
        </w:rPr>
        <w:t xml:space="preserve"> and relevant stakeholders to develop actions to achieve the improvements and targets described in the SOE.</w:t>
      </w:r>
    </w:p>
    <w:p w14:paraId="5A4C8211" w14:textId="679ECF99" w:rsidR="00564E75" w:rsidRPr="00E574C4" w:rsidRDefault="00564E75" w:rsidP="009A7DB4">
      <w:pPr>
        <w:pStyle w:val="VFANormal"/>
        <w:numPr>
          <w:ilvl w:val="0"/>
          <w:numId w:val="6"/>
        </w:numPr>
        <w:rPr>
          <w:rFonts w:asciiTheme="minorHAnsi" w:hAnsiTheme="minorHAnsi" w:cstheme="minorHAnsi"/>
          <w:sz w:val="22"/>
          <w:szCs w:val="22"/>
        </w:rPr>
      </w:pPr>
      <w:r w:rsidRPr="00E574C4">
        <w:rPr>
          <w:rFonts w:asciiTheme="minorHAnsi" w:hAnsiTheme="minorHAnsi" w:cstheme="minorHAnsi"/>
          <w:sz w:val="22"/>
          <w:szCs w:val="22"/>
        </w:rPr>
        <w:t>Publishing the SOE and the SOE Response Letter on the VFA’s website.</w:t>
      </w:r>
    </w:p>
    <w:p w14:paraId="528F1984" w14:textId="0D9C5974" w:rsidR="00564E75" w:rsidRPr="00E574C4" w:rsidRDefault="00564E75" w:rsidP="009A7DB4">
      <w:pPr>
        <w:pStyle w:val="VFANormal"/>
        <w:numPr>
          <w:ilvl w:val="0"/>
          <w:numId w:val="6"/>
        </w:numPr>
        <w:rPr>
          <w:rFonts w:asciiTheme="minorHAnsi" w:hAnsiTheme="minorHAnsi" w:cstheme="minorHAnsi"/>
          <w:sz w:val="22"/>
          <w:szCs w:val="22"/>
        </w:rPr>
      </w:pPr>
      <w:r w:rsidRPr="00E574C4">
        <w:rPr>
          <w:rFonts w:asciiTheme="minorHAnsi" w:hAnsiTheme="minorHAnsi" w:cstheme="minorHAnsi"/>
          <w:sz w:val="22"/>
          <w:szCs w:val="22"/>
        </w:rPr>
        <w:t>Reporting regularly on progress</w:t>
      </w:r>
      <w:r w:rsidR="00C222C6" w:rsidRPr="00E574C4">
        <w:rPr>
          <w:rFonts w:asciiTheme="minorHAnsi" w:hAnsiTheme="minorHAnsi" w:cstheme="minorHAnsi"/>
          <w:sz w:val="22"/>
          <w:szCs w:val="22"/>
        </w:rPr>
        <w:t xml:space="preserve"> through</w:t>
      </w:r>
      <w:r w:rsidRPr="00E574C4">
        <w:rPr>
          <w:rFonts w:asciiTheme="minorHAnsi" w:hAnsiTheme="minorHAnsi" w:cstheme="minorHAnsi"/>
          <w:sz w:val="22"/>
          <w:szCs w:val="22"/>
        </w:rPr>
        <w:t xml:space="preserve"> the VFA’s publicly available Annual Reports. </w:t>
      </w:r>
    </w:p>
    <w:p w14:paraId="5A4B1F56" w14:textId="28B12A6D" w:rsidR="00B27BD7" w:rsidRDefault="00E4661D" w:rsidP="00C0561D">
      <w:pPr>
        <w:rPr>
          <w:rFonts w:asciiTheme="minorHAnsi" w:eastAsia="Times New Roman" w:hAnsiTheme="minorHAnsi" w:cstheme="minorHAnsi"/>
          <w:sz w:val="22"/>
          <w:szCs w:val="22"/>
          <w:lang w:eastAsia="en-US"/>
        </w:rPr>
      </w:pPr>
      <w:r w:rsidRPr="00E574C4">
        <w:rPr>
          <w:rFonts w:asciiTheme="minorHAnsi" w:eastAsia="Times New Roman" w:hAnsiTheme="minorHAnsi" w:cstheme="minorHAnsi"/>
          <w:sz w:val="22"/>
          <w:szCs w:val="22"/>
          <w:lang w:eastAsia="en-US"/>
        </w:rPr>
        <w:t xml:space="preserve">The evaluation determined that the VFA produced an SOE and response with a strong focus on improving delivery to the community and meeting the SOE Framework’s objective to reduce the regulatory burden on stakeholders. </w:t>
      </w:r>
    </w:p>
    <w:p w14:paraId="5B4FAF94" w14:textId="77777777" w:rsidR="003779D2" w:rsidRPr="006A1626" w:rsidRDefault="003779D2" w:rsidP="003779D2">
      <w:pPr>
        <w:rPr>
          <w:rFonts w:asciiTheme="minorHAnsi" w:hAnsiTheme="minorHAnsi" w:cstheme="minorHAnsi"/>
          <w:b/>
          <w:bCs/>
          <w:sz w:val="22"/>
          <w:szCs w:val="22"/>
        </w:rPr>
      </w:pPr>
      <w:r w:rsidRPr="006A1626">
        <w:rPr>
          <w:rFonts w:asciiTheme="minorHAnsi" w:hAnsiTheme="minorHAnsi" w:cstheme="minorHAnsi"/>
          <w:b/>
          <w:bCs/>
          <w:sz w:val="22"/>
          <w:szCs w:val="22"/>
        </w:rPr>
        <w:t>To what extent did the VFA deliver the improvements and targets established in the SOE and the VFA’s response?</w:t>
      </w:r>
    </w:p>
    <w:p w14:paraId="2FB55A23" w14:textId="38DBF845" w:rsidR="003779D2" w:rsidRDefault="00C22A92" w:rsidP="00C0561D">
      <w:pP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 xml:space="preserve">Over the life of the SOE, the VFA met the required targets established in the SOE Response Letter. </w:t>
      </w:r>
    </w:p>
    <w:p w14:paraId="6940720B" w14:textId="68640FF9" w:rsidR="003779D2" w:rsidRDefault="003779D2" w:rsidP="00C0561D">
      <w:pPr>
        <w:rPr>
          <w:rFonts w:asciiTheme="minorHAnsi" w:eastAsia="Times New Roman" w:hAnsiTheme="minorHAnsi" w:cstheme="minorHAnsi"/>
          <w:sz w:val="22"/>
          <w:szCs w:val="22"/>
          <w:lang w:eastAsia="en-US"/>
        </w:rPr>
      </w:pPr>
    </w:p>
    <w:p w14:paraId="61C5A696" w14:textId="7694AE3E" w:rsidR="003779D2" w:rsidRDefault="003779D2" w:rsidP="00C0561D">
      <w:pPr>
        <w:rPr>
          <w:rFonts w:asciiTheme="minorHAnsi" w:eastAsia="Times New Roman" w:hAnsiTheme="minorHAnsi" w:cstheme="minorHAnsi"/>
          <w:sz w:val="22"/>
          <w:szCs w:val="22"/>
          <w:lang w:eastAsia="en-US"/>
        </w:rPr>
      </w:pPr>
    </w:p>
    <w:p w14:paraId="40ED73FD" w14:textId="7087874D" w:rsidR="003779D2" w:rsidRDefault="003779D2" w:rsidP="00C0561D">
      <w:pPr>
        <w:rPr>
          <w:rFonts w:asciiTheme="minorHAnsi" w:eastAsia="Times New Roman" w:hAnsiTheme="minorHAnsi" w:cstheme="minorHAnsi"/>
          <w:sz w:val="22"/>
          <w:szCs w:val="22"/>
          <w:lang w:eastAsia="en-US"/>
        </w:rPr>
      </w:pPr>
    </w:p>
    <w:p w14:paraId="1A5E7F60" w14:textId="364936A7" w:rsidR="003779D2" w:rsidRDefault="003779D2" w:rsidP="00C0561D">
      <w:pPr>
        <w:rPr>
          <w:rFonts w:asciiTheme="minorHAnsi" w:eastAsia="Times New Roman" w:hAnsiTheme="minorHAnsi" w:cstheme="minorHAnsi"/>
          <w:sz w:val="22"/>
          <w:szCs w:val="22"/>
          <w:lang w:eastAsia="en-US"/>
        </w:rPr>
      </w:pPr>
    </w:p>
    <w:p w14:paraId="31C28806" w14:textId="0EE9227A" w:rsidR="003779D2" w:rsidRDefault="003779D2" w:rsidP="00C0561D">
      <w:pPr>
        <w:rPr>
          <w:rFonts w:asciiTheme="minorHAnsi" w:eastAsia="Times New Roman" w:hAnsiTheme="minorHAnsi" w:cstheme="minorHAnsi"/>
          <w:sz w:val="22"/>
          <w:szCs w:val="22"/>
          <w:lang w:eastAsia="en-US"/>
        </w:rPr>
      </w:pPr>
    </w:p>
    <w:p w14:paraId="20DC6310" w14:textId="41D10DE4" w:rsidR="003779D2" w:rsidRDefault="003779D2" w:rsidP="00C0561D">
      <w:pPr>
        <w:rPr>
          <w:rFonts w:asciiTheme="minorHAnsi" w:eastAsia="Times New Roman" w:hAnsiTheme="minorHAnsi" w:cstheme="minorHAnsi"/>
          <w:sz w:val="22"/>
          <w:szCs w:val="22"/>
          <w:lang w:eastAsia="en-US"/>
        </w:rPr>
      </w:pPr>
    </w:p>
    <w:p w14:paraId="0C0EBCB2" w14:textId="2C69BC7A" w:rsidR="003779D2" w:rsidRDefault="003779D2" w:rsidP="00C0561D">
      <w:pPr>
        <w:rPr>
          <w:rFonts w:asciiTheme="minorHAnsi" w:eastAsia="Times New Roman" w:hAnsiTheme="minorHAnsi" w:cstheme="minorHAnsi"/>
          <w:sz w:val="22"/>
          <w:szCs w:val="22"/>
          <w:lang w:eastAsia="en-US"/>
        </w:rPr>
      </w:pPr>
    </w:p>
    <w:p w14:paraId="6F70568E" w14:textId="43B5754E" w:rsidR="003779D2" w:rsidRDefault="003779D2" w:rsidP="00C0561D">
      <w:pPr>
        <w:rPr>
          <w:rFonts w:asciiTheme="minorHAnsi" w:eastAsia="Times New Roman" w:hAnsiTheme="minorHAnsi" w:cstheme="minorHAnsi"/>
          <w:sz w:val="22"/>
          <w:szCs w:val="22"/>
          <w:lang w:eastAsia="en-US"/>
        </w:rPr>
      </w:pPr>
    </w:p>
    <w:p w14:paraId="23620495" w14:textId="02569A67" w:rsidR="003779D2" w:rsidRDefault="003779D2" w:rsidP="00C0561D">
      <w:pPr>
        <w:rPr>
          <w:rFonts w:asciiTheme="minorHAnsi" w:eastAsia="Times New Roman" w:hAnsiTheme="minorHAnsi" w:cstheme="minorHAnsi"/>
          <w:sz w:val="22"/>
          <w:szCs w:val="22"/>
          <w:lang w:eastAsia="en-US"/>
        </w:rPr>
      </w:pPr>
    </w:p>
    <w:p w14:paraId="4F6E25D4" w14:textId="4FAE09A3" w:rsidR="003779D2" w:rsidRDefault="003779D2" w:rsidP="00C0561D">
      <w:pPr>
        <w:rPr>
          <w:rFonts w:asciiTheme="minorHAnsi" w:eastAsia="Times New Roman" w:hAnsiTheme="minorHAnsi" w:cstheme="minorHAnsi"/>
          <w:sz w:val="22"/>
          <w:szCs w:val="22"/>
          <w:lang w:eastAsia="en-US"/>
        </w:rPr>
      </w:pPr>
    </w:p>
    <w:p w14:paraId="62B497F7" w14:textId="4536D232" w:rsidR="003779D2" w:rsidRDefault="003779D2" w:rsidP="00C0561D">
      <w:pPr>
        <w:rPr>
          <w:rFonts w:asciiTheme="minorHAnsi" w:eastAsia="Times New Roman" w:hAnsiTheme="minorHAnsi" w:cstheme="minorHAnsi"/>
          <w:sz w:val="22"/>
          <w:szCs w:val="22"/>
          <w:lang w:eastAsia="en-US"/>
        </w:rPr>
      </w:pPr>
    </w:p>
    <w:p w14:paraId="632A9E7B" w14:textId="750EB81C" w:rsidR="003779D2" w:rsidRDefault="003779D2" w:rsidP="00C0561D">
      <w:pPr>
        <w:rPr>
          <w:rFonts w:asciiTheme="minorHAnsi" w:eastAsia="Times New Roman" w:hAnsiTheme="minorHAnsi" w:cstheme="minorHAnsi"/>
          <w:sz w:val="22"/>
          <w:szCs w:val="22"/>
          <w:lang w:eastAsia="en-US"/>
        </w:rPr>
      </w:pPr>
    </w:p>
    <w:p w14:paraId="50BA0BCC" w14:textId="77777777" w:rsidR="003779D2" w:rsidRPr="00E574C4" w:rsidRDefault="003779D2" w:rsidP="00C0561D">
      <w:pPr>
        <w:rPr>
          <w:rFonts w:asciiTheme="minorHAnsi" w:eastAsia="Times New Roman" w:hAnsiTheme="minorHAnsi" w:cstheme="minorHAnsi"/>
          <w:sz w:val="22"/>
          <w:szCs w:val="22"/>
          <w:lang w:eastAsia="en-US"/>
        </w:rPr>
      </w:pPr>
    </w:p>
    <w:p w14:paraId="4A02756A" w14:textId="62ED98BF" w:rsidR="009F71E3" w:rsidRDefault="009F71E3" w:rsidP="009F71E3">
      <w:pPr>
        <w:pStyle w:val="VFAHeading1"/>
        <w:spacing w:after="240"/>
      </w:pPr>
      <w:bookmarkStart w:id="9" w:name="_Toc48750128"/>
      <w:r>
        <w:lastRenderedPageBreak/>
        <w:t>Outcome Evaluation</w:t>
      </w:r>
      <w:r w:rsidR="00E4661D">
        <w:t xml:space="preserve"> – Key Findings</w:t>
      </w:r>
      <w:bookmarkEnd w:id="9"/>
    </w:p>
    <w:p w14:paraId="42F283BA" w14:textId="7F467EB4" w:rsidR="003779D2" w:rsidRPr="00C22A92" w:rsidRDefault="00247376" w:rsidP="003779D2">
      <w:pPr>
        <w:rPr>
          <w:rFonts w:asciiTheme="minorHAnsi" w:eastAsia="Times New Roman" w:hAnsiTheme="minorHAnsi" w:cstheme="minorHAnsi"/>
          <w:b/>
          <w:sz w:val="22"/>
          <w:szCs w:val="22"/>
          <w:lang w:eastAsia="en-US"/>
        </w:rPr>
      </w:pPr>
      <w:r w:rsidRPr="00BF427B">
        <w:rPr>
          <w:rFonts w:asciiTheme="minorHAnsi" w:eastAsia="Times New Roman" w:hAnsiTheme="minorHAnsi" w:cstheme="minorHAnsi"/>
          <w:b/>
          <w:bCs/>
          <w:sz w:val="22"/>
          <w:szCs w:val="22"/>
          <w:lang w:eastAsia="en-US"/>
        </w:rPr>
        <w:t>Key Evaluation Question</w:t>
      </w:r>
      <w:r w:rsidRPr="00BF427B">
        <w:rPr>
          <w:rFonts w:asciiTheme="minorHAnsi" w:eastAsia="Times New Roman" w:hAnsiTheme="minorHAnsi" w:cstheme="minorHAnsi"/>
          <w:b/>
          <w:bCs/>
          <w:sz w:val="20"/>
          <w:szCs w:val="20"/>
          <w:lang w:eastAsia="en-US"/>
        </w:rPr>
        <w:t xml:space="preserve">: </w:t>
      </w:r>
      <w:r w:rsidR="003779D2" w:rsidRPr="00C22A92">
        <w:rPr>
          <w:rFonts w:asciiTheme="minorHAnsi" w:eastAsia="Times New Roman" w:hAnsiTheme="minorHAnsi" w:cstheme="minorHAnsi"/>
          <w:b/>
          <w:sz w:val="22"/>
          <w:szCs w:val="22"/>
          <w:lang w:eastAsia="en-US"/>
        </w:rPr>
        <w:t>What difference did the SOE make towards achieving greater efficiency and effectiveness in the administration and enforcement of regulations?</w:t>
      </w:r>
    </w:p>
    <w:p w14:paraId="022F5949" w14:textId="1AD7E000" w:rsidR="00AC5344" w:rsidRPr="003779D2" w:rsidRDefault="00AC5344" w:rsidP="009A7DB4">
      <w:pPr>
        <w:pStyle w:val="ListParagraph"/>
        <w:numPr>
          <w:ilvl w:val="0"/>
          <w:numId w:val="7"/>
        </w:numPr>
        <w:spacing w:before="120"/>
        <w:ind w:left="426" w:hanging="426"/>
        <w:contextualSpacing w:val="0"/>
        <w:rPr>
          <w:rFonts w:asciiTheme="minorHAnsi" w:eastAsia="Times New Roman" w:hAnsiTheme="minorHAnsi" w:cstheme="minorHAnsi"/>
          <w:b/>
          <w:bCs/>
          <w:sz w:val="22"/>
        </w:rPr>
      </w:pPr>
      <w:r w:rsidRPr="00BF427B">
        <w:rPr>
          <w:rFonts w:asciiTheme="minorHAnsi" w:eastAsia="Times New Roman" w:hAnsiTheme="minorHAnsi" w:cstheme="minorHAnsi"/>
          <w:b/>
          <w:bCs/>
          <w:sz w:val="22"/>
        </w:rPr>
        <w:t>Timeliness</w:t>
      </w:r>
    </w:p>
    <w:tbl>
      <w:tblPr>
        <w:tblStyle w:val="TableGrid"/>
        <w:tblW w:w="9634" w:type="dxa"/>
        <w:tblLook w:val="04A0" w:firstRow="1" w:lastRow="0" w:firstColumn="1" w:lastColumn="0" w:noHBand="0" w:noVBand="1"/>
      </w:tblPr>
      <w:tblGrid>
        <w:gridCol w:w="9634"/>
      </w:tblGrid>
      <w:tr w:rsidR="00EF5E97" w:rsidRPr="005A4D08" w14:paraId="447F69B4" w14:textId="77777777" w:rsidTr="00BF427B">
        <w:tc>
          <w:tcPr>
            <w:tcW w:w="9634" w:type="dxa"/>
            <w:shd w:val="clear" w:color="auto" w:fill="407798" w:themeFill="text2"/>
            <w:vAlign w:val="center"/>
          </w:tcPr>
          <w:p w14:paraId="718F4598" w14:textId="4E8CD89E" w:rsidR="00EF5E97" w:rsidRPr="00BF427B" w:rsidRDefault="00EF5E97" w:rsidP="005A4D08">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EF5E97" w:rsidRPr="005A4D08" w14:paraId="520B6E54" w14:textId="77777777" w:rsidTr="00EF5E97">
        <w:tc>
          <w:tcPr>
            <w:tcW w:w="9634" w:type="dxa"/>
          </w:tcPr>
          <w:p w14:paraId="0AAB422A" w14:textId="72BEEFC7" w:rsidR="00EF5E97" w:rsidRPr="005A4D08" w:rsidRDefault="00EF5E97"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5A4D08">
              <w:rPr>
                <w:rFonts w:asciiTheme="minorHAnsi" w:hAnsiTheme="minorHAnsi" w:cstheme="minorHAnsi"/>
                <w:sz w:val="22"/>
              </w:rPr>
              <w:t xml:space="preserve">Review of the sunsetting </w:t>
            </w:r>
            <w:r w:rsidRPr="005A4D08">
              <w:rPr>
                <w:rFonts w:asciiTheme="minorHAnsi" w:hAnsiTheme="minorHAnsi" w:cstheme="minorHAnsi"/>
                <w:i/>
                <w:sz w:val="22"/>
              </w:rPr>
              <w:t>Fisheries Regulations 2009</w:t>
            </w:r>
            <w:r w:rsidRPr="005A4D08">
              <w:rPr>
                <w:rFonts w:asciiTheme="minorHAnsi" w:hAnsiTheme="minorHAnsi" w:cstheme="minorHAnsi"/>
                <w:sz w:val="22"/>
              </w:rPr>
              <w:t xml:space="preserve"> and the </w:t>
            </w:r>
            <w:r w:rsidRPr="005A4D08">
              <w:rPr>
                <w:rFonts w:asciiTheme="minorHAnsi" w:hAnsiTheme="minorHAnsi" w:cstheme="minorHAnsi"/>
                <w:i/>
                <w:sz w:val="22"/>
              </w:rPr>
              <w:t>Fisheries (Fees, Royalties and Levies) Regulations 2008</w:t>
            </w:r>
            <w:r w:rsidRPr="005A4D08">
              <w:rPr>
                <w:rFonts w:asciiTheme="minorHAnsi" w:hAnsiTheme="minorHAnsi" w:cstheme="minorHAnsi"/>
                <w:sz w:val="22"/>
              </w:rPr>
              <w:t xml:space="preserve"> to identify areas where regulatory burden could be reduced.</w:t>
            </w:r>
          </w:p>
          <w:p w14:paraId="001E2221" w14:textId="77777777" w:rsidR="00EF5E97" w:rsidRPr="005A4D08" w:rsidRDefault="005A4D08" w:rsidP="009A7DB4">
            <w:pPr>
              <w:pStyle w:val="ListParagraph"/>
              <w:numPr>
                <w:ilvl w:val="1"/>
                <w:numId w:val="8"/>
              </w:numPr>
              <w:spacing w:before="120"/>
              <w:ind w:left="742" w:hanging="425"/>
              <w:contextualSpacing w:val="0"/>
              <w:jc w:val="left"/>
              <w:rPr>
                <w:rFonts w:asciiTheme="minorHAnsi" w:hAnsiTheme="minorHAnsi" w:cstheme="minorHAnsi"/>
                <w:sz w:val="22"/>
              </w:rPr>
            </w:pPr>
            <w:r w:rsidRPr="005A4D08">
              <w:rPr>
                <w:rFonts w:asciiTheme="minorHAnsi" w:hAnsiTheme="minorHAnsi" w:cstheme="minorHAnsi"/>
                <w:sz w:val="22"/>
              </w:rPr>
              <w:t>R</w:t>
            </w:r>
            <w:r w:rsidR="00EF5E97" w:rsidRPr="005A4D08">
              <w:rPr>
                <w:rFonts w:asciiTheme="minorHAnsi" w:hAnsiTheme="minorHAnsi" w:cstheme="minorHAnsi"/>
                <w:sz w:val="22"/>
              </w:rPr>
              <w:t xml:space="preserve">ecommendations for regulatory burden reduction </w:t>
            </w:r>
            <w:r w:rsidRPr="005A4D08">
              <w:rPr>
                <w:rFonts w:asciiTheme="minorHAnsi" w:hAnsiTheme="minorHAnsi" w:cstheme="minorHAnsi"/>
                <w:sz w:val="22"/>
              </w:rPr>
              <w:t>to be</w:t>
            </w:r>
            <w:r w:rsidR="00EF5E97" w:rsidRPr="005A4D08">
              <w:rPr>
                <w:rFonts w:asciiTheme="minorHAnsi" w:hAnsiTheme="minorHAnsi" w:cstheme="minorHAnsi"/>
                <w:sz w:val="22"/>
              </w:rPr>
              <w:t xml:space="preserve"> informed by stakeholder consultation and a risk-assessment of fisheries management and compliance issues.</w:t>
            </w:r>
          </w:p>
          <w:p w14:paraId="3C0BB83F" w14:textId="5C55D4C3" w:rsidR="005A4D08" w:rsidRPr="005A4D08" w:rsidRDefault="005A4D08"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5A4D08">
              <w:rPr>
                <w:rFonts w:asciiTheme="minorHAnsi" w:hAnsiTheme="minorHAnsi" w:cstheme="minorHAnsi"/>
                <w:sz w:val="22"/>
              </w:rPr>
              <w:t>Consider alternative regulatory tools, including incentive-based regulation where appropriate.</w:t>
            </w:r>
          </w:p>
          <w:p w14:paraId="3F0C5E82" w14:textId="6532CC39" w:rsidR="005A4D08" w:rsidRPr="005A4D08" w:rsidRDefault="005A4D08"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5A4D08">
              <w:rPr>
                <w:rFonts w:asciiTheme="minorHAnsi" w:hAnsiTheme="minorHAnsi" w:cstheme="minorHAnsi"/>
                <w:sz w:val="22"/>
              </w:rPr>
              <w:t>Explore the use of e-technologies to reduce the time, cost and administrative burden associated with the sale of recreational fishing licences (RFL) and other public facing services.</w:t>
            </w:r>
          </w:p>
          <w:p w14:paraId="222F1065" w14:textId="24AE4089" w:rsidR="005A4D08" w:rsidRPr="005A4D08" w:rsidRDefault="005A4D08"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5A4D08">
              <w:rPr>
                <w:rFonts w:asciiTheme="minorHAnsi" w:hAnsiTheme="minorHAnsi" w:cstheme="minorHAnsi"/>
                <w:sz w:val="22"/>
              </w:rPr>
              <w:t>Consider how the current catch and effort reporting arrangements for commercial fisheries could be improved in the future to minimise burden to fishers and ensure the most appropriate information is obtained for fishery management purposes</w:t>
            </w:r>
            <w:r>
              <w:rPr>
                <w:rFonts w:asciiTheme="minorHAnsi" w:hAnsiTheme="minorHAnsi" w:cstheme="minorHAnsi"/>
                <w:sz w:val="22"/>
              </w:rPr>
              <w:t>.</w:t>
            </w:r>
          </w:p>
        </w:tc>
      </w:tr>
      <w:tr w:rsidR="00EF5E97" w:rsidRPr="005A4D08" w14:paraId="5AD67297" w14:textId="77777777" w:rsidTr="00ED7DC7">
        <w:tc>
          <w:tcPr>
            <w:tcW w:w="9634" w:type="dxa"/>
            <w:shd w:val="clear" w:color="auto" w:fill="D5E4ED" w:themeFill="text2" w:themeFillTint="33"/>
          </w:tcPr>
          <w:p w14:paraId="72785196" w14:textId="50C0211E" w:rsidR="00EF5E97" w:rsidRPr="00ED7DC7" w:rsidRDefault="00EF5E97" w:rsidP="005A4D08">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EF5E97" w:rsidRPr="005A4D08" w14:paraId="4AD3C496" w14:textId="77777777" w:rsidTr="00EF5E97">
        <w:tc>
          <w:tcPr>
            <w:tcW w:w="9634" w:type="dxa"/>
          </w:tcPr>
          <w:p w14:paraId="519FFB94" w14:textId="77777777" w:rsidR="00EF5E97" w:rsidRPr="005A4D08" w:rsidRDefault="00EF5E97"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5A4D08">
              <w:rPr>
                <w:rFonts w:asciiTheme="minorHAnsi" w:hAnsiTheme="minorHAnsi" w:cstheme="minorHAnsi"/>
                <w:sz w:val="22"/>
              </w:rPr>
              <w:t xml:space="preserve">Review (jointly with DEDJTR) the sunsetting </w:t>
            </w:r>
            <w:r w:rsidRPr="005A4D08">
              <w:rPr>
                <w:rFonts w:asciiTheme="minorHAnsi" w:hAnsiTheme="minorHAnsi" w:cstheme="minorHAnsi"/>
                <w:i/>
                <w:iCs/>
                <w:sz w:val="22"/>
              </w:rPr>
              <w:t>Fisheries Regulations 2009</w:t>
            </w:r>
            <w:r w:rsidRPr="005A4D08">
              <w:rPr>
                <w:rFonts w:asciiTheme="minorHAnsi" w:hAnsiTheme="minorHAnsi" w:cstheme="minorHAnsi"/>
                <w:sz w:val="22"/>
              </w:rPr>
              <w:t xml:space="preserve"> to identify areas where regulatory burden could be reduced</w:t>
            </w:r>
            <w:r w:rsidR="005A4D08">
              <w:rPr>
                <w:rFonts w:asciiTheme="minorHAnsi" w:hAnsiTheme="minorHAnsi" w:cstheme="minorHAnsi"/>
                <w:sz w:val="22"/>
              </w:rPr>
              <w:t>.</w:t>
            </w:r>
          </w:p>
          <w:p w14:paraId="1E4C770D" w14:textId="77777777" w:rsidR="005A4D08" w:rsidRPr="005A4D08" w:rsidRDefault="005A4D08"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5A4D08">
              <w:rPr>
                <w:rFonts w:asciiTheme="minorHAnsi" w:hAnsiTheme="minorHAnsi" w:cstheme="minorHAnsi"/>
                <w:sz w:val="22"/>
              </w:rPr>
              <w:t>Plan, build &amp; implement an online method for agents selling recreational fishing licences on behalf of the VFA, replacing the current paper</w:t>
            </w:r>
            <w:r>
              <w:rPr>
                <w:rFonts w:asciiTheme="minorHAnsi" w:hAnsiTheme="minorHAnsi" w:cstheme="minorHAnsi"/>
                <w:sz w:val="22"/>
              </w:rPr>
              <w:t>-</w:t>
            </w:r>
            <w:r w:rsidRPr="005A4D08">
              <w:rPr>
                <w:rFonts w:asciiTheme="minorHAnsi" w:hAnsiTheme="minorHAnsi" w:cstheme="minorHAnsi"/>
                <w:sz w:val="22"/>
              </w:rPr>
              <w:t>based system and significantly reducing agent burden and VFA costs.</w:t>
            </w:r>
          </w:p>
          <w:p w14:paraId="09061816" w14:textId="0E325F53" w:rsidR="005A4D08" w:rsidRPr="005A4D08" w:rsidRDefault="00E71658"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eastAsia="Times New Roman" w:hAnsiTheme="minorHAnsi" w:cstheme="minorHAnsi"/>
                <w:sz w:val="22"/>
              </w:rPr>
              <w:t>Transition key commercial fisheries (abalone, rock lobster, giant crab, pip</w:t>
            </w:r>
            <w:r w:rsidR="007F2DEE">
              <w:rPr>
                <w:rFonts w:asciiTheme="minorHAnsi" w:eastAsia="Times New Roman" w:hAnsiTheme="minorHAnsi" w:cstheme="minorHAnsi"/>
                <w:sz w:val="22"/>
              </w:rPr>
              <w:t>i</w:t>
            </w:r>
            <w:r>
              <w:rPr>
                <w:rFonts w:asciiTheme="minorHAnsi" w:eastAsia="Times New Roman" w:hAnsiTheme="minorHAnsi" w:cstheme="minorHAnsi"/>
                <w:sz w:val="22"/>
              </w:rPr>
              <w:t xml:space="preserve"> and wrasse) to a single electronic catch reporting system.</w:t>
            </w:r>
          </w:p>
        </w:tc>
      </w:tr>
    </w:tbl>
    <w:p w14:paraId="3AC0F741" w14:textId="19E266C2" w:rsidR="00BE6542" w:rsidRPr="00DE35FE" w:rsidRDefault="003358B1" w:rsidP="00BE6542">
      <w:pPr>
        <w:rPr>
          <w:rFonts w:asciiTheme="minorHAnsi" w:eastAsia="Times New Roman" w:hAnsiTheme="minorHAnsi" w:cstheme="minorHAnsi"/>
          <w:sz w:val="22"/>
          <w:szCs w:val="22"/>
          <w:lang w:eastAsia="en-US"/>
        </w:rPr>
      </w:pPr>
      <w:r w:rsidRPr="00DE35FE">
        <w:rPr>
          <w:rFonts w:asciiTheme="minorHAnsi" w:eastAsia="Times New Roman" w:hAnsiTheme="minorHAnsi" w:cstheme="minorHAnsi"/>
          <w:sz w:val="22"/>
          <w:szCs w:val="22"/>
          <w:lang w:eastAsia="en-US"/>
        </w:rPr>
        <w:t xml:space="preserve">The evaluation found evidence </w:t>
      </w:r>
      <w:r w:rsidR="00DE35FE" w:rsidRPr="00DE35FE">
        <w:rPr>
          <w:rFonts w:asciiTheme="minorHAnsi" w:eastAsia="Times New Roman" w:hAnsiTheme="minorHAnsi" w:cstheme="minorHAnsi"/>
          <w:sz w:val="22"/>
          <w:szCs w:val="22"/>
          <w:lang w:eastAsia="en-US"/>
        </w:rPr>
        <w:t>that the VFA has taken significant steps to reduce the regulatory burden placed on the recreational</w:t>
      </w:r>
      <w:r w:rsidR="00E745BA">
        <w:rPr>
          <w:rFonts w:asciiTheme="minorHAnsi" w:eastAsia="Times New Roman" w:hAnsiTheme="minorHAnsi" w:cstheme="minorHAnsi"/>
          <w:sz w:val="22"/>
          <w:szCs w:val="22"/>
          <w:lang w:eastAsia="en-US"/>
        </w:rPr>
        <w:t xml:space="preserve"> and</w:t>
      </w:r>
      <w:r w:rsidR="00DE35FE" w:rsidRPr="00DE35FE">
        <w:rPr>
          <w:rFonts w:asciiTheme="minorHAnsi" w:eastAsia="Times New Roman" w:hAnsiTheme="minorHAnsi" w:cstheme="minorHAnsi"/>
          <w:sz w:val="22"/>
          <w:szCs w:val="22"/>
          <w:lang w:eastAsia="en-US"/>
        </w:rPr>
        <w:t xml:space="preserve"> commercial sectors over the life of the SOE.  </w:t>
      </w:r>
    </w:p>
    <w:p w14:paraId="2BF370D3" w14:textId="1C446FB1" w:rsidR="00BE6542" w:rsidRDefault="00E71658" w:rsidP="009A7DB4">
      <w:pPr>
        <w:pStyle w:val="ListParagraph"/>
        <w:numPr>
          <w:ilvl w:val="0"/>
          <w:numId w:val="9"/>
        </w:numPr>
        <w:jc w:val="left"/>
        <w:rPr>
          <w:rFonts w:asciiTheme="minorHAnsi" w:eastAsia="Times New Roman" w:hAnsiTheme="minorHAnsi" w:cstheme="minorHAnsi"/>
          <w:sz w:val="22"/>
        </w:rPr>
      </w:pPr>
      <w:r w:rsidRPr="00DE35FE">
        <w:rPr>
          <w:rFonts w:asciiTheme="minorHAnsi" w:eastAsia="Times New Roman" w:hAnsiTheme="minorHAnsi" w:cstheme="minorHAnsi"/>
          <w:sz w:val="22"/>
        </w:rPr>
        <w:t xml:space="preserve">Sunsetting of the </w:t>
      </w:r>
      <w:r w:rsidR="00DE35FE" w:rsidRPr="005A4D08">
        <w:rPr>
          <w:rFonts w:asciiTheme="minorHAnsi" w:hAnsiTheme="minorHAnsi" w:cstheme="minorHAnsi"/>
          <w:i/>
          <w:iCs/>
          <w:sz w:val="22"/>
        </w:rPr>
        <w:t>Fisheries Regulations 2009</w:t>
      </w:r>
      <w:r w:rsidR="00DE35FE" w:rsidRPr="005A4D08">
        <w:rPr>
          <w:rFonts w:asciiTheme="minorHAnsi" w:hAnsiTheme="minorHAnsi" w:cstheme="minorHAnsi"/>
          <w:sz w:val="22"/>
        </w:rPr>
        <w:t xml:space="preserve"> </w:t>
      </w:r>
      <w:r w:rsidRPr="00DE35FE">
        <w:rPr>
          <w:rFonts w:asciiTheme="minorHAnsi" w:eastAsia="Times New Roman" w:hAnsiTheme="minorHAnsi" w:cstheme="minorHAnsi"/>
          <w:sz w:val="22"/>
        </w:rPr>
        <w:t xml:space="preserve">was extended </w:t>
      </w:r>
      <w:r w:rsidR="008602B6">
        <w:rPr>
          <w:rFonts w:asciiTheme="minorHAnsi" w:eastAsia="Times New Roman" w:hAnsiTheme="minorHAnsi" w:cstheme="minorHAnsi"/>
          <w:sz w:val="22"/>
        </w:rPr>
        <w:t xml:space="preserve">from </w:t>
      </w:r>
      <w:r w:rsidR="008602B6" w:rsidRPr="00F05979">
        <w:rPr>
          <w:rFonts w:asciiTheme="minorHAnsi" w:eastAsia="Times New Roman" w:hAnsiTheme="minorHAnsi" w:cstheme="minorHAnsi"/>
          <w:sz w:val="22"/>
        </w:rPr>
        <w:t>Feb 2019</w:t>
      </w:r>
      <w:r w:rsidR="008602B6">
        <w:rPr>
          <w:rFonts w:asciiTheme="minorHAnsi" w:eastAsia="Times New Roman" w:hAnsiTheme="minorHAnsi" w:cstheme="minorHAnsi"/>
          <w:sz w:val="22"/>
        </w:rPr>
        <w:t xml:space="preserve"> to </w:t>
      </w:r>
      <w:r w:rsidRPr="00DE35FE">
        <w:rPr>
          <w:rFonts w:asciiTheme="minorHAnsi" w:eastAsia="Times New Roman" w:hAnsiTheme="minorHAnsi" w:cstheme="minorHAnsi"/>
          <w:sz w:val="22"/>
        </w:rPr>
        <w:t xml:space="preserve">February 2020.  Consultation on proposed regulations </w:t>
      </w:r>
      <w:r w:rsidR="003358B1" w:rsidRPr="00DE35FE">
        <w:rPr>
          <w:rFonts w:asciiTheme="minorHAnsi" w:eastAsia="Times New Roman" w:hAnsiTheme="minorHAnsi" w:cstheme="minorHAnsi"/>
          <w:sz w:val="22"/>
        </w:rPr>
        <w:t>began in September 2019 and concluded at the end of October 2019.  The new regulations</w:t>
      </w:r>
      <w:r w:rsidR="008602B6">
        <w:rPr>
          <w:rFonts w:asciiTheme="minorHAnsi" w:eastAsia="Times New Roman" w:hAnsiTheme="minorHAnsi" w:cstheme="minorHAnsi"/>
          <w:sz w:val="22"/>
        </w:rPr>
        <w:t xml:space="preserve">, </w:t>
      </w:r>
      <w:r w:rsidR="008602B6" w:rsidRPr="008602B6">
        <w:rPr>
          <w:rFonts w:asciiTheme="minorHAnsi" w:eastAsia="Times New Roman" w:hAnsiTheme="minorHAnsi" w:cstheme="minorHAnsi"/>
          <w:i/>
          <w:iCs/>
          <w:sz w:val="22"/>
        </w:rPr>
        <w:t>Fisheries Regulations 2019</w:t>
      </w:r>
      <w:r w:rsidR="008602B6">
        <w:rPr>
          <w:rFonts w:asciiTheme="minorHAnsi" w:eastAsia="Times New Roman" w:hAnsiTheme="minorHAnsi" w:cstheme="minorHAnsi"/>
          <w:sz w:val="22"/>
        </w:rPr>
        <w:t>,</w:t>
      </w:r>
      <w:r w:rsidR="003358B1" w:rsidRPr="00DE35FE">
        <w:rPr>
          <w:rFonts w:asciiTheme="minorHAnsi" w:eastAsia="Times New Roman" w:hAnsiTheme="minorHAnsi" w:cstheme="minorHAnsi"/>
          <w:sz w:val="22"/>
        </w:rPr>
        <w:t xml:space="preserve"> came into effect on 1 February 2020.</w:t>
      </w:r>
    </w:p>
    <w:p w14:paraId="087DA7D4" w14:textId="4AF9197E" w:rsidR="007015B7" w:rsidRDefault="007015B7" w:rsidP="009A7DB4">
      <w:pPr>
        <w:pStyle w:val="ListParagraph"/>
        <w:numPr>
          <w:ilvl w:val="0"/>
          <w:numId w:val="9"/>
        </w:numPr>
        <w:jc w:val="left"/>
        <w:rPr>
          <w:rFonts w:asciiTheme="minorHAnsi" w:eastAsia="Times New Roman" w:hAnsiTheme="minorHAnsi" w:cstheme="minorHAnsi"/>
          <w:sz w:val="22"/>
        </w:rPr>
      </w:pPr>
      <w:r>
        <w:rPr>
          <w:rFonts w:asciiTheme="minorHAnsi" w:eastAsia="Times New Roman" w:hAnsiTheme="minorHAnsi" w:cstheme="minorHAnsi"/>
          <w:sz w:val="22"/>
        </w:rPr>
        <w:t xml:space="preserve">The VFA has implemented an online </w:t>
      </w:r>
      <w:r w:rsidR="00F275C8">
        <w:rPr>
          <w:rFonts w:asciiTheme="minorHAnsi" w:eastAsia="Times New Roman" w:hAnsiTheme="minorHAnsi" w:cstheme="minorHAnsi"/>
          <w:sz w:val="22"/>
        </w:rPr>
        <w:t xml:space="preserve">platform for agents selling </w:t>
      </w:r>
      <w:r w:rsidR="00BF427B">
        <w:rPr>
          <w:rFonts w:asciiTheme="minorHAnsi" w:eastAsia="Times New Roman" w:hAnsiTheme="minorHAnsi" w:cstheme="minorHAnsi"/>
          <w:sz w:val="22"/>
        </w:rPr>
        <w:t>recreational fishing licence</w:t>
      </w:r>
      <w:r w:rsidR="00ED7DC7">
        <w:rPr>
          <w:rFonts w:asciiTheme="minorHAnsi" w:eastAsia="Times New Roman" w:hAnsiTheme="minorHAnsi" w:cstheme="minorHAnsi"/>
          <w:sz w:val="22"/>
        </w:rPr>
        <w:t>s.  A</w:t>
      </w:r>
      <w:r w:rsidR="00BF427B">
        <w:rPr>
          <w:rFonts w:asciiTheme="minorHAnsi" w:eastAsia="Times New Roman" w:hAnsiTheme="minorHAnsi" w:cstheme="minorHAnsi"/>
          <w:sz w:val="22"/>
        </w:rPr>
        <w:t xml:space="preserve">fter </w:t>
      </w:r>
      <w:r w:rsidR="00ED7DC7">
        <w:rPr>
          <w:rFonts w:asciiTheme="minorHAnsi" w:eastAsia="Times New Roman" w:hAnsiTheme="minorHAnsi" w:cstheme="minorHAnsi"/>
          <w:sz w:val="22"/>
        </w:rPr>
        <w:t>the completion of a campaign to encourage and transition agents across to the platform, around 85% of sales now occur online.</w:t>
      </w:r>
      <w:r w:rsidR="00412632">
        <w:rPr>
          <w:rFonts w:asciiTheme="minorHAnsi" w:eastAsia="Times New Roman" w:hAnsiTheme="minorHAnsi" w:cstheme="minorHAnsi"/>
          <w:sz w:val="22"/>
        </w:rPr>
        <w:t xml:space="preserve">  This has significantly reduced the burden of </w:t>
      </w:r>
      <w:r w:rsidR="00E745BA">
        <w:rPr>
          <w:rFonts w:asciiTheme="minorHAnsi" w:eastAsia="Times New Roman" w:hAnsiTheme="minorHAnsi" w:cstheme="minorHAnsi"/>
          <w:sz w:val="22"/>
        </w:rPr>
        <w:t xml:space="preserve">the manual paper-based system for both the agents and the VFA.  </w:t>
      </w:r>
      <w:r w:rsidR="00412632">
        <w:rPr>
          <w:rFonts w:asciiTheme="minorHAnsi" w:eastAsia="Times New Roman" w:hAnsiTheme="minorHAnsi" w:cstheme="minorHAnsi"/>
          <w:sz w:val="22"/>
        </w:rPr>
        <w:t xml:space="preserve"> </w:t>
      </w:r>
    </w:p>
    <w:p w14:paraId="1A1636D7" w14:textId="01CAE34F" w:rsidR="007F2DEE" w:rsidRPr="003779D2" w:rsidRDefault="00E80C70" w:rsidP="009A7DB4">
      <w:pPr>
        <w:pStyle w:val="ListParagraph"/>
        <w:numPr>
          <w:ilvl w:val="0"/>
          <w:numId w:val="9"/>
        </w:numPr>
        <w:ind w:left="714" w:hanging="357"/>
        <w:contextualSpacing w:val="0"/>
        <w:jc w:val="left"/>
        <w:rPr>
          <w:rFonts w:asciiTheme="minorHAnsi" w:eastAsia="Times New Roman" w:hAnsiTheme="minorHAnsi" w:cstheme="minorHAnsi"/>
          <w:sz w:val="20"/>
          <w:szCs w:val="20"/>
        </w:rPr>
      </w:pPr>
      <w:r w:rsidRPr="007F2DEE">
        <w:rPr>
          <w:rFonts w:asciiTheme="minorHAnsi" w:eastAsia="Times New Roman" w:hAnsiTheme="minorHAnsi" w:cstheme="minorHAnsi"/>
          <w:sz w:val="22"/>
        </w:rPr>
        <w:t xml:space="preserve">Over the life of the SOE, the VFA has designed and built an online electronic catch reporting system to replace the paper logbooks </w:t>
      </w:r>
      <w:r w:rsidR="007F2DEE">
        <w:rPr>
          <w:rFonts w:asciiTheme="minorHAnsi" w:eastAsia="Times New Roman" w:hAnsiTheme="minorHAnsi" w:cstheme="minorHAnsi"/>
          <w:sz w:val="22"/>
        </w:rPr>
        <w:t xml:space="preserve">and receipts </w:t>
      </w:r>
      <w:r w:rsidRPr="007F2DEE">
        <w:rPr>
          <w:rFonts w:asciiTheme="minorHAnsi" w:eastAsia="Times New Roman" w:hAnsiTheme="minorHAnsi" w:cstheme="minorHAnsi"/>
          <w:sz w:val="22"/>
        </w:rPr>
        <w:t>used in Victoria’s commercial fisheries.  The system is available to fishers as an app accessible via a smartphone or tablet and provides an end-to-end service for reporting catch, fishing effort and product movement.  The</w:t>
      </w:r>
      <w:r w:rsidR="007F2DEE" w:rsidRPr="007F2DEE">
        <w:rPr>
          <w:rFonts w:asciiTheme="minorHAnsi" w:eastAsia="Times New Roman" w:hAnsiTheme="minorHAnsi" w:cstheme="minorHAnsi"/>
          <w:sz w:val="22"/>
        </w:rPr>
        <w:t xml:space="preserve"> electronic system has created efficiencies by reducing the time and effort </w:t>
      </w:r>
      <w:r w:rsidR="00490EFF">
        <w:rPr>
          <w:rFonts w:asciiTheme="minorHAnsi" w:eastAsia="Times New Roman" w:hAnsiTheme="minorHAnsi" w:cstheme="minorHAnsi"/>
          <w:sz w:val="22"/>
        </w:rPr>
        <w:t>required</w:t>
      </w:r>
      <w:r w:rsidR="007F2DEE" w:rsidRPr="007F2DEE">
        <w:rPr>
          <w:rFonts w:asciiTheme="minorHAnsi" w:eastAsia="Times New Roman" w:hAnsiTheme="minorHAnsi" w:cstheme="minorHAnsi"/>
          <w:sz w:val="22"/>
        </w:rPr>
        <w:t xml:space="preserve"> to complete catch reports and has made the availability of data immediate</w:t>
      </w:r>
      <w:r w:rsidR="00490EFF">
        <w:rPr>
          <w:rFonts w:asciiTheme="minorHAnsi" w:eastAsia="Times New Roman" w:hAnsiTheme="minorHAnsi" w:cstheme="minorHAnsi"/>
          <w:sz w:val="22"/>
        </w:rPr>
        <w:t xml:space="preserve"> (</w:t>
      </w:r>
      <w:r w:rsidR="00490EFF" w:rsidRPr="00F05979">
        <w:rPr>
          <w:rFonts w:asciiTheme="minorHAnsi" w:eastAsia="Times New Roman" w:hAnsiTheme="minorHAnsi" w:cstheme="minorHAnsi"/>
          <w:sz w:val="22"/>
        </w:rPr>
        <w:t>previously, this process could take up to two months</w:t>
      </w:r>
      <w:r w:rsidR="00490EFF">
        <w:rPr>
          <w:rFonts w:asciiTheme="minorHAnsi" w:eastAsia="Times New Roman" w:hAnsiTheme="minorHAnsi" w:cstheme="minorHAnsi"/>
          <w:sz w:val="22"/>
        </w:rPr>
        <w:t>)</w:t>
      </w:r>
      <w:r w:rsidR="007F2DEE" w:rsidRPr="007F2DEE">
        <w:rPr>
          <w:rFonts w:asciiTheme="minorHAnsi" w:eastAsia="Times New Roman" w:hAnsiTheme="minorHAnsi" w:cstheme="minorHAnsi"/>
          <w:sz w:val="22"/>
        </w:rPr>
        <w:t xml:space="preserve">.  </w:t>
      </w:r>
      <w:r w:rsidR="007F2DEE">
        <w:rPr>
          <w:rFonts w:asciiTheme="minorHAnsi" w:eastAsia="Times New Roman" w:hAnsiTheme="minorHAnsi" w:cstheme="minorHAnsi"/>
          <w:sz w:val="22"/>
        </w:rPr>
        <w:t>By the completion of the SOE, the system will have been implemented in the abalone, rock lobster and giant crab fisheries, with the pipi and wrasse fisheries to be transitioned in 2021/22.</w:t>
      </w:r>
    </w:p>
    <w:p w14:paraId="769C06AA" w14:textId="71A59864" w:rsidR="003779D2" w:rsidRDefault="003779D2" w:rsidP="003779D2">
      <w:pPr>
        <w:rPr>
          <w:rFonts w:asciiTheme="minorHAnsi" w:eastAsia="Times New Roman" w:hAnsiTheme="minorHAnsi" w:cstheme="minorHAnsi"/>
          <w:sz w:val="20"/>
          <w:szCs w:val="20"/>
        </w:rPr>
      </w:pPr>
    </w:p>
    <w:p w14:paraId="78D4301B" w14:textId="77777777" w:rsidR="003779D2" w:rsidRPr="003779D2" w:rsidRDefault="003779D2" w:rsidP="003779D2">
      <w:pPr>
        <w:rPr>
          <w:rFonts w:asciiTheme="minorHAnsi" w:eastAsia="Times New Roman" w:hAnsiTheme="minorHAnsi" w:cstheme="minorHAnsi"/>
          <w:sz w:val="20"/>
          <w:szCs w:val="20"/>
        </w:rPr>
      </w:pPr>
    </w:p>
    <w:p w14:paraId="61DB5B4F" w14:textId="322F77E1" w:rsidR="00490EFF" w:rsidRPr="003779D2" w:rsidRDefault="00490EFF" w:rsidP="009A7DB4">
      <w:pPr>
        <w:pStyle w:val="ListParagraph"/>
        <w:numPr>
          <w:ilvl w:val="0"/>
          <w:numId w:val="7"/>
        </w:numPr>
        <w:spacing w:before="120"/>
        <w:ind w:left="426" w:hanging="426"/>
        <w:contextualSpacing w:val="0"/>
        <w:rPr>
          <w:rFonts w:asciiTheme="minorHAnsi" w:eastAsia="Times New Roman" w:hAnsiTheme="minorHAnsi" w:cstheme="minorHAnsi"/>
          <w:b/>
          <w:bCs/>
          <w:sz w:val="22"/>
        </w:rPr>
      </w:pPr>
      <w:r>
        <w:rPr>
          <w:rFonts w:asciiTheme="minorHAnsi" w:eastAsia="Times New Roman" w:hAnsiTheme="minorHAnsi" w:cstheme="minorHAnsi"/>
          <w:b/>
          <w:bCs/>
          <w:sz w:val="22"/>
        </w:rPr>
        <w:lastRenderedPageBreak/>
        <w:t>Risk-based Strategies</w:t>
      </w:r>
    </w:p>
    <w:tbl>
      <w:tblPr>
        <w:tblStyle w:val="TableGrid"/>
        <w:tblW w:w="9634" w:type="dxa"/>
        <w:tblLook w:val="04A0" w:firstRow="1" w:lastRow="0" w:firstColumn="1" w:lastColumn="0" w:noHBand="0" w:noVBand="1"/>
      </w:tblPr>
      <w:tblGrid>
        <w:gridCol w:w="9634"/>
      </w:tblGrid>
      <w:tr w:rsidR="00490EFF" w:rsidRPr="005A4D08" w14:paraId="49E7EB2A" w14:textId="77777777" w:rsidTr="001B169A">
        <w:tc>
          <w:tcPr>
            <w:tcW w:w="9634" w:type="dxa"/>
            <w:shd w:val="clear" w:color="auto" w:fill="407798" w:themeFill="text2"/>
            <w:vAlign w:val="center"/>
          </w:tcPr>
          <w:p w14:paraId="374AC157" w14:textId="77777777" w:rsidR="00490EFF" w:rsidRPr="00BF427B" w:rsidRDefault="00490EFF" w:rsidP="001B169A">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490EFF" w:rsidRPr="005A4D08" w14:paraId="6C0C87A9" w14:textId="77777777" w:rsidTr="001B169A">
        <w:tc>
          <w:tcPr>
            <w:tcW w:w="9634" w:type="dxa"/>
          </w:tcPr>
          <w:p w14:paraId="06C90C6A" w14:textId="649B4531" w:rsidR="00D34B16" w:rsidRPr="003779D2" w:rsidRDefault="00BB25AC"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3779D2">
              <w:rPr>
                <w:rFonts w:asciiTheme="minorHAnsi" w:hAnsiTheme="minorHAnsi" w:cstheme="minorHAnsi"/>
                <w:sz w:val="22"/>
              </w:rPr>
              <w:t>Continue to deliver existing management plans for key fisheries throughout 2018-2020, includ</w:t>
            </w:r>
            <w:r w:rsidR="006E7463">
              <w:rPr>
                <w:rFonts w:asciiTheme="minorHAnsi" w:hAnsiTheme="minorHAnsi" w:cstheme="minorHAnsi"/>
                <w:sz w:val="22"/>
              </w:rPr>
              <w:t>ing</w:t>
            </w:r>
            <w:r w:rsidRPr="003779D2">
              <w:rPr>
                <w:rFonts w:asciiTheme="minorHAnsi" w:hAnsiTheme="minorHAnsi" w:cstheme="minorHAnsi"/>
                <w:sz w:val="22"/>
              </w:rPr>
              <w:t xml:space="preserve"> the abalone, rock lobster, giant crab and eel fisheries. </w:t>
            </w:r>
            <w:r w:rsidR="003779D2" w:rsidRPr="003779D2">
              <w:rPr>
                <w:rFonts w:asciiTheme="minorHAnsi" w:hAnsiTheme="minorHAnsi" w:cstheme="minorHAnsi"/>
                <w:sz w:val="22"/>
              </w:rPr>
              <w:t xml:space="preserve"> </w:t>
            </w:r>
            <w:r w:rsidR="00D34B16" w:rsidRPr="003779D2">
              <w:rPr>
                <w:rFonts w:asciiTheme="minorHAnsi" w:hAnsiTheme="minorHAnsi" w:cstheme="minorHAnsi"/>
                <w:sz w:val="22"/>
              </w:rPr>
              <w:t>Implement the harvest strategy for the wrasse fishery and management plan for freshwater fisheries</w:t>
            </w:r>
            <w:r w:rsidR="003779D2" w:rsidRPr="003779D2">
              <w:rPr>
                <w:rFonts w:asciiTheme="minorHAnsi" w:hAnsiTheme="minorHAnsi" w:cstheme="minorHAnsi"/>
                <w:sz w:val="22"/>
              </w:rPr>
              <w:t xml:space="preserve"> and </w:t>
            </w:r>
            <w:r w:rsidR="003779D2">
              <w:rPr>
                <w:rFonts w:asciiTheme="minorHAnsi" w:hAnsiTheme="minorHAnsi" w:cstheme="minorHAnsi"/>
                <w:sz w:val="22"/>
              </w:rPr>
              <w:t>t</w:t>
            </w:r>
            <w:r w:rsidR="00D34B16" w:rsidRPr="003779D2">
              <w:rPr>
                <w:rFonts w:asciiTheme="minorHAnsi" w:hAnsiTheme="minorHAnsi" w:cstheme="minorHAnsi"/>
                <w:sz w:val="22"/>
              </w:rPr>
              <w:t>ake a risk-based approach in the development of any future fishery management plans to ensure that plans are developed on a priority basis for key or high-risk fisheries.</w:t>
            </w:r>
          </w:p>
          <w:p w14:paraId="2DA61773" w14:textId="77777777" w:rsidR="00490EFF" w:rsidRDefault="00D34B16"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Investigate ways of collecting better catch, effort and value data from the recreational and commercial fishing sectors.</w:t>
            </w:r>
          </w:p>
          <w:p w14:paraId="7AB31BD9" w14:textId="77777777" w:rsidR="00D34B16" w:rsidRDefault="00D34B16"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Conduct a Victorian recreational fishing survey within the next 12 months and report on the outcomes of the survey within three months of its completion,</w:t>
            </w:r>
          </w:p>
          <w:p w14:paraId="46EF00A1" w14:textId="77777777" w:rsidR="00D34B16" w:rsidRDefault="00D34B16"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Continue to implement the VFA’s intelligence-informed risk-based compliance model, balancing a focus on areas of highest risk, while retaining a base model of cover across all fisheries to maintain community confidence and create a general deterrence.</w:t>
            </w:r>
          </w:p>
          <w:p w14:paraId="1781DD1E" w14:textId="0685D3B3" w:rsidR="00D34B16" w:rsidRPr="005A4D08" w:rsidRDefault="00D34B16"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 xml:space="preserve">Contribute to the safety of all Victorians through minimising the risk of shark hazards in Victorian waters, promoting the safe use of fisheries resources and acting as a support agency for aquatic related emergencies under the </w:t>
            </w:r>
            <w:r w:rsidR="003779D2">
              <w:rPr>
                <w:rFonts w:asciiTheme="minorHAnsi" w:hAnsiTheme="minorHAnsi" w:cstheme="minorHAnsi"/>
                <w:i/>
                <w:iCs/>
                <w:sz w:val="22"/>
              </w:rPr>
              <w:t xml:space="preserve">Emergency Management Act 2013. </w:t>
            </w:r>
          </w:p>
        </w:tc>
      </w:tr>
      <w:tr w:rsidR="003779D2" w:rsidRPr="00ED7DC7" w14:paraId="5E41AAC4" w14:textId="77777777" w:rsidTr="001B169A">
        <w:tc>
          <w:tcPr>
            <w:tcW w:w="9634" w:type="dxa"/>
            <w:shd w:val="clear" w:color="auto" w:fill="D5E4ED" w:themeFill="text2" w:themeFillTint="33"/>
          </w:tcPr>
          <w:p w14:paraId="6D512D3F" w14:textId="77777777" w:rsidR="003779D2" w:rsidRPr="00ED7DC7" w:rsidRDefault="003779D2" w:rsidP="001B169A">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3779D2" w:rsidRPr="005A4D08" w14:paraId="33663470" w14:textId="77777777" w:rsidTr="001B169A">
        <w:tc>
          <w:tcPr>
            <w:tcW w:w="9634" w:type="dxa"/>
          </w:tcPr>
          <w:p w14:paraId="52EFBABD" w14:textId="77777777" w:rsidR="007E2BC9" w:rsidRPr="007E2BC9" w:rsidRDefault="007E2BC9"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hAnsiTheme="minorHAnsi" w:cstheme="minorHAnsi"/>
                <w:sz w:val="22"/>
              </w:rPr>
              <w:t>Deliver a recreational fishing survey and report on outcomes within three months of completion.</w:t>
            </w:r>
          </w:p>
          <w:p w14:paraId="14E22D82" w14:textId="6329BACA" w:rsidR="003779D2" w:rsidRPr="005A4D08" w:rsidRDefault="00C22A92"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hAnsiTheme="minorHAnsi" w:cstheme="minorHAnsi"/>
                <w:sz w:val="22"/>
              </w:rPr>
              <w:t>Implement a Freshwater Fishery Management Plan.</w:t>
            </w:r>
          </w:p>
          <w:p w14:paraId="43F89B2F" w14:textId="3DF57101" w:rsidR="00B57213" w:rsidRPr="007E2BC9" w:rsidRDefault="00C22A92"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eastAsia="Times New Roman" w:hAnsiTheme="minorHAnsi" w:cstheme="minorHAnsi"/>
                <w:sz w:val="22"/>
              </w:rPr>
              <w:t>Monitor the performance of the Wrasse Fishery</w:t>
            </w:r>
            <w:r w:rsidR="001A5FF1">
              <w:rPr>
                <w:rFonts w:asciiTheme="minorHAnsi" w:eastAsia="Times New Roman" w:hAnsiTheme="minorHAnsi" w:cstheme="minorHAnsi"/>
                <w:sz w:val="22"/>
              </w:rPr>
              <w:t xml:space="preserve"> in accordance with the harvest strategy.</w:t>
            </w:r>
          </w:p>
        </w:tc>
      </w:tr>
    </w:tbl>
    <w:p w14:paraId="663A8348" w14:textId="77777777" w:rsidR="007E2BC9" w:rsidRDefault="007E2BC9" w:rsidP="007E2BC9">
      <w:r w:rsidRPr="00314D89">
        <w:rPr>
          <w:rFonts w:asciiTheme="minorHAnsi" w:eastAsia="Times New Roman" w:hAnsiTheme="minorHAnsi" w:cstheme="minorHAnsi"/>
          <w:sz w:val="22"/>
          <w:szCs w:val="22"/>
          <w:lang w:eastAsia="en-US"/>
        </w:rPr>
        <w:t>In March</w:t>
      </w:r>
      <w:r>
        <w:rPr>
          <w:rFonts w:asciiTheme="minorHAnsi" w:eastAsia="Times New Roman" w:hAnsiTheme="minorHAnsi" w:cstheme="minorHAnsi"/>
          <w:sz w:val="22"/>
          <w:szCs w:val="22"/>
          <w:lang w:eastAsia="en-US"/>
        </w:rPr>
        <w:t>-April</w:t>
      </w:r>
      <w:r w:rsidRPr="00314D89">
        <w:rPr>
          <w:rFonts w:asciiTheme="minorHAnsi" w:eastAsia="Times New Roman" w:hAnsiTheme="minorHAnsi" w:cstheme="minorHAnsi"/>
          <w:sz w:val="22"/>
          <w:szCs w:val="22"/>
          <w:lang w:eastAsia="en-US"/>
        </w:rPr>
        <w:t xml:space="preserve"> 2018, the VFA conducted an online recreational fishing survey seeking feedback from fishers on a range of topics to allow the VFA to make more informed choices about improving recreational fishing opportunities across the State and to invest in the right areas. </w:t>
      </w:r>
      <w:r>
        <w:rPr>
          <w:rFonts w:asciiTheme="minorHAnsi" w:eastAsia="Times New Roman" w:hAnsiTheme="minorHAnsi" w:cstheme="minorHAnsi"/>
          <w:sz w:val="22"/>
          <w:szCs w:val="22"/>
          <w:lang w:eastAsia="en-US"/>
        </w:rPr>
        <w:t xml:space="preserve"> The results of the survey were published on the VFA’s website. </w:t>
      </w:r>
      <w:hyperlink r:id="rId21" w:history="1">
        <w:r w:rsidRPr="0035313D">
          <w:rPr>
            <w:color w:val="0000FF"/>
            <w:u w:val="single"/>
          </w:rPr>
          <w:t>https://vfa.vic.gov.au/__data/assets/pdf_file/0008/437750/Vic-Fisheries-Authority-Licence-Survey-final-report-1Oct18.pdf</w:t>
        </w:r>
      </w:hyperlink>
    </w:p>
    <w:p w14:paraId="550E7D36" w14:textId="77777777" w:rsidR="00A02BD7" w:rsidRDefault="00F052B3" w:rsidP="00BE6542">
      <w:pP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The evaluation concluded that the VFA performs strongly in developing and delivering risk-based strategies.</w:t>
      </w:r>
      <w:r w:rsidR="005E48B2">
        <w:rPr>
          <w:rFonts w:asciiTheme="minorHAnsi" w:eastAsia="Times New Roman" w:hAnsiTheme="minorHAnsi" w:cstheme="minorHAnsi"/>
          <w:sz w:val="22"/>
          <w:szCs w:val="22"/>
          <w:lang w:eastAsia="en-US"/>
        </w:rPr>
        <w:t xml:space="preserve">  </w:t>
      </w:r>
      <w:r w:rsidR="001A5FF1">
        <w:rPr>
          <w:rFonts w:asciiTheme="minorHAnsi" w:eastAsia="Times New Roman" w:hAnsiTheme="minorHAnsi" w:cstheme="minorHAnsi"/>
          <w:sz w:val="22"/>
          <w:szCs w:val="22"/>
          <w:lang w:eastAsia="en-US"/>
        </w:rPr>
        <w:t xml:space="preserve">The VFA applies a risk-based approach to the management of Victoria’s marine and freshwater resources, which is evidenced by the priorities of the </w:t>
      </w:r>
      <w:r w:rsidR="001A5FF1" w:rsidRPr="001A5FF1">
        <w:rPr>
          <w:rFonts w:asciiTheme="minorHAnsi" w:eastAsia="Times New Roman" w:hAnsiTheme="minorHAnsi" w:cstheme="minorHAnsi"/>
          <w:i/>
          <w:iCs/>
          <w:sz w:val="22"/>
          <w:szCs w:val="22"/>
          <w:lang w:eastAsia="en-US"/>
        </w:rPr>
        <w:t>VFA Strategic Plan 2019-2024</w:t>
      </w:r>
      <w:r w:rsidR="00910CC5">
        <w:rPr>
          <w:rFonts w:asciiTheme="minorHAnsi" w:eastAsia="Times New Roman" w:hAnsiTheme="minorHAnsi" w:cstheme="minorHAnsi"/>
          <w:sz w:val="22"/>
          <w:szCs w:val="22"/>
          <w:lang w:eastAsia="en-US"/>
        </w:rPr>
        <w:t xml:space="preserve">; primarily, </w:t>
      </w:r>
      <w:r w:rsidR="00910CC5" w:rsidRPr="00B57213">
        <w:rPr>
          <w:rFonts w:asciiTheme="minorHAnsi" w:eastAsia="Times New Roman" w:hAnsiTheme="minorHAnsi" w:cstheme="minorHAnsi"/>
          <w:i/>
          <w:iCs/>
          <w:sz w:val="22"/>
          <w:szCs w:val="22"/>
          <w:lang w:eastAsia="en-US"/>
        </w:rPr>
        <w:t>Focus Area 1 – Sustainable and healthy fisheries</w:t>
      </w:r>
      <w:r w:rsidR="00910CC5">
        <w:rPr>
          <w:rFonts w:asciiTheme="minorHAnsi" w:eastAsia="Times New Roman" w:hAnsiTheme="minorHAnsi" w:cstheme="minorHAnsi"/>
          <w:sz w:val="22"/>
          <w:szCs w:val="22"/>
          <w:lang w:eastAsia="en-US"/>
        </w:rPr>
        <w:t xml:space="preserve">. </w:t>
      </w:r>
    </w:p>
    <w:p w14:paraId="727A177C" w14:textId="3ACCD76E" w:rsidR="001A5FF1" w:rsidRPr="00A02BD7" w:rsidRDefault="00910CC5" w:rsidP="00BE6542">
      <w:pPr>
        <w:rPr>
          <w:rFonts w:asciiTheme="minorHAnsi" w:hAnsiTheme="minorHAnsi" w:cstheme="minorHAnsi"/>
          <w:sz w:val="22"/>
        </w:rPr>
      </w:pPr>
      <w:r>
        <w:rPr>
          <w:rFonts w:asciiTheme="minorHAnsi" w:eastAsia="Times New Roman" w:hAnsiTheme="minorHAnsi" w:cstheme="minorHAnsi"/>
          <w:sz w:val="22"/>
          <w:szCs w:val="22"/>
          <w:lang w:eastAsia="en-US"/>
        </w:rPr>
        <w:t xml:space="preserve">Over the life of the SOE, the VFA has continued to deliver existing management plans for the </w:t>
      </w:r>
      <w:r w:rsidRPr="003779D2">
        <w:rPr>
          <w:rFonts w:asciiTheme="minorHAnsi" w:hAnsiTheme="minorHAnsi" w:cstheme="minorHAnsi"/>
          <w:sz w:val="22"/>
        </w:rPr>
        <w:t>abalone, rock lobster, giant crab and eel fisheries</w:t>
      </w:r>
      <w:r>
        <w:rPr>
          <w:rFonts w:asciiTheme="minorHAnsi" w:hAnsiTheme="minorHAnsi" w:cstheme="minorHAnsi"/>
          <w:sz w:val="22"/>
        </w:rPr>
        <w:t xml:space="preserve">.  </w:t>
      </w:r>
      <w:r w:rsidR="00B57213">
        <w:rPr>
          <w:rFonts w:asciiTheme="minorHAnsi" w:hAnsiTheme="minorHAnsi" w:cstheme="minorHAnsi"/>
          <w:sz w:val="22"/>
        </w:rPr>
        <w:t xml:space="preserve">The Freshwater Fishery Management Plan was released in October 2018 and is focussed on improving the health of Victoria’s inland fisheries and the habitats that support them.  </w:t>
      </w:r>
      <w:r>
        <w:rPr>
          <w:rFonts w:asciiTheme="minorHAnsi" w:hAnsiTheme="minorHAnsi" w:cstheme="minorHAnsi"/>
          <w:sz w:val="22"/>
        </w:rPr>
        <w:t xml:space="preserve">In addition, </w:t>
      </w:r>
      <w:r w:rsidR="00B57213">
        <w:rPr>
          <w:rFonts w:asciiTheme="minorHAnsi" w:hAnsiTheme="minorHAnsi" w:cstheme="minorHAnsi"/>
          <w:sz w:val="22"/>
        </w:rPr>
        <w:t xml:space="preserve">a </w:t>
      </w:r>
      <w:r>
        <w:rPr>
          <w:rFonts w:asciiTheme="minorHAnsi" w:hAnsiTheme="minorHAnsi" w:cstheme="minorHAnsi"/>
          <w:sz w:val="22"/>
        </w:rPr>
        <w:t>management plan ha</w:t>
      </w:r>
      <w:r w:rsidR="00B57213">
        <w:rPr>
          <w:rFonts w:asciiTheme="minorHAnsi" w:hAnsiTheme="minorHAnsi" w:cstheme="minorHAnsi"/>
          <w:sz w:val="22"/>
        </w:rPr>
        <w:t xml:space="preserve">s </w:t>
      </w:r>
      <w:r>
        <w:rPr>
          <w:rFonts w:asciiTheme="minorHAnsi" w:hAnsiTheme="minorHAnsi" w:cstheme="minorHAnsi"/>
          <w:sz w:val="22"/>
        </w:rPr>
        <w:t xml:space="preserve">been developed and implemented for the </w:t>
      </w:r>
      <w:r w:rsidR="003D7592">
        <w:rPr>
          <w:rFonts w:asciiTheme="minorHAnsi" w:hAnsiTheme="minorHAnsi" w:cstheme="minorHAnsi"/>
          <w:sz w:val="22"/>
        </w:rPr>
        <w:t>P</w:t>
      </w:r>
      <w:r>
        <w:rPr>
          <w:rFonts w:asciiTheme="minorHAnsi" w:hAnsiTheme="minorHAnsi" w:cstheme="minorHAnsi"/>
          <w:sz w:val="22"/>
        </w:rPr>
        <w:t>ipi</w:t>
      </w:r>
      <w:r w:rsidR="00B57213">
        <w:rPr>
          <w:rFonts w:asciiTheme="minorHAnsi" w:hAnsiTheme="minorHAnsi" w:cstheme="minorHAnsi"/>
          <w:sz w:val="22"/>
        </w:rPr>
        <w:t xml:space="preserve"> </w:t>
      </w:r>
      <w:r w:rsidR="003D7592">
        <w:rPr>
          <w:rFonts w:asciiTheme="minorHAnsi" w:hAnsiTheme="minorHAnsi" w:cstheme="minorHAnsi"/>
          <w:sz w:val="22"/>
        </w:rPr>
        <w:t>F</w:t>
      </w:r>
      <w:r w:rsidR="00B57213">
        <w:rPr>
          <w:rFonts w:asciiTheme="minorHAnsi" w:hAnsiTheme="minorHAnsi" w:cstheme="minorHAnsi"/>
          <w:sz w:val="22"/>
        </w:rPr>
        <w:t>ishery</w:t>
      </w:r>
      <w:r>
        <w:rPr>
          <w:rFonts w:asciiTheme="minorHAnsi" w:hAnsiTheme="minorHAnsi" w:cstheme="minorHAnsi"/>
          <w:sz w:val="22"/>
        </w:rPr>
        <w:t>,</w:t>
      </w:r>
      <w:r w:rsidR="00B57213">
        <w:rPr>
          <w:rFonts w:asciiTheme="minorHAnsi" w:hAnsiTheme="minorHAnsi" w:cstheme="minorHAnsi"/>
          <w:sz w:val="22"/>
        </w:rPr>
        <w:t xml:space="preserve"> which was established in 2019.</w:t>
      </w:r>
      <w:r>
        <w:rPr>
          <w:rFonts w:asciiTheme="minorHAnsi" w:hAnsiTheme="minorHAnsi" w:cstheme="minorHAnsi"/>
          <w:sz w:val="22"/>
        </w:rPr>
        <w:t xml:space="preserve"> </w:t>
      </w:r>
      <w:r w:rsidR="00B57213">
        <w:rPr>
          <w:rFonts w:asciiTheme="minorHAnsi" w:hAnsiTheme="minorHAnsi" w:cstheme="minorHAnsi"/>
          <w:sz w:val="22"/>
        </w:rPr>
        <w:t xml:space="preserve"> </w:t>
      </w:r>
      <w:r w:rsidR="00B57213">
        <w:rPr>
          <w:rFonts w:asciiTheme="minorHAnsi" w:eastAsia="Times New Roman" w:hAnsiTheme="minorHAnsi" w:cstheme="minorHAnsi"/>
          <w:sz w:val="22"/>
          <w:szCs w:val="22"/>
          <w:lang w:eastAsia="en-US"/>
        </w:rPr>
        <w:t xml:space="preserve">The </w:t>
      </w:r>
      <w:r w:rsidR="003D7592">
        <w:rPr>
          <w:rFonts w:asciiTheme="minorHAnsi" w:eastAsia="Times New Roman" w:hAnsiTheme="minorHAnsi" w:cstheme="minorHAnsi"/>
          <w:sz w:val="22"/>
          <w:szCs w:val="22"/>
          <w:lang w:eastAsia="en-US"/>
        </w:rPr>
        <w:t>Wrasse Fishery continues to be managed in accordance with the harvest strategy</w:t>
      </w:r>
      <w:r w:rsidR="006F45EF">
        <w:rPr>
          <w:rFonts w:asciiTheme="minorHAnsi" w:eastAsia="Times New Roman" w:hAnsiTheme="minorHAnsi" w:cstheme="minorHAnsi"/>
          <w:sz w:val="22"/>
          <w:szCs w:val="22"/>
          <w:lang w:eastAsia="en-US"/>
        </w:rPr>
        <w:t xml:space="preserve"> and assessment reports are </w:t>
      </w:r>
      <w:r w:rsidR="00F052B3">
        <w:rPr>
          <w:rFonts w:asciiTheme="minorHAnsi" w:eastAsia="Times New Roman" w:hAnsiTheme="minorHAnsi" w:cstheme="minorHAnsi"/>
          <w:sz w:val="22"/>
          <w:szCs w:val="22"/>
          <w:lang w:eastAsia="en-US"/>
        </w:rPr>
        <w:t>provided</w:t>
      </w:r>
      <w:r w:rsidR="006F45EF">
        <w:rPr>
          <w:rFonts w:asciiTheme="minorHAnsi" w:eastAsia="Times New Roman" w:hAnsiTheme="minorHAnsi" w:cstheme="minorHAnsi"/>
          <w:sz w:val="22"/>
          <w:szCs w:val="22"/>
          <w:lang w:eastAsia="en-US"/>
        </w:rPr>
        <w:t xml:space="preserve"> annually</w:t>
      </w:r>
      <w:r w:rsidR="003D7592">
        <w:rPr>
          <w:rFonts w:asciiTheme="minorHAnsi" w:eastAsia="Times New Roman" w:hAnsiTheme="minorHAnsi" w:cstheme="minorHAnsi"/>
          <w:sz w:val="22"/>
          <w:szCs w:val="22"/>
          <w:lang w:eastAsia="en-US"/>
        </w:rPr>
        <w:t xml:space="preserve">. </w:t>
      </w:r>
      <w:r w:rsidR="006F45EF">
        <w:rPr>
          <w:rFonts w:asciiTheme="minorHAnsi" w:eastAsia="Times New Roman" w:hAnsiTheme="minorHAnsi" w:cstheme="minorHAnsi"/>
          <w:sz w:val="22"/>
          <w:szCs w:val="22"/>
          <w:lang w:eastAsia="en-US"/>
        </w:rPr>
        <w:t xml:space="preserve"> The </w:t>
      </w:r>
      <w:r w:rsidR="003D7592">
        <w:rPr>
          <w:rFonts w:asciiTheme="minorHAnsi" w:eastAsia="Times New Roman" w:hAnsiTheme="minorHAnsi" w:cstheme="minorHAnsi"/>
          <w:sz w:val="22"/>
          <w:szCs w:val="22"/>
          <w:lang w:eastAsia="en-US"/>
        </w:rPr>
        <w:t>2019</w:t>
      </w:r>
      <w:r w:rsidR="006F45EF">
        <w:rPr>
          <w:rFonts w:asciiTheme="minorHAnsi" w:eastAsia="Times New Roman" w:hAnsiTheme="minorHAnsi" w:cstheme="minorHAnsi"/>
          <w:sz w:val="22"/>
          <w:szCs w:val="22"/>
          <w:lang w:eastAsia="en-US"/>
        </w:rPr>
        <w:t xml:space="preserve"> assessment of the fishery</w:t>
      </w:r>
      <w:r w:rsidR="003D7592">
        <w:rPr>
          <w:rFonts w:asciiTheme="minorHAnsi" w:eastAsia="Times New Roman" w:hAnsiTheme="minorHAnsi" w:cstheme="minorHAnsi"/>
          <w:sz w:val="22"/>
          <w:szCs w:val="22"/>
          <w:lang w:eastAsia="en-US"/>
        </w:rPr>
        <w:t xml:space="preserve"> showed that </w:t>
      </w:r>
      <w:r w:rsidR="006F45EF">
        <w:rPr>
          <w:rFonts w:asciiTheme="minorHAnsi" w:eastAsia="Times New Roman" w:hAnsiTheme="minorHAnsi" w:cstheme="minorHAnsi"/>
          <w:sz w:val="22"/>
          <w:szCs w:val="22"/>
          <w:lang w:eastAsia="en-US"/>
        </w:rPr>
        <w:t xml:space="preserve">stocks are being managed sustainably </w:t>
      </w:r>
      <w:r w:rsidR="003D7592">
        <w:rPr>
          <w:rFonts w:asciiTheme="minorHAnsi" w:eastAsia="Times New Roman" w:hAnsiTheme="minorHAnsi" w:cstheme="minorHAnsi"/>
          <w:sz w:val="22"/>
          <w:szCs w:val="22"/>
          <w:lang w:eastAsia="en-US"/>
        </w:rPr>
        <w:t>at the current catch rates.</w:t>
      </w:r>
    </w:p>
    <w:p w14:paraId="5186D28A" w14:textId="7382ABAB" w:rsidR="00A02BD7" w:rsidRPr="00A02BD7" w:rsidRDefault="00A95388" w:rsidP="00A02BD7">
      <w:pP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The VFA continues to implement a r</w:t>
      </w:r>
      <w:r w:rsidRPr="00A95388">
        <w:rPr>
          <w:rFonts w:asciiTheme="minorHAnsi" w:eastAsia="Times New Roman" w:hAnsiTheme="minorHAnsi" w:cstheme="minorHAnsi"/>
          <w:sz w:val="22"/>
          <w:szCs w:val="22"/>
          <w:lang w:eastAsia="en-US"/>
        </w:rPr>
        <w:t xml:space="preserve">isk-based approach using intelligence data to determine priority areas for enforcement activity.  </w:t>
      </w:r>
      <w:r w:rsidR="00A02BD7" w:rsidRPr="00A02BD7">
        <w:rPr>
          <w:rFonts w:asciiTheme="minorHAnsi" w:eastAsia="Times New Roman" w:hAnsiTheme="minorHAnsi" w:cstheme="minorHAnsi"/>
          <w:sz w:val="22"/>
          <w:szCs w:val="22"/>
          <w:lang w:eastAsia="en-US"/>
        </w:rPr>
        <w:t>Over the past three years</w:t>
      </w:r>
      <w:r w:rsidR="00A02BD7">
        <w:rPr>
          <w:rFonts w:asciiTheme="minorHAnsi" w:eastAsia="Times New Roman" w:hAnsiTheme="minorHAnsi" w:cstheme="minorHAnsi"/>
          <w:sz w:val="22"/>
          <w:szCs w:val="22"/>
          <w:lang w:eastAsia="en-US"/>
        </w:rPr>
        <w:t>,</w:t>
      </w:r>
      <w:r w:rsidR="00A02BD7" w:rsidRPr="00A02BD7">
        <w:rPr>
          <w:rFonts w:asciiTheme="minorHAnsi" w:eastAsia="Times New Roman" w:hAnsiTheme="minorHAnsi" w:cstheme="minorHAnsi"/>
          <w:sz w:val="22"/>
          <w:szCs w:val="22"/>
          <w:lang w:eastAsia="en-US"/>
        </w:rPr>
        <w:t xml:space="preserve"> the VFA has increased the number of Fisheries Officers employed thereby ensuring </w:t>
      </w:r>
      <w:r w:rsidR="00A02BD7">
        <w:rPr>
          <w:rFonts w:asciiTheme="minorHAnsi" w:eastAsia="Times New Roman" w:hAnsiTheme="minorHAnsi" w:cstheme="minorHAnsi"/>
          <w:sz w:val="22"/>
          <w:szCs w:val="22"/>
          <w:lang w:eastAsia="en-US"/>
        </w:rPr>
        <w:t>a</w:t>
      </w:r>
      <w:r w:rsidR="00A02BD7" w:rsidRPr="00A02BD7">
        <w:rPr>
          <w:rFonts w:asciiTheme="minorHAnsi" w:eastAsia="Times New Roman" w:hAnsiTheme="minorHAnsi" w:cstheme="minorHAnsi"/>
          <w:sz w:val="22"/>
          <w:szCs w:val="22"/>
          <w:lang w:eastAsia="en-US"/>
        </w:rPr>
        <w:t xml:space="preserve"> base level of cover is maintained across Victoria.  In accordance with</w:t>
      </w:r>
      <w:r w:rsidR="00444611">
        <w:rPr>
          <w:rFonts w:asciiTheme="minorHAnsi" w:eastAsia="Times New Roman" w:hAnsiTheme="minorHAnsi" w:cstheme="minorHAnsi"/>
          <w:sz w:val="22"/>
          <w:szCs w:val="22"/>
          <w:lang w:eastAsia="en-US"/>
        </w:rPr>
        <w:t xml:space="preserve"> the Victorian Government’s </w:t>
      </w:r>
      <w:r w:rsidR="00444611" w:rsidRPr="00444611">
        <w:rPr>
          <w:rFonts w:asciiTheme="minorHAnsi" w:eastAsia="Times New Roman" w:hAnsiTheme="minorHAnsi" w:cstheme="minorHAnsi"/>
          <w:i/>
          <w:iCs/>
          <w:sz w:val="22"/>
          <w:szCs w:val="22"/>
          <w:lang w:eastAsia="en-US"/>
        </w:rPr>
        <w:t>Budget Paper No.3 -Service Delivery</w:t>
      </w:r>
      <w:r w:rsidR="00444611">
        <w:rPr>
          <w:rFonts w:asciiTheme="minorHAnsi" w:eastAsia="Times New Roman" w:hAnsiTheme="minorHAnsi" w:cstheme="minorHAnsi"/>
          <w:sz w:val="22"/>
          <w:szCs w:val="22"/>
          <w:lang w:eastAsia="en-US"/>
        </w:rPr>
        <w:t xml:space="preserve">, </w:t>
      </w:r>
      <w:r w:rsidR="00A02BD7" w:rsidRPr="00A02BD7">
        <w:rPr>
          <w:rFonts w:asciiTheme="minorHAnsi" w:eastAsia="Times New Roman" w:hAnsiTheme="minorHAnsi" w:cstheme="minorHAnsi"/>
          <w:sz w:val="22"/>
          <w:szCs w:val="22"/>
          <w:lang w:eastAsia="en-US"/>
        </w:rPr>
        <w:t xml:space="preserve">prioritisation of coverage </w:t>
      </w:r>
      <w:r w:rsidR="00444611">
        <w:rPr>
          <w:rFonts w:asciiTheme="minorHAnsi" w:eastAsia="Times New Roman" w:hAnsiTheme="minorHAnsi" w:cstheme="minorHAnsi"/>
          <w:sz w:val="22"/>
          <w:szCs w:val="22"/>
          <w:lang w:eastAsia="en-US"/>
        </w:rPr>
        <w:t>has been</w:t>
      </w:r>
      <w:r w:rsidR="00A02BD7" w:rsidRPr="00A02BD7">
        <w:rPr>
          <w:rFonts w:asciiTheme="minorHAnsi" w:eastAsia="Times New Roman" w:hAnsiTheme="minorHAnsi" w:cstheme="minorHAnsi"/>
          <w:sz w:val="22"/>
          <w:szCs w:val="22"/>
          <w:lang w:eastAsia="en-US"/>
        </w:rPr>
        <w:t xml:space="preserve"> provided </w:t>
      </w:r>
      <w:r w:rsidR="00444611">
        <w:rPr>
          <w:rFonts w:asciiTheme="minorHAnsi" w:eastAsia="Times New Roman" w:hAnsiTheme="minorHAnsi" w:cstheme="minorHAnsi"/>
          <w:sz w:val="22"/>
          <w:szCs w:val="22"/>
          <w:lang w:eastAsia="en-US"/>
        </w:rPr>
        <w:t>for peak periods of fishing activity, such as long weekends and holiday periods.</w:t>
      </w:r>
    </w:p>
    <w:p w14:paraId="7BBBD05D" w14:textId="5727D5F0" w:rsidR="00BE6542" w:rsidRPr="00444611" w:rsidRDefault="003227C0" w:rsidP="00BE6542">
      <w:pP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The VFA</w:t>
      </w:r>
      <w:r w:rsidR="00D9463A">
        <w:rPr>
          <w:rFonts w:asciiTheme="minorHAnsi" w:eastAsia="Times New Roman" w:hAnsiTheme="minorHAnsi" w:cstheme="minorHAnsi"/>
          <w:sz w:val="22"/>
          <w:szCs w:val="22"/>
          <w:lang w:eastAsia="en-US"/>
        </w:rPr>
        <w:t xml:space="preserve"> leads</w:t>
      </w:r>
      <w:r>
        <w:rPr>
          <w:rFonts w:asciiTheme="minorHAnsi" w:eastAsia="Times New Roman" w:hAnsiTheme="minorHAnsi" w:cstheme="minorHAnsi"/>
          <w:sz w:val="22"/>
          <w:szCs w:val="22"/>
          <w:lang w:eastAsia="en-US"/>
        </w:rPr>
        <w:t xml:space="preserve"> </w:t>
      </w:r>
      <w:r w:rsidR="00D9463A">
        <w:rPr>
          <w:rFonts w:asciiTheme="minorHAnsi" w:eastAsia="Times New Roman" w:hAnsiTheme="minorHAnsi" w:cstheme="minorHAnsi"/>
          <w:sz w:val="22"/>
          <w:szCs w:val="22"/>
          <w:lang w:eastAsia="en-US"/>
        </w:rPr>
        <w:t xml:space="preserve">Government’s response to managing shark hazards in Victoria and educating the community on shark safety.  </w:t>
      </w:r>
      <w:r w:rsidR="00444611">
        <w:rPr>
          <w:rFonts w:asciiTheme="minorHAnsi" w:eastAsia="Times New Roman" w:hAnsiTheme="minorHAnsi" w:cstheme="minorHAnsi"/>
          <w:sz w:val="22"/>
          <w:szCs w:val="22"/>
          <w:lang w:eastAsia="en-US"/>
        </w:rPr>
        <w:t>The VFA</w:t>
      </w:r>
      <w:r w:rsidR="00D9463A">
        <w:rPr>
          <w:rFonts w:asciiTheme="minorHAnsi" w:eastAsia="Times New Roman" w:hAnsiTheme="minorHAnsi" w:cstheme="minorHAnsi"/>
          <w:sz w:val="22"/>
          <w:szCs w:val="22"/>
          <w:lang w:eastAsia="en-US"/>
        </w:rPr>
        <w:t xml:space="preserve"> has published information and advice on shark safety through social and </w:t>
      </w:r>
      <w:r w:rsidR="00D9463A">
        <w:rPr>
          <w:rFonts w:asciiTheme="minorHAnsi" w:eastAsia="Times New Roman" w:hAnsiTheme="minorHAnsi" w:cstheme="minorHAnsi"/>
          <w:sz w:val="22"/>
          <w:szCs w:val="22"/>
          <w:lang w:eastAsia="en-US"/>
        </w:rPr>
        <w:lastRenderedPageBreak/>
        <w:t xml:space="preserve">traditional media platforms </w:t>
      </w:r>
      <w:r w:rsidR="00AA5895">
        <w:rPr>
          <w:rFonts w:asciiTheme="minorHAnsi" w:eastAsia="Times New Roman" w:hAnsiTheme="minorHAnsi" w:cstheme="minorHAnsi"/>
          <w:sz w:val="22"/>
          <w:szCs w:val="22"/>
          <w:lang w:eastAsia="en-US"/>
        </w:rPr>
        <w:t xml:space="preserve">and </w:t>
      </w:r>
      <w:r w:rsidR="00444611">
        <w:rPr>
          <w:rFonts w:asciiTheme="minorHAnsi" w:eastAsia="Times New Roman" w:hAnsiTheme="minorHAnsi" w:cstheme="minorHAnsi"/>
          <w:sz w:val="22"/>
          <w:szCs w:val="22"/>
          <w:lang w:eastAsia="en-US"/>
        </w:rPr>
        <w:t>Fisheries Officers have</w:t>
      </w:r>
      <w:r w:rsidR="00AA5895">
        <w:rPr>
          <w:rFonts w:asciiTheme="minorHAnsi" w:eastAsia="Times New Roman" w:hAnsiTheme="minorHAnsi" w:cstheme="minorHAnsi"/>
          <w:sz w:val="22"/>
          <w:szCs w:val="22"/>
          <w:lang w:eastAsia="en-US"/>
        </w:rPr>
        <w:t xml:space="preserve"> attended community events to promote shark safety and other aquatic safety messages.  The VFA has </w:t>
      </w:r>
      <w:r w:rsidR="00444611">
        <w:rPr>
          <w:rFonts w:asciiTheme="minorHAnsi" w:eastAsia="Times New Roman" w:hAnsiTheme="minorHAnsi" w:cstheme="minorHAnsi"/>
          <w:sz w:val="22"/>
          <w:szCs w:val="22"/>
          <w:lang w:eastAsia="en-US"/>
        </w:rPr>
        <w:t xml:space="preserve">continued to provide support to other Victorian agencies and departments on an as needs basis to assist in aquatic emergency activities.  Further, </w:t>
      </w:r>
      <w:r w:rsidR="00444611" w:rsidRPr="00444611">
        <w:rPr>
          <w:rFonts w:asciiTheme="minorHAnsi" w:eastAsia="Times New Roman" w:hAnsiTheme="minorHAnsi" w:cstheme="minorHAnsi"/>
          <w:sz w:val="22"/>
          <w:szCs w:val="22"/>
          <w:lang w:eastAsia="en-US"/>
        </w:rPr>
        <w:t xml:space="preserve">staff </w:t>
      </w:r>
      <w:r w:rsidR="00A02BD7" w:rsidRPr="00444611">
        <w:rPr>
          <w:rFonts w:asciiTheme="minorHAnsi" w:eastAsia="Times New Roman" w:hAnsiTheme="minorHAnsi" w:cstheme="minorHAnsi"/>
          <w:sz w:val="22"/>
          <w:szCs w:val="22"/>
          <w:lang w:eastAsia="en-US"/>
        </w:rPr>
        <w:t xml:space="preserve">have undertaken specialist training in shark tagging and whale disentanglements </w:t>
      </w:r>
      <w:r w:rsidR="00AA5895">
        <w:rPr>
          <w:rFonts w:asciiTheme="minorHAnsi" w:eastAsia="Times New Roman" w:hAnsiTheme="minorHAnsi" w:cstheme="minorHAnsi"/>
          <w:sz w:val="22"/>
          <w:szCs w:val="22"/>
          <w:lang w:eastAsia="en-US"/>
        </w:rPr>
        <w:t xml:space="preserve">to assist in research </w:t>
      </w:r>
      <w:r w:rsidR="00A02BD7" w:rsidRPr="00444611">
        <w:rPr>
          <w:rFonts w:asciiTheme="minorHAnsi" w:eastAsia="Times New Roman" w:hAnsiTheme="minorHAnsi" w:cstheme="minorHAnsi"/>
          <w:sz w:val="22"/>
          <w:szCs w:val="22"/>
          <w:lang w:eastAsia="en-US"/>
        </w:rPr>
        <w:t xml:space="preserve">and </w:t>
      </w:r>
      <w:r w:rsidR="00444611">
        <w:rPr>
          <w:rFonts w:asciiTheme="minorHAnsi" w:eastAsia="Times New Roman" w:hAnsiTheme="minorHAnsi" w:cstheme="minorHAnsi"/>
          <w:sz w:val="22"/>
          <w:szCs w:val="22"/>
          <w:lang w:eastAsia="en-US"/>
        </w:rPr>
        <w:t>have provided support for bushfire recovery and relief during the devastating 2020 bushfire season.</w:t>
      </w:r>
      <w:r>
        <w:rPr>
          <w:rFonts w:asciiTheme="minorHAnsi" w:eastAsia="Times New Roman" w:hAnsiTheme="minorHAnsi" w:cstheme="minorHAnsi"/>
          <w:sz w:val="22"/>
          <w:szCs w:val="22"/>
          <w:lang w:eastAsia="en-US"/>
        </w:rPr>
        <w:t xml:space="preserve">  </w:t>
      </w:r>
    </w:p>
    <w:p w14:paraId="251AEF84" w14:textId="348748F7" w:rsidR="00BE6542" w:rsidRDefault="00EE623A" w:rsidP="00BE6542">
      <w:pPr>
        <w:rPr>
          <w:rFonts w:asciiTheme="minorHAnsi" w:eastAsia="Times New Roman" w:hAnsiTheme="minorHAnsi" w:cstheme="minorHAnsi"/>
          <w:sz w:val="22"/>
          <w:szCs w:val="22"/>
          <w:lang w:eastAsia="en-US"/>
        </w:rPr>
      </w:pPr>
      <w:r w:rsidRPr="00BD5BA6">
        <w:rPr>
          <w:rFonts w:asciiTheme="minorHAnsi" w:eastAsia="Times New Roman" w:hAnsiTheme="minorHAnsi" w:cstheme="minorHAnsi"/>
          <w:sz w:val="22"/>
          <w:szCs w:val="22"/>
          <w:lang w:eastAsia="en-US"/>
        </w:rPr>
        <w:t xml:space="preserve">The VFA has successfully delivered a range of initiatives aimed at improving the catch, effort and value data from the recreational and commercial fishing sectors.  In addition to </w:t>
      </w:r>
      <w:r w:rsidR="00BD5BA6" w:rsidRPr="00BD5BA6">
        <w:rPr>
          <w:rFonts w:asciiTheme="minorHAnsi" w:eastAsia="Times New Roman" w:hAnsiTheme="minorHAnsi" w:cstheme="minorHAnsi"/>
          <w:sz w:val="22"/>
          <w:szCs w:val="22"/>
          <w:lang w:eastAsia="en-US"/>
        </w:rPr>
        <w:t xml:space="preserve">transitioning Victoria’s high-value commercial fisheries; abalone, rock lobster and giant crab, to </w:t>
      </w:r>
      <w:r w:rsidRPr="00BD5BA6">
        <w:rPr>
          <w:rFonts w:asciiTheme="minorHAnsi" w:eastAsia="Times New Roman" w:hAnsiTheme="minorHAnsi" w:cstheme="minorHAnsi"/>
          <w:sz w:val="22"/>
          <w:szCs w:val="22"/>
          <w:lang w:eastAsia="en-US"/>
        </w:rPr>
        <w:t xml:space="preserve">electronic catch and effort </w:t>
      </w:r>
      <w:r w:rsidR="00BD5BA6">
        <w:rPr>
          <w:rFonts w:asciiTheme="minorHAnsi" w:eastAsia="Times New Roman" w:hAnsiTheme="minorHAnsi" w:cstheme="minorHAnsi"/>
          <w:sz w:val="22"/>
          <w:szCs w:val="22"/>
          <w:lang w:eastAsia="en-US"/>
        </w:rPr>
        <w:t>reporting to replace the paper-based system, the VFA has implemented several electronic data collection platforms for the recreational sector.  These include:</w:t>
      </w:r>
    </w:p>
    <w:p w14:paraId="1CF2B205" w14:textId="5524B0D1" w:rsidR="00BD5BA6" w:rsidRDefault="00BD5BA6" w:rsidP="009A7DB4">
      <w:pPr>
        <w:pStyle w:val="ListParagraph"/>
        <w:numPr>
          <w:ilvl w:val="0"/>
          <w:numId w:val="10"/>
        </w:numPr>
        <w:rPr>
          <w:rFonts w:asciiTheme="minorHAnsi" w:eastAsia="Times New Roman" w:hAnsiTheme="minorHAnsi" w:cstheme="minorHAnsi"/>
          <w:sz w:val="22"/>
        </w:rPr>
      </w:pPr>
      <w:r>
        <w:rPr>
          <w:rFonts w:asciiTheme="minorHAnsi" w:eastAsia="Times New Roman" w:hAnsiTheme="minorHAnsi" w:cstheme="minorHAnsi"/>
          <w:sz w:val="22"/>
        </w:rPr>
        <w:t xml:space="preserve">VicRLTag – </w:t>
      </w:r>
      <w:r w:rsidR="008065D1">
        <w:rPr>
          <w:rFonts w:asciiTheme="minorHAnsi" w:eastAsia="Times New Roman" w:hAnsiTheme="minorHAnsi" w:cstheme="minorHAnsi"/>
          <w:sz w:val="22"/>
        </w:rPr>
        <w:t xml:space="preserve">available as an app, the </w:t>
      </w:r>
      <w:r>
        <w:rPr>
          <w:rFonts w:asciiTheme="minorHAnsi" w:eastAsia="Times New Roman" w:hAnsiTheme="minorHAnsi" w:cstheme="minorHAnsi"/>
          <w:sz w:val="22"/>
        </w:rPr>
        <w:t xml:space="preserve">digital platform </w:t>
      </w:r>
      <w:r w:rsidR="008065D1">
        <w:rPr>
          <w:rFonts w:asciiTheme="minorHAnsi" w:eastAsia="Times New Roman" w:hAnsiTheme="minorHAnsi" w:cstheme="minorHAnsi"/>
          <w:sz w:val="22"/>
        </w:rPr>
        <w:t xml:space="preserve">allows </w:t>
      </w:r>
      <w:r>
        <w:rPr>
          <w:rFonts w:asciiTheme="minorHAnsi" w:eastAsia="Times New Roman" w:hAnsiTheme="minorHAnsi" w:cstheme="minorHAnsi"/>
          <w:sz w:val="22"/>
        </w:rPr>
        <w:t>recreational fishers to record their rock lobster catch</w:t>
      </w:r>
      <w:r w:rsidR="008D2D44">
        <w:rPr>
          <w:rFonts w:asciiTheme="minorHAnsi" w:eastAsia="Times New Roman" w:hAnsiTheme="minorHAnsi" w:cstheme="minorHAnsi"/>
          <w:sz w:val="22"/>
        </w:rPr>
        <w:t xml:space="preserve"> and report tag use</w:t>
      </w:r>
      <w:r>
        <w:rPr>
          <w:rFonts w:asciiTheme="minorHAnsi" w:eastAsia="Times New Roman" w:hAnsiTheme="minorHAnsi" w:cstheme="minorHAnsi"/>
          <w:sz w:val="22"/>
        </w:rPr>
        <w:t>.  The system includes the option for an increased level of data collection through a voluntary ‘citizen science’ program.</w:t>
      </w:r>
    </w:p>
    <w:p w14:paraId="7A2EA001" w14:textId="54EAFAF0" w:rsidR="00BD5BA6" w:rsidRDefault="00BD5BA6" w:rsidP="009A7DB4">
      <w:pPr>
        <w:pStyle w:val="ListParagraph"/>
        <w:numPr>
          <w:ilvl w:val="0"/>
          <w:numId w:val="10"/>
        </w:numPr>
        <w:rPr>
          <w:rFonts w:asciiTheme="minorHAnsi" w:eastAsia="Times New Roman" w:hAnsiTheme="minorHAnsi" w:cstheme="minorHAnsi"/>
          <w:sz w:val="22"/>
        </w:rPr>
      </w:pPr>
      <w:r>
        <w:rPr>
          <w:rFonts w:asciiTheme="minorHAnsi" w:eastAsia="Times New Roman" w:hAnsiTheme="minorHAnsi" w:cstheme="minorHAnsi"/>
          <w:sz w:val="22"/>
        </w:rPr>
        <w:t xml:space="preserve">GoFishVic </w:t>
      </w:r>
      <w:r w:rsidR="008D2D44">
        <w:rPr>
          <w:rFonts w:asciiTheme="minorHAnsi" w:eastAsia="Times New Roman" w:hAnsiTheme="minorHAnsi" w:cstheme="minorHAnsi"/>
          <w:sz w:val="22"/>
        </w:rPr>
        <w:t>–</w:t>
      </w:r>
      <w:r>
        <w:rPr>
          <w:rFonts w:asciiTheme="minorHAnsi" w:eastAsia="Times New Roman" w:hAnsiTheme="minorHAnsi" w:cstheme="minorHAnsi"/>
          <w:sz w:val="22"/>
        </w:rPr>
        <w:t xml:space="preserve"> </w:t>
      </w:r>
      <w:r w:rsidR="008065D1">
        <w:rPr>
          <w:rFonts w:asciiTheme="minorHAnsi" w:eastAsia="Times New Roman" w:hAnsiTheme="minorHAnsi" w:cstheme="minorHAnsi"/>
          <w:sz w:val="22"/>
        </w:rPr>
        <w:t xml:space="preserve">available as an app, the </w:t>
      </w:r>
      <w:r w:rsidR="008D2D44">
        <w:rPr>
          <w:rFonts w:asciiTheme="minorHAnsi" w:eastAsia="Times New Roman" w:hAnsiTheme="minorHAnsi" w:cstheme="minorHAnsi"/>
          <w:sz w:val="22"/>
        </w:rPr>
        <w:t xml:space="preserve">platform </w:t>
      </w:r>
      <w:r w:rsidR="008065D1">
        <w:rPr>
          <w:rFonts w:asciiTheme="minorHAnsi" w:eastAsia="Times New Roman" w:hAnsiTheme="minorHAnsi" w:cstheme="minorHAnsi"/>
          <w:sz w:val="22"/>
        </w:rPr>
        <w:t>allows</w:t>
      </w:r>
      <w:r w:rsidR="008D2D44">
        <w:rPr>
          <w:rFonts w:asciiTheme="minorHAnsi" w:eastAsia="Times New Roman" w:hAnsiTheme="minorHAnsi" w:cstheme="minorHAnsi"/>
          <w:sz w:val="22"/>
        </w:rPr>
        <w:t xml:space="preserve"> </w:t>
      </w:r>
      <w:r w:rsidR="008065D1">
        <w:rPr>
          <w:rFonts w:asciiTheme="minorHAnsi" w:eastAsia="Times New Roman" w:hAnsiTheme="minorHAnsi" w:cstheme="minorHAnsi"/>
          <w:sz w:val="22"/>
        </w:rPr>
        <w:t xml:space="preserve">‘citizen scientists’ to record their </w:t>
      </w:r>
      <w:r w:rsidR="008D2D44">
        <w:rPr>
          <w:rFonts w:asciiTheme="minorHAnsi" w:eastAsia="Times New Roman" w:hAnsiTheme="minorHAnsi" w:cstheme="minorHAnsi"/>
          <w:sz w:val="22"/>
        </w:rPr>
        <w:t>recreational fis</w:t>
      </w:r>
      <w:r w:rsidR="008065D1">
        <w:rPr>
          <w:rFonts w:asciiTheme="minorHAnsi" w:eastAsia="Times New Roman" w:hAnsiTheme="minorHAnsi" w:cstheme="minorHAnsi"/>
          <w:sz w:val="22"/>
        </w:rPr>
        <w:t>hing experience; all data on the location, catch, time spent fishing is recorded, and a complete fishing history is available.</w:t>
      </w:r>
      <w:r w:rsidR="008D2D44">
        <w:rPr>
          <w:rFonts w:asciiTheme="minorHAnsi" w:eastAsia="Times New Roman" w:hAnsiTheme="minorHAnsi" w:cstheme="minorHAnsi"/>
          <w:sz w:val="22"/>
        </w:rPr>
        <w:t xml:space="preserve"> </w:t>
      </w:r>
    </w:p>
    <w:p w14:paraId="36E3D85C" w14:textId="481D2192" w:rsidR="0035313D" w:rsidRPr="003779D2" w:rsidRDefault="0035313D" w:rsidP="009A7DB4">
      <w:pPr>
        <w:pStyle w:val="ListParagraph"/>
        <w:numPr>
          <w:ilvl w:val="0"/>
          <w:numId w:val="7"/>
        </w:numPr>
        <w:spacing w:before="240"/>
        <w:ind w:left="425" w:hanging="425"/>
        <w:contextualSpacing w:val="0"/>
        <w:rPr>
          <w:rFonts w:asciiTheme="minorHAnsi" w:eastAsia="Times New Roman" w:hAnsiTheme="minorHAnsi" w:cstheme="minorHAnsi"/>
          <w:b/>
          <w:bCs/>
          <w:sz w:val="22"/>
        </w:rPr>
      </w:pPr>
      <w:r>
        <w:rPr>
          <w:rFonts w:asciiTheme="minorHAnsi" w:eastAsia="Times New Roman" w:hAnsiTheme="minorHAnsi" w:cstheme="minorHAnsi"/>
          <w:b/>
          <w:bCs/>
          <w:sz w:val="22"/>
        </w:rPr>
        <w:t>Compliance-related assistance and advice</w:t>
      </w:r>
    </w:p>
    <w:tbl>
      <w:tblPr>
        <w:tblStyle w:val="TableGrid"/>
        <w:tblW w:w="9634" w:type="dxa"/>
        <w:tblLook w:val="04A0" w:firstRow="1" w:lastRow="0" w:firstColumn="1" w:lastColumn="0" w:noHBand="0" w:noVBand="1"/>
      </w:tblPr>
      <w:tblGrid>
        <w:gridCol w:w="9634"/>
      </w:tblGrid>
      <w:tr w:rsidR="0035313D" w:rsidRPr="005A4D08" w14:paraId="5D9ADECC" w14:textId="77777777" w:rsidTr="001B169A">
        <w:tc>
          <w:tcPr>
            <w:tcW w:w="9634" w:type="dxa"/>
            <w:shd w:val="clear" w:color="auto" w:fill="407798" w:themeFill="text2"/>
            <w:vAlign w:val="center"/>
          </w:tcPr>
          <w:p w14:paraId="5DF00FCC" w14:textId="77777777" w:rsidR="0035313D" w:rsidRPr="00BF427B" w:rsidRDefault="0035313D" w:rsidP="001B169A">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35313D" w:rsidRPr="005A4D08" w14:paraId="272DBDAB" w14:textId="77777777" w:rsidTr="001B169A">
        <w:tc>
          <w:tcPr>
            <w:tcW w:w="9634" w:type="dxa"/>
          </w:tcPr>
          <w:p w14:paraId="64C72CE2" w14:textId="457593AE" w:rsidR="0035313D" w:rsidRDefault="001B4AE7"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In dealing with stakeholders, all VFA Fisheries Officers should be helpful, respectful, impartial, proportionate in implementing compliance activities, predictable and transparent.</w:t>
            </w:r>
          </w:p>
          <w:p w14:paraId="1A85C4F5" w14:textId="77777777" w:rsidR="001B4AE7" w:rsidRPr="001B4AE7" w:rsidRDefault="001B4AE7"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 xml:space="preserve">Continue </w:t>
            </w:r>
            <w:r w:rsidRPr="001B4AE7">
              <w:rPr>
                <w:rFonts w:asciiTheme="minorHAnsi" w:hAnsiTheme="minorHAnsi" w:cstheme="minorHAnsi"/>
                <w:sz w:val="22"/>
              </w:rPr>
              <w:t xml:space="preserve">educational programs that are specifically designed to improve compliance and promote sustainable and responsible fishing.  This should include the implementation of initiatives focusing on promoting responsible fishing practices, including the safe use of fisheries resources. These initiatives and educational programs should be targeted at the needs of stakeholders and implemented in an accessible way, that recognises the diversity of fisheries stakeholders.  </w:t>
            </w:r>
          </w:p>
          <w:p w14:paraId="6CD44A27" w14:textId="173AAF13" w:rsidR="00CF5252" w:rsidRPr="00CF5252" w:rsidRDefault="00CF5252"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Engage with stakeholders to seek feedback on the clarity and comprehensiveness of educational programs and guidance material.</w:t>
            </w:r>
          </w:p>
        </w:tc>
      </w:tr>
      <w:tr w:rsidR="0035313D" w:rsidRPr="00ED7DC7" w14:paraId="37521786" w14:textId="77777777" w:rsidTr="001B169A">
        <w:tc>
          <w:tcPr>
            <w:tcW w:w="9634" w:type="dxa"/>
            <w:shd w:val="clear" w:color="auto" w:fill="D5E4ED" w:themeFill="text2" w:themeFillTint="33"/>
          </w:tcPr>
          <w:p w14:paraId="20D21A92" w14:textId="77777777" w:rsidR="0035313D" w:rsidRPr="00ED7DC7" w:rsidRDefault="0035313D" w:rsidP="001B169A">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35313D" w:rsidRPr="005A4D08" w14:paraId="1E09B53A" w14:textId="77777777" w:rsidTr="001B169A">
        <w:tc>
          <w:tcPr>
            <w:tcW w:w="9634" w:type="dxa"/>
          </w:tcPr>
          <w:p w14:paraId="635D4A44" w14:textId="1A076FF2" w:rsidR="0035313D" w:rsidRPr="005A4D08" w:rsidRDefault="007E2BC9"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hAnsiTheme="minorHAnsi" w:cstheme="minorHAnsi"/>
                <w:sz w:val="22"/>
              </w:rPr>
              <w:t>Develop (in consultation with community representatives) new fisheries advisory products targeted at identified high-risk communities.</w:t>
            </w:r>
          </w:p>
          <w:p w14:paraId="7B559A34" w14:textId="0AF32F75" w:rsidR="0035313D" w:rsidRPr="00B57213" w:rsidRDefault="007E2BC9"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eastAsia="Times New Roman" w:hAnsiTheme="minorHAnsi" w:cstheme="minorHAnsi"/>
                <w:sz w:val="22"/>
              </w:rPr>
              <w:t>Review the composition and reach of education programs (including those at the Marine and Freshwater Discovery Centre) and report back on improvement opportunities, including through use of digital channels.</w:t>
            </w:r>
          </w:p>
        </w:tc>
      </w:tr>
    </w:tbl>
    <w:p w14:paraId="79E06E9A" w14:textId="70001900" w:rsidR="001B169A" w:rsidRDefault="00CF5252" w:rsidP="001B169A">
      <w:pPr>
        <w:rPr>
          <w:rFonts w:asciiTheme="minorHAnsi" w:eastAsia="Times New Roman" w:hAnsiTheme="minorHAnsi" w:cstheme="minorHAnsi"/>
          <w:sz w:val="22"/>
          <w:szCs w:val="22"/>
          <w:lang w:eastAsia="en-US"/>
        </w:rPr>
      </w:pPr>
      <w:r w:rsidRPr="00BD5BA6">
        <w:rPr>
          <w:rFonts w:asciiTheme="minorHAnsi" w:eastAsia="Times New Roman" w:hAnsiTheme="minorHAnsi" w:cstheme="minorHAnsi"/>
          <w:sz w:val="22"/>
          <w:szCs w:val="22"/>
          <w:lang w:eastAsia="en-US"/>
        </w:rPr>
        <w:t xml:space="preserve">The </w:t>
      </w:r>
      <w:r>
        <w:rPr>
          <w:rFonts w:asciiTheme="minorHAnsi" w:eastAsia="Times New Roman" w:hAnsiTheme="minorHAnsi" w:cstheme="minorHAnsi"/>
          <w:sz w:val="22"/>
          <w:szCs w:val="22"/>
          <w:lang w:eastAsia="en-US"/>
        </w:rPr>
        <w:t xml:space="preserve">evaluation concluded that the </w:t>
      </w:r>
      <w:r w:rsidRPr="00BD5BA6">
        <w:rPr>
          <w:rFonts w:asciiTheme="minorHAnsi" w:eastAsia="Times New Roman" w:hAnsiTheme="minorHAnsi" w:cstheme="minorHAnsi"/>
          <w:sz w:val="22"/>
          <w:szCs w:val="22"/>
          <w:lang w:eastAsia="en-US"/>
        </w:rPr>
        <w:t>VFA has</w:t>
      </w:r>
      <w:r>
        <w:rPr>
          <w:rFonts w:asciiTheme="minorHAnsi" w:eastAsia="Times New Roman" w:hAnsiTheme="minorHAnsi" w:cstheme="minorHAnsi"/>
          <w:sz w:val="22"/>
          <w:szCs w:val="22"/>
          <w:lang w:eastAsia="en-US"/>
        </w:rPr>
        <w:t xml:space="preserve"> worked extensively with stakeholders from across the community to educate and promote sustainable and responsible fishing practices</w:t>
      </w:r>
      <w:r w:rsidR="001B169A">
        <w:rPr>
          <w:rFonts w:asciiTheme="minorHAnsi" w:eastAsia="Times New Roman" w:hAnsiTheme="minorHAnsi" w:cstheme="minorHAnsi"/>
          <w:sz w:val="22"/>
          <w:szCs w:val="22"/>
          <w:lang w:eastAsia="en-US"/>
        </w:rPr>
        <w:t>, which is evidenced through the VFA’s Annual Reports, social media posts and website</w:t>
      </w:r>
      <w:r>
        <w:rPr>
          <w:rFonts w:asciiTheme="minorHAnsi" w:eastAsia="Times New Roman" w:hAnsiTheme="minorHAnsi" w:cstheme="minorHAnsi"/>
          <w:sz w:val="22"/>
          <w:szCs w:val="22"/>
          <w:lang w:eastAsia="en-US"/>
        </w:rPr>
        <w:t xml:space="preserve">.  </w:t>
      </w:r>
    </w:p>
    <w:p w14:paraId="34502A09" w14:textId="5017E399" w:rsidR="001B169A" w:rsidRPr="001B169A" w:rsidRDefault="001B169A" w:rsidP="001B169A">
      <w:pP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A</w:t>
      </w:r>
      <w:r w:rsidRPr="001B169A">
        <w:rPr>
          <w:rFonts w:asciiTheme="minorHAnsi" w:eastAsia="Times New Roman" w:hAnsiTheme="minorHAnsi" w:cstheme="minorHAnsi"/>
          <w:sz w:val="22"/>
          <w:szCs w:val="22"/>
          <w:lang w:eastAsia="en-US"/>
        </w:rPr>
        <w:t xml:space="preserve"> key role of the VFA’s education team is to increase the awareness and understanding of all Victorians to achieve the sustainable and responsible use of Victoria’s fisheries resources. </w:t>
      </w:r>
      <w:r>
        <w:rPr>
          <w:rFonts w:asciiTheme="minorHAnsi" w:eastAsia="Times New Roman" w:hAnsiTheme="minorHAnsi" w:cstheme="minorHAnsi"/>
          <w:sz w:val="22"/>
          <w:szCs w:val="22"/>
          <w:lang w:eastAsia="en-US"/>
        </w:rPr>
        <w:t xml:space="preserve"> </w:t>
      </w:r>
      <w:r w:rsidRPr="001B169A">
        <w:rPr>
          <w:rFonts w:asciiTheme="minorHAnsi" w:eastAsia="Times New Roman" w:hAnsiTheme="minorHAnsi" w:cstheme="minorHAnsi"/>
          <w:sz w:val="22"/>
          <w:szCs w:val="22"/>
          <w:lang w:eastAsia="en-US"/>
        </w:rPr>
        <w:t xml:space="preserve">The team engage with people from all areas of our community and use education techniques that are culturally and age-appropriate, interactive, fun and informative. </w:t>
      </w:r>
      <w:r>
        <w:rPr>
          <w:rFonts w:asciiTheme="minorHAnsi" w:eastAsia="Times New Roman" w:hAnsiTheme="minorHAnsi" w:cstheme="minorHAnsi"/>
          <w:sz w:val="22"/>
          <w:szCs w:val="22"/>
          <w:lang w:eastAsia="en-US"/>
        </w:rPr>
        <w:t xml:space="preserve"> As an example, in </w:t>
      </w:r>
      <w:r w:rsidRPr="001B169A">
        <w:rPr>
          <w:rFonts w:asciiTheme="minorHAnsi" w:eastAsia="Times New Roman" w:hAnsiTheme="minorHAnsi" w:cstheme="minorHAnsi"/>
          <w:sz w:val="22"/>
        </w:rPr>
        <w:t xml:space="preserve">2018-19, the education team engaged with over 43,300 people: </w:t>
      </w:r>
    </w:p>
    <w:p w14:paraId="02697590" w14:textId="77777777" w:rsidR="001B169A" w:rsidRPr="001B169A" w:rsidRDefault="001B169A" w:rsidP="009A7DB4">
      <w:pPr>
        <w:numPr>
          <w:ilvl w:val="0"/>
          <w:numId w:val="12"/>
        </w:numPr>
        <w:spacing w:before="0"/>
        <w:ind w:left="714" w:hanging="357"/>
        <w:rPr>
          <w:rFonts w:asciiTheme="minorHAnsi" w:eastAsia="Times New Roman" w:hAnsiTheme="minorHAnsi" w:cstheme="minorHAnsi"/>
          <w:sz w:val="22"/>
          <w:szCs w:val="22"/>
          <w:lang w:eastAsia="en-US"/>
        </w:rPr>
      </w:pPr>
      <w:r w:rsidRPr="001B169A">
        <w:rPr>
          <w:rFonts w:asciiTheme="minorHAnsi" w:eastAsia="Times New Roman" w:hAnsiTheme="minorHAnsi" w:cstheme="minorHAnsi"/>
          <w:sz w:val="22"/>
          <w:szCs w:val="22"/>
          <w:lang w:eastAsia="en-US"/>
        </w:rPr>
        <w:t xml:space="preserve">4,392 people from multicultural communities; </w:t>
      </w:r>
    </w:p>
    <w:p w14:paraId="22CFC412" w14:textId="77777777" w:rsidR="001B169A" w:rsidRPr="001B169A" w:rsidRDefault="001B169A" w:rsidP="009A7DB4">
      <w:pPr>
        <w:numPr>
          <w:ilvl w:val="0"/>
          <w:numId w:val="12"/>
        </w:numPr>
        <w:spacing w:before="0"/>
        <w:ind w:left="714" w:hanging="357"/>
        <w:rPr>
          <w:rFonts w:asciiTheme="minorHAnsi" w:eastAsia="Times New Roman" w:hAnsiTheme="minorHAnsi" w:cstheme="minorHAnsi"/>
          <w:sz w:val="22"/>
          <w:szCs w:val="22"/>
          <w:lang w:eastAsia="en-US"/>
        </w:rPr>
      </w:pPr>
      <w:r w:rsidRPr="001B169A">
        <w:rPr>
          <w:rFonts w:asciiTheme="minorHAnsi" w:eastAsia="Times New Roman" w:hAnsiTheme="minorHAnsi" w:cstheme="minorHAnsi"/>
          <w:sz w:val="22"/>
          <w:szCs w:val="22"/>
          <w:lang w:eastAsia="en-US"/>
        </w:rPr>
        <w:t xml:space="preserve">14,016 children and their families through the </w:t>
      </w:r>
      <w:r w:rsidRPr="001B169A">
        <w:rPr>
          <w:rFonts w:asciiTheme="minorHAnsi" w:eastAsia="Times New Roman" w:hAnsiTheme="minorHAnsi" w:cstheme="minorHAnsi"/>
          <w:i/>
          <w:iCs/>
          <w:sz w:val="22"/>
          <w:szCs w:val="22"/>
          <w:lang w:eastAsia="en-US"/>
        </w:rPr>
        <w:t xml:space="preserve">Target One Million </w:t>
      </w:r>
      <w:r w:rsidRPr="001B169A">
        <w:rPr>
          <w:rFonts w:asciiTheme="minorHAnsi" w:eastAsia="Times New Roman" w:hAnsiTheme="minorHAnsi" w:cstheme="minorHAnsi"/>
          <w:sz w:val="22"/>
          <w:szCs w:val="22"/>
          <w:lang w:eastAsia="en-US"/>
        </w:rPr>
        <w:t xml:space="preserve">Program; </w:t>
      </w:r>
    </w:p>
    <w:p w14:paraId="17A1A735" w14:textId="77777777" w:rsidR="001B169A" w:rsidRPr="001B169A" w:rsidRDefault="001B169A" w:rsidP="009A7DB4">
      <w:pPr>
        <w:numPr>
          <w:ilvl w:val="0"/>
          <w:numId w:val="12"/>
        </w:numPr>
        <w:spacing w:before="0"/>
        <w:ind w:left="714" w:hanging="357"/>
        <w:rPr>
          <w:rFonts w:asciiTheme="minorHAnsi" w:eastAsia="Times New Roman" w:hAnsiTheme="minorHAnsi" w:cstheme="minorHAnsi"/>
          <w:sz w:val="22"/>
          <w:szCs w:val="22"/>
          <w:lang w:eastAsia="en-US"/>
        </w:rPr>
      </w:pPr>
      <w:r w:rsidRPr="001B169A">
        <w:rPr>
          <w:rFonts w:asciiTheme="minorHAnsi" w:eastAsia="Times New Roman" w:hAnsiTheme="minorHAnsi" w:cstheme="minorHAnsi"/>
          <w:sz w:val="22"/>
          <w:szCs w:val="22"/>
          <w:lang w:eastAsia="en-US"/>
        </w:rPr>
        <w:t xml:space="preserve">5,214 children through the School Holiday Program at the Marine and Freshwater Discovery Centre; </w:t>
      </w:r>
    </w:p>
    <w:p w14:paraId="2F985D5E" w14:textId="77777777" w:rsidR="001B169A" w:rsidRPr="001B169A" w:rsidRDefault="001B169A" w:rsidP="009A7DB4">
      <w:pPr>
        <w:numPr>
          <w:ilvl w:val="0"/>
          <w:numId w:val="12"/>
        </w:numPr>
        <w:spacing w:before="0"/>
        <w:ind w:left="714" w:hanging="357"/>
        <w:rPr>
          <w:rFonts w:asciiTheme="minorHAnsi" w:eastAsia="Times New Roman" w:hAnsiTheme="minorHAnsi" w:cstheme="minorHAnsi"/>
          <w:sz w:val="22"/>
          <w:szCs w:val="22"/>
          <w:lang w:eastAsia="en-US"/>
        </w:rPr>
      </w:pPr>
      <w:r w:rsidRPr="001B169A">
        <w:rPr>
          <w:rFonts w:asciiTheme="minorHAnsi" w:eastAsia="Times New Roman" w:hAnsiTheme="minorHAnsi" w:cstheme="minorHAnsi"/>
          <w:sz w:val="22"/>
          <w:szCs w:val="22"/>
          <w:lang w:eastAsia="en-US"/>
        </w:rPr>
        <w:lastRenderedPageBreak/>
        <w:t xml:space="preserve">19,301 school children attending the School Program at the Marine and Freshwater Discovery Centre; and </w:t>
      </w:r>
    </w:p>
    <w:p w14:paraId="0342B312" w14:textId="77777777" w:rsidR="001B169A" w:rsidRPr="001B169A" w:rsidRDefault="001B169A" w:rsidP="009A7DB4">
      <w:pPr>
        <w:numPr>
          <w:ilvl w:val="0"/>
          <w:numId w:val="12"/>
        </w:numPr>
        <w:spacing w:before="0"/>
        <w:ind w:left="714" w:hanging="357"/>
        <w:rPr>
          <w:rFonts w:asciiTheme="minorHAnsi" w:eastAsia="Times New Roman" w:hAnsiTheme="minorHAnsi" w:cstheme="minorHAnsi"/>
          <w:sz w:val="22"/>
          <w:szCs w:val="22"/>
          <w:lang w:eastAsia="en-US"/>
        </w:rPr>
      </w:pPr>
      <w:r w:rsidRPr="001B169A">
        <w:rPr>
          <w:rFonts w:asciiTheme="minorHAnsi" w:eastAsia="Times New Roman" w:hAnsiTheme="minorHAnsi" w:cstheme="minorHAnsi"/>
          <w:sz w:val="22"/>
          <w:szCs w:val="22"/>
          <w:lang w:eastAsia="en-US"/>
        </w:rPr>
        <w:t xml:space="preserve">469 people via general admission at the Marine and Freshwater Discovery Centre. </w:t>
      </w:r>
    </w:p>
    <w:p w14:paraId="16DED4C5" w14:textId="5FF614AC" w:rsidR="00415A98" w:rsidRDefault="00415A98" w:rsidP="005944D7">
      <w:pPr>
        <w:spacing w:after="120"/>
        <w:rPr>
          <w:rFonts w:asciiTheme="minorHAnsi" w:eastAsia="Times New Roman" w:hAnsiTheme="minorHAnsi" w:cstheme="minorHAnsi"/>
          <w:sz w:val="22"/>
        </w:rPr>
      </w:pPr>
      <w:r>
        <w:rPr>
          <w:rFonts w:asciiTheme="minorHAnsi" w:eastAsia="Times New Roman" w:hAnsiTheme="minorHAnsi" w:cstheme="minorHAnsi"/>
          <w:sz w:val="22"/>
        </w:rPr>
        <w:t>Other examples of the VFA’s continued work include:</w:t>
      </w:r>
    </w:p>
    <w:p w14:paraId="68111924" w14:textId="3D948AB2" w:rsidR="00415A98" w:rsidRDefault="00905D81" w:rsidP="009A7DB4">
      <w:pPr>
        <w:pStyle w:val="ListParagraph"/>
        <w:numPr>
          <w:ilvl w:val="0"/>
          <w:numId w:val="13"/>
        </w:numPr>
        <w:rPr>
          <w:rFonts w:asciiTheme="minorHAnsi" w:eastAsia="Times New Roman" w:hAnsiTheme="minorHAnsi" w:cstheme="minorHAnsi"/>
          <w:sz w:val="22"/>
        </w:rPr>
      </w:pPr>
      <w:r w:rsidRPr="00415A98">
        <w:rPr>
          <w:rFonts w:asciiTheme="minorHAnsi" w:eastAsia="Times New Roman" w:hAnsiTheme="minorHAnsi" w:cstheme="minorHAnsi"/>
          <w:sz w:val="22"/>
        </w:rPr>
        <w:t xml:space="preserve">Victoria’s </w:t>
      </w:r>
      <w:r w:rsidRPr="00415A98">
        <w:rPr>
          <w:rFonts w:asciiTheme="minorHAnsi" w:eastAsia="Times New Roman" w:hAnsiTheme="minorHAnsi" w:cstheme="minorHAnsi"/>
          <w:i/>
          <w:iCs/>
          <w:sz w:val="22"/>
        </w:rPr>
        <w:t>Target One Million</w:t>
      </w:r>
      <w:r w:rsidRPr="00415A98">
        <w:rPr>
          <w:rFonts w:asciiTheme="minorHAnsi" w:eastAsia="Times New Roman" w:hAnsiTheme="minorHAnsi" w:cstheme="minorHAnsi"/>
          <w:sz w:val="22"/>
        </w:rPr>
        <w:t xml:space="preserve"> program organises family orientated fishing days, such as the Vic Fish Kids events, to encourage </w:t>
      </w:r>
      <w:r w:rsidR="00415A98">
        <w:rPr>
          <w:rFonts w:asciiTheme="minorHAnsi" w:eastAsia="Times New Roman" w:hAnsiTheme="minorHAnsi" w:cstheme="minorHAnsi"/>
          <w:sz w:val="22"/>
        </w:rPr>
        <w:t xml:space="preserve">all </w:t>
      </w:r>
      <w:r w:rsidRPr="00415A98">
        <w:rPr>
          <w:rFonts w:asciiTheme="minorHAnsi" w:eastAsia="Times New Roman" w:hAnsiTheme="minorHAnsi" w:cstheme="minorHAnsi"/>
          <w:sz w:val="22"/>
        </w:rPr>
        <w:t xml:space="preserve">Victorians to give fishing a go. </w:t>
      </w:r>
    </w:p>
    <w:p w14:paraId="0699A762" w14:textId="57654DBD" w:rsidR="00415A98" w:rsidRPr="002A325D" w:rsidRDefault="00415A98" w:rsidP="009A7DB4">
      <w:pPr>
        <w:pStyle w:val="ListParagraph"/>
        <w:numPr>
          <w:ilvl w:val="0"/>
          <w:numId w:val="13"/>
        </w:numPr>
        <w:rPr>
          <w:rFonts w:asciiTheme="minorHAnsi" w:eastAsia="Times New Roman" w:hAnsiTheme="minorHAnsi" w:cstheme="minorHAnsi"/>
          <w:sz w:val="22"/>
        </w:rPr>
      </w:pPr>
      <w:r w:rsidRPr="002A325D">
        <w:rPr>
          <w:rFonts w:asciiTheme="minorHAnsi" w:eastAsia="Times New Roman" w:hAnsiTheme="minorHAnsi" w:cstheme="minorHAnsi"/>
          <w:sz w:val="22"/>
        </w:rPr>
        <w:t xml:space="preserve">The VFA has worked with multicultural communities to translate the </w:t>
      </w:r>
      <w:r w:rsidRPr="002A325D">
        <w:rPr>
          <w:rFonts w:asciiTheme="minorHAnsi" w:eastAsia="Times New Roman" w:hAnsiTheme="minorHAnsi" w:cstheme="minorHAnsi"/>
          <w:i/>
          <w:iCs/>
          <w:sz w:val="22"/>
        </w:rPr>
        <w:t>Recreational Fishing Guide</w:t>
      </w:r>
      <w:r w:rsidRPr="002A325D">
        <w:rPr>
          <w:rFonts w:asciiTheme="minorHAnsi" w:eastAsia="Times New Roman" w:hAnsiTheme="minorHAnsi" w:cstheme="minorHAnsi"/>
          <w:sz w:val="22"/>
        </w:rPr>
        <w:t xml:space="preserve"> into Vietnamese and Chinese.  Further, </w:t>
      </w:r>
      <w:r w:rsidR="002A325D">
        <w:rPr>
          <w:rFonts w:asciiTheme="minorHAnsi" w:eastAsia="Times New Roman" w:hAnsiTheme="minorHAnsi" w:cstheme="minorHAnsi"/>
          <w:sz w:val="22"/>
        </w:rPr>
        <w:t xml:space="preserve">as </w:t>
      </w:r>
      <w:r w:rsidR="002A325D" w:rsidRPr="002A325D">
        <w:rPr>
          <w:rFonts w:asciiTheme="minorHAnsi" w:eastAsia="Times New Roman" w:hAnsiTheme="minorHAnsi" w:cstheme="minorHAnsi"/>
          <w:sz w:val="22"/>
        </w:rPr>
        <w:t xml:space="preserve">there are around 260 languages spoken by </w:t>
      </w:r>
      <w:r w:rsidRPr="002A325D">
        <w:rPr>
          <w:rFonts w:asciiTheme="minorHAnsi" w:eastAsia="Times New Roman" w:hAnsiTheme="minorHAnsi" w:cstheme="minorHAnsi"/>
          <w:sz w:val="22"/>
        </w:rPr>
        <w:t>Victorians</w:t>
      </w:r>
      <w:r w:rsidR="002A325D">
        <w:rPr>
          <w:rFonts w:asciiTheme="minorHAnsi" w:eastAsia="Times New Roman" w:hAnsiTheme="minorHAnsi" w:cstheme="minorHAnsi"/>
          <w:sz w:val="22"/>
        </w:rPr>
        <w:t>, the VFA recognised that it was unfeasible to translate the Guide into all languages, so instead created an animated film series to turn the complex messaging into simple, easily digestible imagery.</w:t>
      </w:r>
      <w:r w:rsidRPr="002A325D">
        <w:rPr>
          <w:rFonts w:asciiTheme="minorHAnsi" w:eastAsia="Times New Roman" w:hAnsiTheme="minorHAnsi" w:cstheme="minorHAnsi"/>
          <w:sz w:val="22"/>
        </w:rPr>
        <w:t xml:space="preserve"> </w:t>
      </w:r>
    </w:p>
    <w:p w14:paraId="2645DC0F" w14:textId="7F5862A6" w:rsidR="00905D81" w:rsidRPr="00415A98" w:rsidRDefault="00905D81" w:rsidP="009A7DB4">
      <w:pPr>
        <w:pStyle w:val="ListParagraph"/>
        <w:numPr>
          <w:ilvl w:val="0"/>
          <w:numId w:val="13"/>
        </w:numPr>
        <w:rPr>
          <w:rFonts w:asciiTheme="minorHAnsi" w:eastAsia="Times New Roman" w:hAnsiTheme="minorHAnsi" w:cstheme="minorHAnsi"/>
          <w:sz w:val="22"/>
        </w:rPr>
      </w:pPr>
      <w:r w:rsidRPr="00415A98">
        <w:rPr>
          <w:rFonts w:asciiTheme="minorHAnsi" w:eastAsia="Times New Roman" w:hAnsiTheme="minorHAnsi" w:cstheme="minorHAnsi"/>
          <w:sz w:val="22"/>
        </w:rPr>
        <w:t xml:space="preserve">To assist beginner fishers, the VFA created a series of guides called </w:t>
      </w:r>
      <w:r w:rsidRPr="00415A98">
        <w:rPr>
          <w:rFonts w:asciiTheme="minorHAnsi" w:eastAsia="Times New Roman" w:hAnsiTheme="minorHAnsi" w:cstheme="minorHAnsi"/>
          <w:i/>
          <w:iCs/>
          <w:sz w:val="22"/>
        </w:rPr>
        <w:t>Get Outside Go Fishing</w:t>
      </w:r>
      <w:r w:rsidRPr="00415A98">
        <w:rPr>
          <w:rFonts w:asciiTheme="minorHAnsi" w:eastAsia="Times New Roman" w:hAnsiTheme="minorHAnsi" w:cstheme="minorHAnsi"/>
          <w:sz w:val="22"/>
        </w:rPr>
        <w:t>.  The series comprises six booklets: Family Fishing Lakes, Western Port, Port Phillip Bay, Gippsland Lakes, North West Victoria, South West Victoria and North East Victoria.</w:t>
      </w:r>
      <w:r w:rsidR="00BB7BE1" w:rsidRPr="00415A98">
        <w:rPr>
          <w:rFonts w:asciiTheme="minorHAnsi" w:eastAsia="Times New Roman" w:hAnsiTheme="minorHAnsi" w:cstheme="minorHAnsi"/>
          <w:sz w:val="22"/>
        </w:rPr>
        <w:t xml:space="preserve">  </w:t>
      </w:r>
      <w:r w:rsidRPr="00415A98">
        <w:rPr>
          <w:rFonts w:asciiTheme="minorHAnsi" w:eastAsia="Times New Roman" w:hAnsiTheme="minorHAnsi" w:cstheme="minorHAnsi"/>
          <w:sz w:val="22"/>
        </w:rPr>
        <w:t>The booklets are currently available in simplified Chinese and English and are very popular with families who are keen to try something new and different, while exploring more of Victoria.</w:t>
      </w:r>
    </w:p>
    <w:p w14:paraId="2C9A44C4" w14:textId="77777777" w:rsidR="00415A98" w:rsidRDefault="00415A98" w:rsidP="009A7DB4">
      <w:pPr>
        <w:pStyle w:val="ListParagraph"/>
        <w:numPr>
          <w:ilvl w:val="0"/>
          <w:numId w:val="11"/>
        </w:numPr>
        <w:spacing w:after="160"/>
        <w:jc w:val="left"/>
        <w:rPr>
          <w:rFonts w:asciiTheme="minorHAnsi" w:eastAsia="Times New Roman" w:hAnsiTheme="minorHAnsi" w:cstheme="minorHAnsi"/>
          <w:sz w:val="22"/>
        </w:rPr>
      </w:pPr>
      <w:r>
        <w:rPr>
          <w:rFonts w:asciiTheme="minorHAnsi" w:eastAsia="Times New Roman" w:hAnsiTheme="minorHAnsi" w:cstheme="minorHAnsi"/>
          <w:sz w:val="22"/>
        </w:rPr>
        <w:t xml:space="preserve">The </w:t>
      </w:r>
      <w:r w:rsidRPr="00415A98">
        <w:rPr>
          <w:rFonts w:asciiTheme="minorHAnsi" w:eastAsia="Times New Roman" w:hAnsiTheme="minorHAnsi" w:cstheme="minorHAnsi"/>
          <w:i/>
          <w:iCs/>
          <w:sz w:val="22"/>
        </w:rPr>
        <w:t>F</w:t>
      </w:r>
      <w:r w:rsidR="00F83300" w:rsidRPr="00415A98">
        <w:rPr>
          <w:rFonts w:asciiTheme="minorHAnsi" w:eastAsia="Times New Roman" w:hAnsiTheme="minorHAnsi" w:cstheme="minorHAnsi"/>
          <w:i/>
          <w:iCs/>
          <w:sz w:val="22"/>
        </w:rPr>
        <w:t>ishing for Culture</w:t>
      </w:r>
      <w:r w:rsidR="00F83300">
        <w:rPr>
          <w:rFonts w:asciiTheme="minorHAnsi" w:eastAsia="Times New Roman" w:hAnsiTheme="minorHAnsi" w:cstheme="minorHAnsi"/>
          <w:sz w:val="22"/>
        </w:rPr>
        <w:t xml:space="preserve"> program</w:t>
      </w:r>
      <w:r w:rsidRPr="00415A98">
        <w:rPr>
          <w:rFonts w:asciiTheme="minorHAnsi" w:eastAsia="Times New Roman" w:hAnsiTheme="minorHAnsi" w:cstheme="minorHAnsi"/>
          <w:sz w:val="22"/>
        </w:rPr>
        <w:t xml:space="preserve"> </w:t>
      </w:r>
      <w:r>
        <w:rPr>
          <w:rFonts w:asciiTheme="minorHAnsi" w:eastAsia="Times New Roman" w:hAnsiTheme="minorHAnsi" w:cstheme="minorHAnsi"/>
          <w:sz w:val="22"/>
        </w:rPr>
        <w:t xml:space="preserve">is </w:t>
      </w:r>
      <w:r w:rsidRPr="00F83300">
        <w:rPr>
          <w:rFonts w:asciiTheme="minorHAnsi" w:eastAsia="Times New Roman" w:hAnsiTheme="minorHAnsi" w:cstheme="minorHAnsi"/>
          <w:sz w:val="22"/>
        </w:rPr>
        <w:t xml:space="preserve">aimed at </w:t>
      </w:r>
      <w:r>
        <w:rPr>
          <w:rFonts w:asciiTheme="minorHAnsi" w:eastAsia="Times New Roman" w:hAnsiTheme="minorHAnsi" w:cstheme="minorHAnsi"/>
          <w:sz w:val="22"/>
        </w:rPr>
        <w:t>educating</w:t>
      </w:r>
      <w:r w:rsidRPr="00F83300">
        <w:rPr>
          <w:rFonts w:asciiTheme="minorHAnsi" w:eastAsia="Times New Roman" w:hAnsiTheme="minorHAnsi" w:cstheme="minorHAnsi"/>
          <w:sz w:val="22"/>
        </w:rPr>
        <w:t xml:space="preserve"> newly arrived communities </w:t>
      </w:r>
      <w:r>
        <w:rPr>
          <w:rFonts w:asciiTheme="minorHAnsi" w:eastAsia="Times New Roman" w:hAnsiTheme="minorHAnsi" w:cstheme="minorHAnsi"/>
          <w:sz w:val="22"/>
        </w:rPr>
        <w:t xml:space="preserve">to </w:t>
      </w:r>
      <w:r w:rsidR="00F83300" w:rsidRPr="00F83300">
        <w:rPr>
          <w:rFonts w:asciiTheme="minorHAnsi" w:eastAsia="Times New Roman" w:hAnsiTheme="minorHAnsi" w:cstheme="minorHAnsi"/>
          <w:sz w:val="22"/>
        </w:rPr>
        <w:t xml:space="preserve">understand </w:t>
      </w:r>
      <w:r w:rsidR="00F83300">
        <w:rPr>
          <w:rFonts w:asciiTheme="minorHAnsi" w:eastAsia="Times New Roman" w:hAnsiTheme="minorHAnsi" w:cstheme="minorHAnsi"/>
          <w:sz w:val="22"/>
        </w:rPr>
        <w:t xml:space="preserve">recreational fishing </w:t>
      </w:r>
      <w:r w:rsidR="00F83300" w:rsidRPr="00F83300">
        <w:rPr>
          <w:rFonts w:asciiTheme="minorHAnsi" w:eastAsia="Times New Roman" w:hAnsiTheme="minorHAnsi" w:cstheme="minorHAnsi"/>
          <w:sz w:val="22"/>
        </w:rPr>
        <w:t>rules</w:t>
      </w:r>
      <w:r>
        <w:rPr>
          <w:rFonts w:asciiTheme="minorHAnsi" w:eastAsia="Times New Roman" w:hAnsiTheme="minorHAnsi" w:cstheme="minorHAnsi"/>
          <w:sz w:val="22"/>
        </w:rPr>
        <w:t xml:space="preserve">, why the rules exist and how to </w:t>
      </w:r>
      <w:r w:rsidR="00F83300" w:rsidRPr="00F83300">
        <w:rPr>
          <w:rFonts w:asciiTheme="minorHAnsi" w:eastAsia="Times New Roman" w:hAnsiTheme="minorHAnsi" w:cstheme="minorHAnsi"/>
          <w:sz w:val="22"/>
        </w:rPr>
        <w:t>fish responsibly</w:t>
      </w:r>
      <w:r>
        <w:rPr>
          <w:rFonts w:asciiTheme="minorHAnsi" w:eastAsia="Times New Roman" w:hAnsiTheme="minorHAnsi" w:cstheme="minorHAnsi"/>
          <w:sz w:val="22"/>
        </w:rPr>
        <w:t xml:space="preserve">.  </w:t>
      </w:r>
    </w:p>
    <w:p w14:paraId="38FDC5D7" w14:textId="64643861" w:rsidR="00415A98" w:rsidRDefault="00415A98" w:rsidP="009A7DB4">
      <w:pPr>
        <w:pStyle w:val="ListParagraph"/>
        <w:numPr>
          <w:ilvl w:val="0"/>
          <w:numId w:val="11"/>
        </w:numPr>
        <w:spacing w:after="160"/>
        <w:jc w:val="left"/>
        <w:rPr>
          <w:rFonts w:asciiTheme="minorHAnsi" w:eastAsia="Times New Roman" w:hAnsiTheme="minorHAnsi" w:cstheme="minorHAnsi"/>
          <w:sz w:val="22"/>
        </w:rPr>
      </w:pPr>
      <w:r w:rsidRPr="00905D81">
        <w:rPr>
          <w:rFonts w:asciiTheme="minorHAnsi" w:eastAsia="Times New Roman" w:hAnsiTheme="minorHAnsi" w:cstheme="minorHAnsi"/>
          <w:sz w:val="22"/>
        </w:rPr>
        <w:t xml:space="preserve">To help improve rock fishing safety in our CaLD communities, the VFA developed a simple safety booklet for rock fishers. The booklet covers how to best prepare for rock fishing, what safety gear to take and what to do if swept into the water. The booklet is available in English, simplified Chinese and Vietnamese.  </w:t>
      </w:r>
    </w:p>
    <w:p w14:paraId="5A1EEF1F" w14:textId="374492EC" w:rsidR="007C169B" w:rsidRDefault="002A325D" w:rsidP="009A7DB4">
      <w:pPr>
        <w:pStyle w:val="ListParagraph"/>
        <w:numPr>
          <w:ilvl w:val="0"/>
          <w:numId w:val="11"/>
        </w:numPr>
        <w:spacing w:after="160"/>
        <w:jc w:val="left"/>
        <w:rPr>
          <w:rFonts w:asciiTheme="minorHAnsi" w:eastAsia="Times New Roman" w:hAnsiTheme="minorHAnsi" w:cstheme="minorHAnsi"/>
          <w:sz w:val="22"/>
        </w:rPr>
      </w:pPr>
      <w:r>
        <w:rPr>
          <w:rFonts w:asciiTheme="minorHAnsi" w:eastAsia="Times New Roman" w:hAnsiTheme="minorHAnsi" w:cstheme="minorHAnsi"/>
          <w:sz w:val="22"/>
        </w:rPr>
        <w:t>The VFA devel</w:t>
      </w:r>
      <w:r w:rsidR="007C169B">
        <w:rPr>
          <w:rFonts w:asciiTheme="minorHAnsi" w:eastAsia="Times New Roman" w:hAnsiTheme="minorHAnsi" w:cstheme="minorHAnsi"/>
          <w:sz w:val="22"/>
        </w:rPr>
        <w:t xml:space="preserve">oped a range of educational equipment to engage with communities, such as </w:t>
      </w:r>
      <w:r w:rsidR="007C169B" w:rsidRPr="007C169B">
        <w:rPr>
          <w:rFonts w:asciiTheme="minorHAnsi" w:eastAsia="Times New Roman" w:hAnsiTheme="minorHAnsi" w:cstheme="minorHAnsi"/>
          <w:sz w:val="22"/>
        </w:rPr>
        <w:t>m</w:t>
      </w:r>
      <w:r w:rsidR="007C169B" w:rsidRPr="007C169B">
        <w:rPr>
          <w:rFonts w:cs="Avenir LT Std 35 Light"/>
          <w:color w:val="000000"/>
          <w:sz w:val="22"/>
        </w:rPr>
        <w:t>ultilingual buckets to collect pipis, multilingual signage installed at beach access points</w:t>
      </w:r>
      <w:r w:rsidR="007C169B">
        <w:rPr>
          <w:rFonts w:cs="Avenir LT Std 35 Light"/>
          <w:color w:val="000000"/>
          <w:sz w:val="22"/>
        </w:rPr>
        <w:t>, and an a</w:t>
      </w:r>
      <w:r w:rsidR="00F83300" w:rsidRPr="007C169B">
        <w:rPr>
          <w:rFonts w:asciiTheme="minorHAnsi" w:eastAsia="Times New Roman" w:hAnsiTheme="minorHAnsi" w:cstheme="minorHAnsi"/>
          <w:sz w:val="22"/>
        </w:rPr>
        <w:t xml:space="preserve">balone fishing tool </w:t>
      </w:r>
      <w:r w:rsidR="007C169B">
        <w:rPr>
          <w:rFonts w:asciiTheme="minorHAnsi" w:eastAsia="Times New Roman" w:hAnsiTheme="minorHAnsi" w:cstheme="minorHAnsi"/>
          <w:sz w:val="22"/>
        </w:rPr>
        <w:t xml:space="preserve">that VFA Fisheries Officers could give to fishers whilst also </w:t>
      </w:r>
      <w:r w:rsidR="007C169B" w:rsidRPr="007C169B">
        <w:rPr>
          <w:rFonts w:asciiTheme="minorHAnsi" w:eastAsia="Times New Roman" w:hAnsiTheme="minorHAnsi" w:cstheme="minorHAnsi"/>
          <w:sz w:val="22"/>
        </w:rPr>
        <w:t>engag</w:t>
      </w:r>
      <w:r w:rsidR="007C169B">
        <w:rPr>
          <w:rFonts w:asciiTheme="minorHAnsi" w:eastAsia="Times New Roman" w:hAnsiTheme="minorHAnsi" w:cstheme="minorHAnsi"/>
          <w:sz w:val="22"/>
        </w:rPr>
        <w:t>ing</w:t>
      </w:r>
      <w:r w:rsidR="007C169B" w:rsidRPr="007C169B">
        <w:rPr>
          <w:rFonts w:asciiTheme="minorHAnsi" w:eastAsia="Times New Roman" w:hAnsiTheme="minorHAnsi" w:cstheme="minorHAnsi"/>
          <w:sz w:val="22"/>
        </w:rPr>
        <w:t xml:space="preserve"> and educat</w:t>
      </w:r>
      <w:r w:rsidR="007C169B">
        <w:rPr>
          <w:rFonts w:asciiTheme="minorHAnsi" w:eastAsia="Times New Roman" w:hAnsiTheme="minorHAnsi" w:cstheme="minorHAnsi"/>
          <w:sz w:val="22"/>
        </w:rPr>
        <w:t>ing them</w:t>
      </w:r>
      <w:r w:rsidR="007C169B" w:rsidRPr="007C169B">
        <w:rPr>
          <w:rFonts w:asciiTheme="minorHAnsi" w:eastAsia="Times New Roman" w:hAnsiTheme="minorHAnsi" w:cstheme="minorHAnsi"/>
          <w:sz w:val="22"/>
        </w:rPr>
        <w:t xml:space="preserve">. </w:t>
      </w:r>
    </w:p>
    <w:p w14:paraId="0AA57BEB" w14:textId="4C50EEE8" w:rsidR="00905D81" w:rsidRPr="00905D81" w:rsidRDefault="007C169B" w:rsidP="00D61F1A">
      <w:pPr>
        <w:spacing w:after="120"/>
        <w:rPr>
          <w:rFonts w:asciiTheme="minorHAnsi" w:eastAsia="Times New Roman" w:hAnsiTheme="minorHAnsi" w:cstheme="minorHAnsi"/>
          <w:sz w:val="22"/>
        </w:rPr>
      </w:pPr>
      <w:r>
        <w:rPr>
          <w:rFonts w:asciiTheme="minorHAnsi" w:eastAsia="Times New Roman" w:hAnsiTheme="minorHAnsi" w:cstheme="minorHAnsi"/>
          <w:sz w:val="22"/>
        </w:rPr>
        <w:t>In recognition of the VFA’s work</w:t>
      </w:r>
      <w:r w:rsidR="005944D7">
        <w:rPr>
          <w:rFonts w:asciiTheme="minorHAnsi" w:eastAsia="Times New Roman" w:hAnsiTheme="minorHAnsi" w:cstheme="minorHAnsi"/>
          <w:sz w:val="22"/>
        </w:rPr>
        <w:t xml:space="preserve"> to foster cross-cultural understanding and support for migrants and refugees, in 2019, the VFA was awarded the Police Community Exemplary Award by the Victorian Multicultural Commission.  The award recognised the VFA’s:</w:t>
      </w:r>
    </w:p>
    <w:p w14:paraId="098F9AC0" w14:textId="77777777" w:rsidR="00905D81" w:rsidRPr="00905D81" w:rsidRDefault="00905D81" w:rsidP="009A7DB4">
      <w:pPr>
        <w:pStyle w:val="ListParagraph"/>
        <w:numPr>
          <w:ilvl w:val="0"/>
          <w:numId w:val="11"/>
        </w:numPr>
        <w:spacing w:after="160"/>
        <w:jc w:val="left"/>
        <w:rPr>
          <w:rFonts w:asciiTheme="minorHAnsi" w:eastAsia="Times New Roman" w:hAnsiTheme="minorHAnsi" w:cstheme="minorHAnsi"/>
          <w:sz w:val="22"/>
        </w:rPr>
      </w:pPr>
      <w:r w:rsidRPr="00905D81">
        <w:rPr>
          <w:rFonts w:asciiTheme="minorHAnsi" w:eastAsia="Times New Roman" w:hAnsiTheme="minorHAnsi" w:cstheme="minorHAnsi"/>
          <w:sz w:val="22"/>
        </w:rPr>
        <w:t xml:space="preserve">Commitment to producing information in multiple languages, </w:t>
      </w:r>
    </w:p>
    <w:p w14:paraId="653069F3" w14:textId="77777777" w:rsidR="00905D81" w:rsidRPr="00905D81" w:rsidRDefault="00905D81" w:rsidP="009A7DB4">
      <w:pPr>
        <w:pStyle w:val="ListParagraph"/>
        <w:numPr>
          <w:ilvl w:val="0"/>
          <w:numId w:val="11"/>
        </w:numPr>
        <w:spacing w:after="160"/>
        <w:jc w:val="left"/>
        <w:rPr>
          <w:rFonts w:asciiTheme="minorHAnsi" w:eastAsia="Times New Roman" w:hAnsiTheme="minorHAnsi" w:cstheme="minorHAnsi"/>
          <w:sz w:val="22"/>
        </w:rPr>
      </w:pPr>
      <w:r w:rsidRPr="00905D81">
        <w:rPr>
          <w:rFonts w:asciiTheme="minorHAnsi" w:eastAsia="Times New Roman" w:hAnsiTheme="minorHAnsi" w:cstheme="minorHAnsi"/>
          <w:sz w:val="22"/>
        </w:rPr>
        <w:t>Work with refugee, migrant and at-risk communities to improve their knowledge about fishing rules and to encourage stewardship of natural environments.</w:t>
      </w:r>
    </w:p>
    <w:p w14:paraId="0D5D83F2" w14:textId="77777777" w:rsidR="00905D81" w:rsidRPr="00905D81" w:rsidRDefault="00905D81" w:rsidP="009A7DB4">
      <w:pPr>
        <w:pStyle w:val="ListParagraph"/>
        <w:numPr>
          <w:ilvl w:val="0"/>
          <w:numId w:val="11"/>
        </w:numPr>
        <w:spacing w:after="160"/>
        <w:jc w:val="left"/>
        <w:rPr>
          <w:rFonts w:asciiTheme="minorHAnsi" w:eastAsia="Times New Roman" w:hAnsiTheme="minorHAnsi" w:cstheme="minorHAnsi"/>
          <w:sz w:val="22"/>
        </w:rPr>
      </w:pPr>
      <w:r w:rsidRPr="00905D81">
        <w:rPr>
          <w:rFonts w:asciiTheme="minorHAnsi" w:eastAsia="Times New Roman" w:hAnsiTheme="minorHAnsi" w:cstheme="minorHAnsi"/>
          <w:sz w:val="22"/>
        </w:rPr>
        <w:t>Partnerships with Victoria Police, Fire Rescue Victoria, Parks Victoria and settlement agencies to introduce communities to fishing in a sensitive, culturally safe manner.</w:t>
      </w:r>
    </w:p>
    <w:p w14:paraId="00E9A1F4" w14:textId="07048D9E" w:rsidR="005944D7" w:rsidRPr="003779D2" w:rsidRDefault="00D61F1A" w:rsidP="009A7DB4">
      <w:pPr>
        <w:pStyle w:val="ListParagraph"/>
        <w:numPr>
          <w:ilvl w:val="0"/>
          <w:numId w:val="7"/>
        </w:numPr>
        <w:spacing w:before="240"/>
        <w:ind w:left="425" w:hanging="425"/>
        <w:contextualSpacing w:val="0"/>
        <w:rPr>
          <w:rFonts w:asciiTheme="minorHAnsi" w:eastAsia="Times New Roman" w:hAnsiTheme="minorHAnsi" w:cstheme="minorHAnsi"/>
          <w:b/>
          <w:bCs/>
          <w:sz w:val="22"/>
        </w:rPr>
      </w:pPr>
      <w:bookmarkStart w:id="10" w:name="_Hlk48218880"/>
      <w:r>
        <w:rPr>
          <w:rFonts w:asciiTheme="minorHAnsi" w:eastAsia="Times New Roman" w:hAnsiTheme="minorHAnsi" w:cstheme="minorHAnsi"/>
          <w:b/>
          <w:bCs/>
          <w:sz w:val="22"/>
        </w:rPr>
        <w:t>Incentive-based regulation</w:t>
      </w:r>
    </w:p>
    <w:tbl>
      <w:tblPr>
        <w:tblStyle w:val="TableGrid"/>
        <w:tblW w:w="9634" w:type="dxa"/>
        <w:tblLook w:val="04A0" w:firstRow="1" w:lastRow="0" w:firstColumn="1" w:lastColumn="0" w:noHBand="0" w:noVBand="1"/>
      </w:tblPr>
      <w:tblGrid>
        <w:gridCol w:w="9634"/>
      </w:tblGrid>
      <w:tr w:rsidR="005944D7" w:rsidRPr="005A4D08" w14:paraId="1BA25CEF" w14:textId="77777777" w:rsidTr="000D26F0">
        <w:tc>
          <w:tcPr>
            <w:tcW w:w="9634" w:type="dxa"/>
            <w:shd w:val="clear" w:color="auto" w:fill="407798" w:themeFill="text2"/>
            <w:vAlign w:val="center"/>
          </w:tcPr>
          <w:p w14:paraId="1DF6AEF3" w14:textId="77777777" w:rsidR="005944D7" w:rsidRPr="00BF427B" w:rsidRDefault="005944D7" w:rsidP="000D26F0">
            <w:pPr>
              <w:spacing w:after="120"/>
              <w:rPr>
                <w:rFonts w:asciiTheme="minorHAnsi" w:eastAsia="Times New Roman" w:hAnsiTheme="minorHAnsi" w:cstheme="minorHAnsi"/>
                <w:b/>
                <w:bCs/>
                <w:color w:val="FFFFFF" w:themeColor="background1"/>
                <w:sz w:val="22"/>
                <w:szCs w:val="22"/>
                <w:lang w:eastAsia="en-US"/>
              </w:rPr>
            </w:pPr>
            <w:bookmarkStart w:id="11" w:name="_Hlk48220583"/>
            <w:r w:rsidRPr="00BF427B">
              <w:rPr>
                <w:rFonts w:asciiTheme="minorHAnsi" w:eastAsia="Times New Roman" w:hAnsiTheme="minorHAnsi" w:cstheme="minorHAnsi"/>
                <w:b/>
                <w:bCs/>
                <w:color w:val="FFFFFF" w:themeColor="background1"/>
                <w:sz w:val="22"/>
                <w:szCs w:val="22"/>
                <w:lang w:eastAsia="en-US"/>
              </w:rPr>
              <w:t>Ministerial Expectation</w:t>
            </w:r>
          </w:p>
        </w:tc>
      </w:tr>
      <w:tr w:rsidR="005944D7" w:rsidRPr="005A4D08" w14:paraId="56667C17" w14:textId="77777777" w:rsidTr="000D26F0">
        <w:tc>
          <w:tcPr>
            <w:tcW w:w="9634" w:type="dxa"/>
          </w:tcPr>
          <w:p w14:paraId="3917856D" w14:textId="023BD549" w:rsidR="005944D7" w:rsidRPr="00C406AE" w:rsidRDefault="00D61F1A"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C406AE">
              <w:rPr>
                <w:rFonts w:asciiTheme="minorHAnsi" w:hAnsiTheme="minorHAnsi" w:cstheme="minorHAnsi"/>
                <w:sz w:val="22"/>
              </w:rPr>
              <w:t>In consultation with fishing sectors, consider incentive-based regulatory approaches as a means of reducing compliance costs.  A</w:t>
            </w:r>
            <w:r w:rsidRPr="00C406AE">
              <w:rPr>
                <w:sz w:val="22"/>
              </w:rPr>
              <w:t>ny data collected on fisher behaviour and compliance activities would be used to inform this process.</w:t>
            </w:r>
          </w:p>
        </w:tc>
      </w:tr>
      <w:tr w:rsidR="005944D7" w:rsidRPr="00ED7DC7" w14:paraId="60BE1727" w14:textId="77777777" w:rsidTr="000D26F0">
        <w:tc>
          <w:tcPr>
            <w:tcW w:w="9634" w:type="dxa"/>
            <w:shd w:val="clear" w:color="auto" w:fill="D5E4ED" w:themeFill="text2" w:themeFillTint="33"/>
          </w:tcPr>
          <w:p w14:paraId="34B361DC" w14:textId="77777777" w:rsidR="005944D7" w:rsidRPr="00ED7DC7" w:rsidRDefault="005944D7" w:rsidP="000D26F0">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5944D7" w:rsidRPr="005A4D08" w14:paraId="7587F431" w14:textId="77777777" w:rsidTr="000D26F0">
        <w:tc>
          <w:tcPr>
            <w:tcW w:w="9634" w:type="dxa"/>
          </w:tcPr>
          <w:p w14:paraId="2D3F6EBC" w14:textId="58308491" w:rsidR="005944D7" w:rsidRPr="00D61F1A" w:rsidRDefault="00D61F1A"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hAnsiTheme="minorHAnsi" w:cstheme="minorHAnsi"/>
                <w:sz w:val="22"/>
              </w:rPr>
              <w:t>Investigate the feasibility of reducing compliance inspections by introducing a vessel monitoring system for the commercial fishing sector.</w:t>
            </w:r>
          </w:p>
        </w:tc>
      </w:tr>
    </w:tbl>
    <w:bookmarkEnd w:id="10"/>
    <w:bookmarkEnd w:id="11"/>
    <w:p w14:paraId="7F2B1F8C" w14:textId="1A3483C5" w:rsidR="00D61F1A" w:rsidRPr="00D61F1A" w:rsidRDefault="00DE0D4F" w:rsidP="00D61F1A">
      <w:pPr>
        <w:spacing w:after="120"/>
        <w:rPr>
          <w:rFonts w:asciiTheme="minorHAnsi" w:eastAsia="Times New Roman" w:hAnsiTheme="minorHAnsi" w:cstheme="minorHAnsi"/>
          <w:sz w:val="22"/>
          <w:szCs w:val="22"/>
        </w:rPr>
      </w:pPr>
      <w:r>
        <w:rPr>
          <w:rFonts w:asciiTheme="minorHAnsi" w:eastAsia="Times New Roman" w:hAnsiTheme="minorHAnsi" w:cstheme="minorHAnsi"/>
          <w:sz w:val="22"/>
        </w:rPr>
        <w:t xml:space="preserve">In 2019, the VFA implemented the requirement for commercial fishing vessels operating in specified fisheries to </w:t>
      </w:r>
      <w:r w:rsidR="00C406AE">
        <w:rPr>
          <w:rFonts w:asciiTheme="minorHAnsi" w:eastAsia="Times New Roman" w:hAnsiTheme="minorHAnsi" w:cstheme="minorHAnsi"/>
          <w:sz w:val="22"/>
        </w:rPr>
        <w:t>have an operational vessel monitoring system (VMS) onboard.  V</w:t>
      </w:r>
      <w:r w:rsidR="00D61F1A" w:rsidRPr="00D61F1A">
        <w:rPr>
          <w:rFonts w:asciiTheme="minorHAnsi" w:eastAsia="Times New Roman" w:hAnsiTheme="minorHAnsi" w:cstheme="minorHAnsi"/>
          <w:sz w:val="22"/>
        </w:rPr>
        <w:t xml:space="preserve">MS is a new technology for many of Victoria’s commercial fishers </w:t>
      </w:r>
      <w:r w:rsidR="00C406AE">
        <w:rPr>
          <w:rFonts w:asciiTheme="minorHAnsi" w:eastAsia="Times New Roman" w:hAnsiTheme="minorHAnsi" w:cstheme="minorHAnsi"/>
          <w:sz w:val="22"/>
        </w:rPr>
        <w:t xml:space="preserve">the VFA worked </w:t>
      </w:r>
      <w:r w:rsidR="00D61F1A" w:rsidRPr="00D61F1A">
        <w:rPr>
          <w:rFonts w:asciiTheme="minorHAnsi" w:eastAsia="Times New Roman" w:hAnsiTheme="minorHAnsi" w:cstheme="minorHAnsi"/>
          <w:sz w:val="22"/>
        </w:rPr>
        <w:t>collaboratively with the industry to implement this change</w:t>
      </w:r>
      <w:r w:rsidR="00C406AE">
        <w:rPr>
          <w:rFonts w:asciiTheme="minorHAnsi" w:eastAsia="Times New Roman" w:hAnsiTheme="minorHAnsi" w:cstheme="minorHAnsi"/>
          <w:sz w:val="22"/>
        </w:rPr>
        <w:t xml:space="preserve"> </w:t>
      </w:r>
      <w:r w:rsidR="00D61F1A" w:rsidRPr="00D61F1A">
        <w:rPr>
          <w:rFonts w:asciiTheme="minorHAnsi" w:eastAsia="Times New Roman" w:hAnsiTheme="minorHAnsi" w:cstheme="minorHAnsi"/>
          <w:sz w:val="22"/>
        </w:rPr>
        <w:t>in the abalone, rock lobster</w:t>
      </w:r>
      <w:r w:rsidR="00C406AE">
        <w:rPr>
          <w:rFonts w:asciiTheme="minorHAnsi" w:eastAsia="Times New Roman" w:hAnsiTheme="minorHAnsi" w:cstheme="minorHAnsi"/>
          <w:sz w:val="22"/>
        </w:rPr>
        <w:t xml:space="preserve">, </w:t>
      </w:r>
      <w:r w:rsidR="00D61F1A" w:rsidRPr="00D61F1A">
        <w:rPr>
          <w:rFonts w:asciiTheme="minorHAnsi" w:eastAsia="Times New Roman" w:hAnsiTheme="minorHAnsi" w:cstheme="minorHAnsi"/>
          <w:sz w:val="22"/>
        </w:rPr>
        <w:t>giant crab</w:t>
      </w:r>
      <w:r w:rsidR="00C406AE">
        <w:rPr>
          <w:rFonts w:asciiTheme="minorHAnsi" w:eastAsia="Times New Roman" w:hAnsiTheme="minorHAnsi" w:cstheme="minorHAnsi"/>
          <w:sz w:val="22"/>
        </w:rPr>
        <w:t xml:space="preserve"> and Corner Inlet</w:t>
      </w:r>
      <w:r w:rsidR="00D61F1A" w:rsidRPr="00D61F1A">
        <w:rPr>
          <w:rFonts w:asciiTheme="minorHAnsi" w:eastAsia="Times New Roman" w:hAnsiTheme="minorHAnsi" w:cstheme="minorHAnsi"/>
          <w:sz w:val="22"/>
        </w:rPr>
        <w:t xml:space="preserve"> fisheries. </w:t>
      </w:r>
      <w:r w:rsidR="00C406AE">
        <w:rPr>
          <w:rFonts w:asciiTheme="minorHAnsi" w:eastAsia="Times New Roman" w:hAnsiTheme="minorHAnsi" w:cstheme="minorHAnsi"/>
          <w:sz w:val="22"/>
        </w:rPr>
        <w:t xml:space="preserve"> </w:t>
      </w:r>
      <w:r w:rsidR="00D61F1A" w:rsidRPr="00D61F1A">
        <w:rPr>
          <w:rFonts w:asciiTheme="minorHAnsi" w:eastAsia="Times New Roman" w:hAnsiTheme="minorHAnsi" w:cstheme="minorHAnsi"/>
          <w:sz w:val="22"/>
          <w:szCs w:val="22"/>
        </w:rPr>
        <w:t xml:space="preserve">VMS </w:t>
      </w:r>
      <w:r w:rsidR="00C406AE">
        <w:rPr>
          <w:rFonts w:asciiTheme="minorHAnsi" w:eastAsia="Times New Roman" w:hAnsiTheme="minorHAnsi" w:cstheme="minorHAnsi"/>
          <w:sz w:val="22"/>
          <w:szCs w:val="22"/>
        </w:rPr>
        <w:t xml:space="preserve">will be implemented </w:t>
      </w:r>
      <w:r w:rsidR="00D61F1A" w:rsidRPr="00D61F1A">
        <w:rPr>
          <w:rFonts w:asciiTheme="minorHAnsi" w:eastAsia="Times New Roman" w:hAnsiTheme="minorHAnsi" w:cstheme="minorHAnsi"/>
          <w:sz w:val="22"/>
          <w:szCs w:val="22"/>
        </w:rPr>
        <w:t xml:space="preserve">in the </w:t>
      </w:r>
      <w:r w:rsidR="00D61F1A" w:rsidRPr="00D61F1A">
        <w:rPr>
          <w:rFonts w:asciiTheme="minorHAnsi" w:eastAsia="Times New Roman" w:hAnsiTheme="minorHAnsi" w:cstheme="minorHAnsi"/>
          <w:sz w:val="22"/>
          <w:szCs w:val="22"/>
        </w:rPr>
        <w:lastRenderedPageBreak/>
        <w:t>Western Port/Port Phillip Bay, banded</w:t>
      </w:r>
      <w:r w:rsidR="00D61F1A" w:rsidRPr="00D61F1A">
        <w:rPr>
          <w:rFonts w:asciiTheme="minorHAnsi" w:eastAsiaTheme="minorEastAsia" w:hAnsiTheme="minorHAnsi" w:cstheme="minorHAnsi"/>
          <w:sz w:val="22"/>
          <w:szCs w:val="22"/>
          <w:lang w:eastAsia="en-US"/>
        </w:rPr>
        <w:t xml:space="preserve"> morwong, octopus, sea urchin, and inshore trawl fisheries in the second half of 2020. </w:t>
      </w:r>
    </w:p>
    <w:p w14:paraId="3288DF3B" w14:textId="028824A3" w:rsidR="00586CD1" w:rsidRPr="003779D2" w:rsidRDefault="00586CD1" w:rsidP="009A7DB4">
      <w:pPr>
        <w:pStyle w:val="ListParagraph"/>
        <w:numPr>
          <w:ilvl w:val="0"/>
          <w:numId w:val="7"/>
        </w:numPr>
        <w:spacing w:before="240"/>
        <w:ind w:left="425" w:hanging="425"/>
        <w:contextualSpacing w:val="0"/>
        <w:rPr>
          <w:rFonts w:asciiTheme="minorHAnsi" w:eastAsia="Times New Roman" w:hAnsiTheme="minorHAnsi" w:cstheme="minorHAnsi"/>
          <w:b/>
          <w:bCs/>
          <w:sz w:val="22"/>
        </w:rPr>
      </w:pPr>
      <w:r>
        <w:rPr>
          <w:rFonts w:asciiTheme="minorHAnsi" w:eastAsia="Times New Roman" w:hAnsiTheme="minorHAnsi" w:cstheme="minorHAnsi"/>
          <w:b/>
          <w:bCs/>
          <w:sz w:val="22"/>
        </w:rPr>
        <w:t>Cooperation amongst regulators</w:t>
      </w:r>
    </w:p>
    <w:tbl>
      <w:tblPr>
        <w:tblStyle w:val="TableGrid"/>
        <w:tblW w:w="9634" w:type="dxa"/>
        <w:tblLook w:val="04A0" w:firstRow="1" w:lastRow="0" w:firstColumn="1" w:lastColumn="0" w:noHBand="0" w:noVBand="1"/>
      </w:tblPr>
      <w:tblGrid>
        <w:gridCol w:w="9634"/>
      </w:tblGrid>
      <w:tr w:rsidR="00586CD1" w:rsidRPr="005A4D08" w14:paraId="04019300" w14:textId="77777777" w:rsidTr="000D26F0">
        <w:tc>
          <w:tcPr>
            <w:tcW w:w="9634" w:type="dxa"/>
            <w:shd w:val="clear" w:color="auto" w:fill="407798" w:themeFill="text2"/>
            <w:vAlign w:val="center"/>
          </w:tcPr>
          <w:p w14:paraId="45C725CA" w14:textId="77777777" w:rsidR="00586CD1" w:rsidRPr="00BF427B" w:rsidRDefault="00586CD1" w:rsidP="000D26F0">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586CD1" w:rsidRPr="005A4D08" w14:paraId="4A3D2C95" w14:textId="77777777" w:rsidTr="000D26F0">
        <w:tc>
          <w:tcPr>
            <w:tcW w:w="9634" w:type="dxa"/>
          </w:tcPr>
          <w:p w14:paraId="7CFA9AFA" w14:textId="67E08DF5" w:rsidR="00586CD1" w:rsidRPr="00586CD1"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W</w:t>
            </w:r>
            <w:r w:rsidRPr="00586CD1">
              <w:rPr>
                <w:rFonts w:asciiTheme="minorHAnsi" w:hAnsiTheme="minorHAnsi" w:cstheme="minorHAnsi"/>
                <w:sz w:val="22"/>
              </w:rPr>
              <w:t xml:space="preserve">ork with DEDJTR and across Victorian Government agencies to sustainably grow recreational fishing, improve access where appropriate and continue value-adding commercial fisheries. </w:t>
            </w:r>
          </w:p>
          <w:p w14:paraId="229AAC1D" w14:textId="77777777" w:rsidR="00586CD1" w:rsidRDefault="004709CD"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709CD">
              <w:rPr>
                <w:rFonts w:asciiTheme="minorHAnsi" w:hAnsiTheme="minorHAnsi" w:cstheme="minorHAnsi"/>
                <w:sz w:val="22"/>
              </w:rPr>
              <w:t>In relation to aquaculture management, continue to work with DEDJTR, the Commonwealth Government and PrimeSafe Victoria to manage the risks associated with marine biotoxins and to implement relevant export standards and agreements, including the Australian Shellfish Quality Assurance Program.</w:t>
            </w:r>
          </w:p>
          <w:p w14:paraId="5863128D" w14:textId="7FEF1434" w:rsidR="004709CD" w:rsidRDefault="004709CD"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S</w:t>
            </w:r>
            <w:r w:rsidRPr="004709CD">
              <w:rPr>
                <w:rFonts w:asciiTheme="minorHAnsi" w:hAnsiTheme="minorHAnsi" w:cstheme="minorHAnsi"/>
                <w:sz w:val="22"/>
              </w:rPr>
              <w:t>hare the knowledge and expertise</w:t>
            </w:r>
            <w:r>
              <w:rPr>
                <w:rFonts w:asciiTheme="minorHAnsi" w:hAnsiTheme="minorHAnsi" w:cstheme="minorHAnsi"/>
                <w:sz w:val="22"/>
              </w:rPr>
              <w:t xml:space="preserve"> of</w:t>
            </w:r>
            <w:r w:rsidRPr="004709CD">
              <w:rPr>
                <w:rFonts w:asciiTheme="minorHAnsi" w:hAnsiTheme="minorHAnsi" w:cstheme="minorHAnsi"/>
                <w:sz w:val="22"/>
              </w:rPr>
              <w:t xml:space="preserve"> VFA Fisheries Officers with other DEDJTR and partner agency authorised officers to build a more effective and efficient compliance management system across government.</w:t>
            </w:r>
          </w:p>
          <w:p w14:paraId="4B710798" w14:textId="12B1C213" w:rsidR="004709CD" w:rsidRPr="00C406AE" w:rsidRDefault="004709CD" w:rsidP="009A7DB4">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C</w:t>
            </w:r>
            <w:r w:rsidRPr="004709CD">
              <w:rPr>
                <w:rFonts w:asciiTheme="minorHAnsi" w:hAnsiTheme="minorHAnsi" w:cstheme="minorHAnsi"/>
                <w:sz w:val="22"/>
              </w:rPr>
              <w:t>ontinue to assist other regulators, such as the Department of Environment, Land, Water and Planning, the Environment Protection Authority and Transport Safety Victoria in ensuring fishers comply with relevant environmental and marine safety laws.</w:t>
            </w:r>
          </w:p>
        </w:tc>
      </w:tr>
      <w:tr w:rsidR="00586CD1" w:rsidRPr="00ED7DC7" w14:paraId="77811CE2" w14:textId="77777777" w:rsidTr="000D26F0">
        <w:tc>
          <w:tcPr>
            <w:tcW w:w="9634" w:type="dxa"/>
            <w:shd w:val="clear" w:color="auto" w:fill="D5E4ED" w:themeFill="text2" w:themeFillTint="33"/>
          </w:tcPr>
          <w:p w14:paraId="27E42C38" w14:textId="77777777" w:rsidR="00586CD1" w:rsidRPr="00ED7DC7" w:rsidRDefault="00586CD1" w:rsidP="000D26F0">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586CD1" w:rsidRPr="005A4D08" w14:paraId="78C53399" w14:textId="77777777" w:rsidTr="000D26F0">
        <w:tc>
          <w:tcPr>
            <w:tcW w:w="9634" w:type="dxa"/>
          </w:tcPr>
          <w:p w14:paraId="600C482D" w14:textId="77777777" w:rsidR="00586CD1" w:rsidRPr="004709CD" w:rsidRDefault="004709CD"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4709CD">
              <w:rPr>
                <w:rFonts w:asciiTheme="minorHAnsi" w:hAnsiTheme="minorHAnsi" w:cstheme="minorHAnsi"/>
                <w:sz w:val="22"/>
              </w:rPr>
              <w:t>Identify, in consultation with recreational fishers and land managers, new habitat and access investment priorities for delivery from 2019-2022</w:t>
            </w:r>
            <w:r>
              <w:rPr>
                <w:rFonts w:asciiTheme="minorHAnsi" w:hAnsiTheme="minorHAnsi" w:cstheme="minorHAnsi"/>
                <w:sz w:val="22"/>
              </w:rPr>
              <w:t>.</w:t>
            </w:r>
          </w:p>
          <w:p w14:paraId="1B1CF440" w14:textId="77777777" w:rsidR="004709CD" w:rsidRDefault="004709CD"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4709CD">
              <w:rPr>
                <w:rFonts w:asciiTheme="minorHAnsi" w:eastAsia="Times New Roman" w:hAnsiTheme="minorHAnsi" w:cstheme="minorHAnsi"/>
                <w:sz w:val="22"/>
              </w:rPr>
              <w:t>Collaborate with DELWP Wildlife Officers in ensuring compliance with protected species interaction reporting</w:t>
            </w:r>
            <w:r>
              <w:rPr>
                <w:rFonts w:asciiTheme="minorHAnsi" w:eastAsia="Times New Roman" w:hAnsiTheme="minorHAnsi" w:cstheme="minorHAnsi"/>
                <w:sz w:val="22"/>
              </w:rPr>
              <w:t>.</w:t>
            </w:r>
          </w:p>
          <w:p w14:paraId="2F3E0150" w14:textId="33C31085" w:rsidR="004709CD" w:rsidRPr="00D61F1A" w:rsidRDefault="004709CD"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4709CD">
              <w:rPr>
                <w:rFonts w:asciiTheme="minorHAnsi" w:eastAsia="Times New Roman" w:hAnsiTheme="minorHAnsi" w:cstheme="minorHAnsi"/>
                <w:sz w:val="22"/>
              </w:rPr>
              <w:t>Support Marine Safety Victoria’s program objectives through conducting recreational vessel inspections</w:t>
            </w:r>
            <w:r>
              <w:rPr>
                <w:rFonts w:asciiTheme="minorHAnsi" w:eastAsia="Times New Roman" w:hAnsiTheme="minorHAnsi" w:cstheme="minorHAnsi"/>
                <w:sz w:val="22"/>
              </w:rPr>
              <w:t>.</w:t>
            </w:r>
          </w:p>
        </w:tc>
      </w:tr>
    </w:tbl>
    <w:p w14:paraId="5DC50D11" w14:textId="048921AE" w:rsidR="00586CD1" w:rsidRDefault="004709CD" w:rsidP="002A0385">
      <w:pPr>
        <w:spacing w:after="120"/>
        <w:rPr>
          <w:rFonts w:asciiTheme="minorHAnsi" w:eastAsia="Times New Roman" w:hAnsiTheme="minorHAnsi" w:cstheme="minorHAnsi"/>
          <w:sz w:val="22"/>
        </w:rPr>
      </w:pPr>
      <w:r>
        <w:rPr>
          <w:rFonts w:asciiTheme="minorHAnsi" w:eastAsia="Times New Roman" w:hAnsiTheme="minorHAnsi" w:cstheme="minorHAnsi"/>
          <w:sz w:val="22"/>
        </w:rPr>
        <w:t>The evaluation concluded that the VFA has and continues to be a leader in collaborating across Victorian government agencies</w:t>
      </w:r>
      <w:r w:rsidR="0045696D">
        <w:rPr>
          <w:rFonts w:asciiTheme="minorHAnsi" w:eastAsia="Times New Roman" w:hAnsiTheme="minorHAnsi" w:cstheme="minorHAnsi"/>
          <w:sz w:val="22"/>
        </w:rPr>
        <w:t>, which is evidenced by the achievements documented in the VFA’s Annual Reports, media releases and social media posts</w:t>
      </w:r>
      <w:r>
        <w:rPr>
          <w:rFonts w:asciiTheme="minorHAnsi" w:eastAsia="Times New Roman" w:hAnsiTheme="minorHAnsi" w:cstheme="minorHAnsi"/>
          <w:sz w:val="22"/>
        </w:rPr>
        <w:t>.</w:t>
      </w:r>
    </w:p>
    <w:p w14:paraId="79483910" w14:textId="0F7386C5" w:rsidR="002A0385" w:rsidRDefault="002A0385" w:rsidP="002A0385">
      <w:pPr>
        <w:spacing w:after="120"/>
        <w:rPr>
          <w:rFonts w:asciiTheme="minorHAnsi" w:eastAsia="Times New Roman" w:hAnsiTheme="minorHAnsi" w:cstheme="minorHAnsi"/>
          <w:sz w:val="22"/>
        </w:rPr>
      </w:pPr>
      <w:r>
        <w:rPr>
          <w:rFonts w:asciiTheme="minorHAnsi" w:eastAsia="Times New Roman" w:hAnsiTheme="minorHAnsi" w:cstheme="minorHAnsi"/>
          <w:sz w:val="22"/>
        </w:rPr>
        <w:t xml:space="preserve">Through the </w:t>
      </w:r>
      <w:r w:rsidRPr="001249AE">
        <w:rPr>
          <w:rFonts w:asciiTheme="minorHAnsi" w:eastAsia="Times New Roman" w:hAnsiTheme="minorHAnsi" w:cstheme="minorHAnsi"/>
          <w:i/>
          <w:iCs/>
          <w:sz w:val="22"/>
        </w:rPr>
        <w:t>Target One Million</w:t>
      </w:r>
      <w:r>
        <w:rPr>
          <w:rFonts w:asciiTheme="minorHAnsi" w:eastAsia="Times New Roman" w:hAnsiTheme="minorHAnsi" w:cstheme="minorHAnsi"/>
          <w:sz w:val="22"/>
        </w:rPr>
        <w:t xml:space="preserve"> program, the VFA has worked with recreational fishing stakeholders, land managers and Victorian Government agencies </w:t>
      </w:r>
      <w:r w:rsidR="00085BA4">
        <w:rPr>
          <w:rFonts w:asciiTheme="minorHAnsi" w:eastAsia="Times New Roman" w:hAnsiTheme="minorHAnsi" w:cstheme="minorHAnsi"/>
          <w:sz w:val="22"/>
        </w:rPr>
        <w:t>to</w:t>
      </w:r>
      <w:r>
        <w:rPr>
          <w:rFonts w:asciiTheme="minorHAnsi" w:eastAsia="Times New Roman" w:hAnsiTheme="minorHAnsi" w:cstheme="minorHAnsi"/>
          <w:sz w:val="22"/>
        </w:rPr>
        <w:t>:</w:t>
      </w:r>
    </w:p>
    <w:p w14:paraId="50801BE0" w14:textId="35EF20E1" w:rsidR="002A0385" w:rsidRDefault="0045696D" w:rsidP="009A7DB4">
      <w:pPr>
        <w:pStyle w:val="ListParagraph"/>
        <w:numPr>
          <w:ilvl w:val="0"/>
          <w:numId w:val="11"/>
        </w:numPr>
        <w:spacing w:after="160"/>
        <w:jc w:val="left"/>
        <w:rPr>
          <w:rFonts w:asciiTheme="minorHAnsi" w:eastAsia="Times New Roman" w:hAnsiTheme="minorHAnsi" w:cstheme="minorHAnsi"/>
          <w:sz w:val="22"/>
        </w:rPr>
      </w:pPr>
      <w:r>
        <w:rPr>
          <w:rFonts w:asciiTheme="minorHAnsi" w:eastAsia="Times New Roman" w:hAnsiTheme="minorHAnsi" w:cstheme="minorHAnsi"/>
          <w:sz w:val="22"/>
        </w:rPr>
        <w:t xml:space="preserve">Create new fisheries by stocking at least six million per year in 2019 and 2020 in over 250 waterways around Victoria.  This included stocking fish for the first time into urban lakes, which created year-round fishing opportunities for local communities. </w:t>
      </w:r>
    </w:p>
    <w:p w14:paraId="31CD3686" w14:textId="111F7C5E" w:rsidR="0045696D" w:rsidRDefault="0045696D" w:rsidP="009A7DB4">
      <w:pPr>
        <w:pStyle w:val="ListParagraph"/>
        <w:numPr>
          <w:ilvl w:val="0"/>
          <w:numId w:val="11"/>
        </w:numPr>
        <w:ind w:left="714" w:hanging="357"/>
        <w:contextualSpacing w:val="0"/>
        <w:jc w:val="left"/>
        <w:rPr>
          <w:rFonts w:asciiTheme="minorHAnsi" w:eastAsia="Times New Roman" w:hAnsiTheme="minorHAnsi" w:cstheme="minorHAnsi"/>
          <w:sz w:val="22"/>
        </w:rPr>
      </w:pPr>
      <w:r>
        <w:rPr>
          <w:rFonts w:asciiTheme="minorHAnsi" w:eastAsia="Times New Roman" w:hAnsiTheme="minorHAnsi" w:cstheme="minorHAnsi"/>
          <w:sz w:val="22"/>
        </w:rPr>
        <w:t>Invest $3.8 million into 64 projects, which received $21 million in co-investment, through the Better Fishing Facilities fund to deliver projects to improve recreational fishing access and facilities.  Grants of up to $100,000 were awarded to organisations including Incorporated Fishing Clubs, Crown Land Committees of Management, Local Government Authorities, Water Corporations, Catchment Management Authorities</w:t>
      </w:r>
      <w:r w:rsidR="00085BA4">
        <w:rPr>
          <w:rFonts w:asciiTheme="minorHAnsi" w:eastAsia="Times New Roman" w:hAnsiTheme="minorHAnsi" w:cstheme="minorHAnsi"/>
          <w:sz w:val="22"/>
        </w:rPr>
        <w:t>, and other government departments, such as Parks Victoria.</w:t>
      </w:r>
    </w:p>
    <w:p w14:paraId="30A8B126" w14:textId="5C3352FB" w:rsidR="00085BA4" w:rsidRDefault="00085BA4" w:rsidP="00085BA4">
      <w:pPr>
        <w:spacing w:after="160"/>
        <w:rPr>
          <w:rFonts w:asciiTheme="minorHAnsi" w:eastAsia="Times New Roman" w:hAnsiTheme="minorHAnsi" w:cstheme="minorHAnsi"/>
          <w:sz w:val="22"/>
        </w:rPr>
      </w:pPr>
      <w:r>
        <w:rPr>
          <w:rFonts w:asciiTheme="minorHAnsi" w:eastAsia="Times New Roman" w:hAnsiTheme="minorHAnsi" w:cstheme="minorHAnsi"/>
          <w:sz w:val="22"/>
        </w:rPr>
        <w:t xml:space="preserve">As part of </w:t>
      </w:r>
      <w:r w:rsidR="00B65EF4">
        <w:rPr>
          <w:rFonts w:asciiTheme="minorHAnsi" w:eastAsia="Times New Roman" w:hAnsiTheme="minorHAnsi" w:cstheme="minorHAnsi"/>
          <w:sz w:val="22"/>
        </w:rPr>
        <w:t xml:space="preserve">the </w:t>
      </w:r>
      <w:r>
        <w:rPr>
          <w:rFonts w:asciiTheme="minorHAnsi" w:eastAsia="Times New Roman" w:hAnsiTheme="minorHAnsi" w:cstheme="minorHAnsi"/>
          <w:sz w:val="22"/>
        </w:rPr>
        <w:t xml:space="preserve">second phase of </w:t>
      </w:r>
      <w:r w:rsidRPr="001249AE">
        <w:rPr>
          <w:rFonts w:asciiTheme="minorHAnsi" w:eastAsia="Times New Roman" w:hAnsiTheme="minorHAnsi" w:cstheme="minorHAnsi"/>
          <w:i/>
          <w:iCs/>
          <w:sz w:val="22"/>
        </w:rPr>
        <w:t>Target One Million</w:t>
      </w:r>
      <w:r>
        <w:rPr>
          <w:rFonts w:asciiTheme="minorHAnsi" w:eastAsia="Times New Roman" w:hAnsiTheme="minorHAnsi" w:cstheme="minorHAnsi"/>
          <w:sz w:val="22"/>
        </w:rPr>
        <w:t xml:space="preserve">, which </w:t>
      </w:r>
      <w:r w:rsidR="00B65EF4">
        <w:rPr>
          <w:rFonts w:asciiTheme="minorHAnsi" w:eastAsia="Times New Roman" w:hAnsiTheme="minorHAnsi" w:cstheme="minorHAnsi"/>
          <w:sz w:val="22"/>
        </w:rPr>
        <w:t xml:space="preserve">was announced as part of the </w:t>
      </w:r>
      <w:r w:rsidR="005F2475">
        <w:rPr>
          <w:rFonts w:asciiTheme="minorHAnsi" w:eastAsia="Times New Roman" w:hAnsiTheme="minorHAnsi" w:cstheme="minorHAnsi"/>
          <w:sz w:val="22"/>
        </w:rPr>
        <w:t>Andrews’ Government 2018 election commitments</w:t>
      </w:r>
      <w:r w:rsidR="00B65EF4">
        <w:rPr>
          <w:rFonts w:asciiTheme="minorHAnsi" w:eastAsia="Times New Roman" w:hAnsiTheme="minorHAnsi" w:cstheme="minorHAnsi"/>
          <w:sz w:val="22"/>
        </w:rPr>
        <w:t xml:space="preserve">, the VFA has commenced </w:t>
      </w:r>
      <w:r w:rsidR="005F2475">
        <w:rPr>
          <w:rFonts w:asciiTheme="minorHAnsi" w:eastAsia="Times New Roman" w:hAnsiTheme="minorHAnsi" w:cstheme="minorHAnsi"/>
          <w:sz w:val="22"/>
        </w:rPr>
        <w:t>further work to grow recreational fishing and habitat, including:</w:t>
      </w:r>
    </w:p>
    <w:p w14:paraId="57468DC3" w14:textId="77777777"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Increase fish stocking to 10 million fish annually by 2020;</w:t>
      </w:r>
    </w:p>
    <w:p w14:paraId="48B9557F" w14:textId="77777777"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 xml:space="preserve">Construct a new $7 million native fish hatchery in Shepparton to focus on species such as Murray cod and golden perch; </w:t>
      </w:r>
    </w:p>
    <w:p w14:paraId="0911B2F2" w14:textId="0D3E0EB8"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lastRenderedPageBreak/>
        <w:t>Phase</w:t>
      </w:r>
      <w:r>
        <w:rPr>
          <w:rFonts w:asciiTheme="minorHAnsi" w:eastAsia="Times New Roman" w:hAnsiTheme="minorHAnsi" w:cstheme="minorHAnsi"/>
          <w:sz w:val="22"/>
        </w:rPr>
        <w:t>-</w:t>
      </w:r>
      <w:r w:rsidRPr="005F2475">
        <w:rPr>
          <w:rFonts w:asciiTheme="minorHAnsi" w:eastAsia="Times New Roman" w:hAnsiTheme="minorHAnsi" w:cstheme="minorHAnsi"/>
          <w:sz w:val="22"/>
        </w:rPr>
        <w:t>out commercial fishing in the Gippsland Lakes through a compulsory buyout to make the Lakes a recreational fishing haven that will boost tourism and create jobs;</w:t>
      </w:r>
    </w:p>
    <w:p w14:paraId="070A9E2C" w14:textId="77777777"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 xml:space="preserve">Allow anglers to use boats and kayaks with electric motors on specified lakes and reservoirs, including Tullaroop, Lauriston, Hepburn, Barkers Creek, Upper Colliban and Malmsbury; </w:t>
      </w:r>
    </w:p>
    <w:p w14:paraId="3D62B090" w14:textId="77777777"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Allow access for fishing and camping by opening nominated areas of Crown land river frontage;</w:t>
      </w:r>
    </w:p>
    <w:p w14:paraId="0E1C4F18" w14:textId="77777777"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Build and/or upgrade a number of fishing platforms and fish cleaning tables with new and improved recreational fishing infrastructure;</w:t>
      </w:r>
    </w:p>
    <w:p w14:paraId="6F1309D5" w14:textId="5B40CC3E"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Improve fish habitat in Port Philip Bay by investing in reef development;</w:t>
      </w:r>
      <w:r>
        <w:rPr>
          <w:rFonts w:asciiTheme="minorHAnsi" w:eastAsia="Times New Roman" w:hAnsiTheme="minorHAnsi" w:cstheme="minorHAnsi"/>
          <w:sz w:val="22"/>
        </w:rPr>
        <w:t xml:space="preserve"> and</w:t>
      </w:r>
    </w:p>
    <w:p w14:paraId="486D2079" w14:textId="6D729083" w:rsidR="005F2475" w:rsidRPr="005F2475" w:rsidRDefault="005F2475" w:rsidP="009A7DB4">
      <w:pPr>
        <w:pStyle w:val="ListParagraph"/>
        <w:numPr>
          <w:ilvl w:val="0"/>
          <w:numId w:val="11"/>
        </w:numPr>
        <w:spacing w:after="160"/>
        <w:jc w:val="left"/>
        <w:rPr>
          <w:rFonts w:asciiTheme="minorHAnsi" w:eastAsia="Times New Roman" w:hAnsiTheme="minorHAnsi" w:cstheme="minorHAnsi"/>
          <w:sz w:val="22"/>
        </w:rPr>
      </w:pPr>
      <w:r w:rsidRPr="005F2475">
        <w:rPr>
          <w:rFonts w:asciiTheme="minorHAnsi" w:eastAsia="Times New Roman" w:hAnsiTheme="minorHAnsi" w:cstheme="minorHAnsi"/>
          <w:sz w:val="22"/>
        </w:rPr>
        <w:t>Invest in science and habitat restoration in the Gippsland Lakes to ensure the environment remains healthy</w:t>
      </w:r>
      <w:r>
        <w:rPr>
          <w:rFonts w:asciiTheme="minorHAnsi" w:eastAsia="Times New Roman" w:hAnsiTheme="minorHAnsi" w:cstheme="minorHAnsi"/>
          <w:sz w:val="22"/>
        </w:rPr>
        <w:t>.</w:t>
      </w:r>
    </w:p>
    <w:p w14:paraId="5AB1AE43" w14:textId="7663E6CE" w:rsidR="000F41AA" w:rsidRDefault="000F41AA" w:rsidP="00EB1206">
      <w:pPr>
        <w:spacing w:after="120"/>
        <w:rPr>
          <w:rFonts w:asciiTheme="minorHAnsi" w:eastAsia="Times New Roman" w:hAnsiTheme="minorHAnsi" w:cstheme="minorHAnsi"/>
          <w:sz w:val="22"/>
        </w:rPr>
      </w:pPr>
      <w:r>
        <w:rPr>
          <w:rFonts w:asciiTheme="minorHAnsi" w:eastAsia="Times New Roman" w:hAnsiTheme="minorHAnsi" w:cstheme="minorHAnsi"/>
          <w:sz w:val="22"/>
        </w:rPr>
        <w:t>In 2017-18, Victorian aquaculture production was estimated at approximately $58 million dollars, making it at a greater gross value than commercial fishing.  The VFA con</w:t>
      </w:r>
      <w:r w:rsidR="001D07D7">
        <w:rPr>
          <w:rFonts w:asciiTheme="minorHAnsi" w:eastAsia="Times New Roman" w:hAnsiTheme="minorHAnsi" w:cstheme="minorHAnsi"/>
          <w:sz w:val="22"/>
        </w:rPr>
        <w:t xml:space="preserve">tinues to strive to grow this sector and in doing so continues to </w:t>
      </w:r>
      <w:r w:rsidR="001D07D7" w:rsidRPr="004709CD">
        <w:rPr>
          <w:rFonts w:asciiTheme="minorHAnsi" w:hAnsiTheme="minorHAnsi" w:cstheme="minorHAnsi"/>
          <w:sz w:val="22"/>
        </w:rPr>
        <w:t xml:space="preserve">implement </w:t>
      </w:r>
      <w:r w:rsidR="001D07D7">
        <w:rPr>
          <w:rFonts w:asciiTheme="minorHAnsi" w:hAnsiTheme="minorHAnsi" w:cstheme="minorHAnsi"/>
          <w:sz w:val="22"/>
        </w:rPr>
        <w:t>the highest standards for the quality assurance of product.  The VFA has strong relationships with PrimeSafe and the Commonwealth Government, which are utilised to ensure e</w:t>
      </w:r>
      <w:r w:rsidR="001D07D7" w:rsidRPr="004709CD">
        <w:rPr>
          <w:rFonts w:asciiTheme="minorHAnsi" w:hAnsiTheme="minorHAnsi" w:cstheme="minorHAnsi"/>
          <w:sz w:val="22"/>
        </w:rPr>
        <w:t>xport standards</w:t>
      </w:r>
      <w:r w:rsidR="001D07D7">
        <w:rPr>
          <w:rFonts w:asciiTheme="minorHAnsi" w:hAnsiTheme="minorHAnsi" w:cstheme="minorHAnsi"/>
          <w:sz w:val="22"/>
        </w:rPr>
        <w:t xml:space="preserve"> are upheld and </w:t>
      </w:r>
      <w:r w:rsidR="001D07D7">
        <w:rPr>
          <w:rFonts w:asciiTheme="minorHAnsi" w:eastAsia="Times New Roman" w:hAnsiTheme="minorHAnsi" w:cstheme="minorHAnsi"/>
          <w:sz w:val="22"/>
        </w:rPr>
        <w:t>risks associated with marine biotoxins are negated.</w:t>
      </w:r>
    </w:p>
    <w:p w14:paraId="523214FD" w14:textId="65B920E3" w:rsidR="00586CD1" w:rsidRPr="004709CD" w:rsidRDefault="001D07D7" w:rsidP="00EB1206">
      <w:pPr>
        <w:spacing w:after="120"/>
        <w:rPr>
          <w:rFonts w:asciiTheme="minorHAnsi" w:eastAsia="Times New Roman" w:hAnsiTheme="minorHAnsi" w:cstheme="minorHAnsi"/>
          <w:sz w:val="22"/>
        </w:rPr>
      </w:pPr>
      <w:r>
        <w:rPr>
          <w:rFonts w:asciiTheme="minorHAnsi" w:eastAsia="Times New Roman" w:hAnsiTheme="minorHAnsi" w:cstheme="minorHAnsi"/>
          <w:sz w:val="22"/>
        </w:rPr>
        <w:t xml:space="preserve">To reinforce the collaboration between VFA Fisheries Officers and </w:t>
      </w:r>
      <w:r w:rsidR="000F41AA">
        <w:rPr>
          <w:rFonts w:asciiTheme="minorHAnsi" w:eastAsia="Times New Roman" w:hAnsiTheme="minorHAnsi" w:cstheme="minorHAnsi"/>
          <w:sz w:val="22"/>
        </w:rPr>
        <w:t xml:space="preserve">DELWP officers </w:t>
      </w:r>
      <w:r>
        <w:rPr>
          <w:rFonts w:asciiTheme="minorHAnsi" w:eastAsia="Times New Roman" w:hAnsiTheme="minorHAnsi" w:cstheme="minorHAnsi"/>
          <w:sz w:val="22"/>
        </w:rPr>
        <w:t>for shared issues such as limiting interactions and impacts on protected species, staff from both organisations have undertaken joint training activities, such as whale disentanglements</w:t>
      </w:r>
      <w:r w:rsidR="007802DB">
        <w:rPr>
          <w:rFonts w:asciiTheme="minorHAnsi" w:eastAsia="Times New Roman" w:hAnsiTheme="minorHAnsi" w:cstheme="minorHAnsi"/>
          <w:sz w:val="22"/>
        </w:rPr>
        <w:t xml:space="preserve"> and native fish salvages (moving native fish out of danger from a drying water system)</w:t>
      </w:r>
      <w:r>
        <w:rPr>
          <w:rFonts w:asciiTheme="minorHAnsi" w:eastAsia="Times New Roman" w:hAnsiTheme="minorHAnsi" w:cstheme="minorHAnsi"/>
          <w:sz w:val="22"/>
        </w:rPr>
        <w:t xml:space="preserve">. </w:t>
      </w:r>
      <w:r w:rsidR="005362FC">
        <w:rPr>
          <w:rFonts w:asciiTheme="minorHAnsi" w:eastAsia="Times New Roman" w:hAnsiTheme="minorHAnsi" w:cstheme="minorHAnsi"/>
          <w:sz w:val="22"/>
        </w:rPr>
        <w:t xml:space="preserve"> </w:t>
      </w:r>
      <w:r w:rsidR="007802DB">
        <w:rPr>
          <w:rFonts w:asciiTheme="minorHAnsi" w:eastAsia="Times New Roman" w:hAnsiTheme="minorHAnsi" w:cstheme="minorHAnsi"/>
          <w:sz w:val="22"/>
        </w:rPr>
        <w:t>To assist Marine Safety Victoria, the VFA’s Fisheries Officers adopted the role of inspecting recreational fishing vessels to ensure they comply with regulations.</w:t>
      </w:r>
      <w:r w:rsidR="005362FC">
        <w:rPr>
          <w:rFonts w:asciiTheme="minorHAnsi" w:eastAsia="Times New Roman" w:hAnsiTheme="minorHAnsi" w:cstheme="minorHAnsi"/>
          <w:sz w:val="22"/>
        </w:rPr>
        <w:t xml:space="preserve">  </w:t>
      </w:r>
      <w:r w:rsidR="007802DB">
        <w:rPr>
          <w:rFonts w:asciiTheme="minorHAnsi" w:eastAsia="Times New Roman" w:hAnsiTheme="minorHAnsi" w:cstheme="minorHAnsi"/>
          <w:sz w:val="22"/>
        </w:rPr>
        <w:t xml:space="preserve">To assist other Victorian regulators and </w:t>
      </w:r>
      <w:r w:rsidR="005362FC">
        <w:rPr>
          <w:rFonts w:asciiTheme="minorHAnsi" w:eastAsia="Times New Roman" w:hAnsiTheme="minorHAnsi" w:cstheme="minorHAnsi"/>
          <w:sz w:val="22"/>
        </w:rPr>
        <w:t xml:space="preserve">to </w:t>
      </w:r>
      <w:r w:rsidR="007802DB">
        <w:rPr>
          <w:rFonts w:asciiTheme="minorHAnsi" w:eastAsia="Times New Roman" w:hAnsiTheme="minorHAnsi" w:cstheme="minorHAnsi"/>
          <w:sz w:val="22"/>
        </w:rPr>
        <w:t>share enforcement knowledge and experience across Victoria</w:t>
      </w:r>
      <w:r w:rsidR="005362FC">
        <w:rPr>
          <w:rFonts w:asciiTheme="minorHAnsi" w:eastAsia="Times New Roman" w:hAnsiTheme="minorHAnsi" w:cstheme="minorHAnsi"/>
          <w:sz w:val="22"/>
        </w:rPr>
        <w:t xml:space="preserve">, </w:t>
      </w:r>
      <w:r w:rsidR="007802DB">
        <w:rPr>
          <w:rFonts w:asciiTheme="minorHAnsi" w:eastAsia="Times New Roman" w:hAnsiTheme="minorHAnsi" w:cstheme="minorHAnsi"/>
          <w:sz w:val="22"/>
        </w:rPr>
        <w:t>the VFA organised and facilitated a National Fisheries Crime Prevention Conference</w:t>
      </w:r>
      <w:r w:rsidR="005362FC">
        <w:rPr>
          <w:rFonts w:asciiTheme="minorHAnsi" w:eastAsia="Times New Roman" w:hAnsiTheme="minorHAnsi" w:cstheme="minorHAnsi"/>
          <w:sz w:val="22"/>
        </w:rPr>
        <w:t xml:space="preserve"> in 2019</w:t>
      </w:r>
      <w:r w:rsidR="007802DB">
        <w:rPr>
          <w:rFonts w:asciiTheme="minorHAnsi" w:eastAsia="Times New Roman" w:hAnsiTheme="minorHAnsi" w:cstheme="minorHAnsi"/>
          <w:sz w:val="22"/>
        </w:rPr>
        <w:t xml:space="preserve">. </w:t>
      </w:r>
      <w:r w:rsidR="003B2857">
        <w:rPr>
          <w:rFonts w:asciiTheme="minorHAnsi" w:eastAsia="Times New Roman" w:hAnsiTheme="minorHAnsi" w:cstheme="minorHAnsi"/>
          <w:sz w:val="22"/>
        </w:rPr>
        <w:t xml:space="preserve"> A key element of the conference was the development of effective prevention programs that focus on empowering communities and educating to change values, attitudes and behaviours.</w:t>
      </w:r>
    </w:p>
    <w:p w14:paraId="110FE67E" w14:textId="71AB9020" w:rsidR="00C406AE" w:rsidRPr="003779D2" w:rsidRDefault="00586CD1" w:rsidP="009A7DB4">
      <w:pPr>
        <w:pStyle w:val="ListParagraph"/>
        <w:numPr>
          <w:ilvl w:val="0"/>
          <w:numId w:val="7"/>
        </w:numPr>
        <w:spacing w:before="240"/>
        <w:ind w:left="425" w:hanging="425"/>
        <w:contextualSpacing w:val="0"/>
        <w:rPr>
          <w:rFonts w:asciiTheme="minorHAnsi" w:eastAsia="Times New Roman" w:hAnsiTheme="minorHAnsi" w:cstheme="minorHAnsi"/>
          <w:b/>
          <w:bCs/>
          <w:sz w:val="22"/>
        </w:rPr>
      </w:pPr>
      <w:r>
        <w:rPr>
          <w:rFonts w:asciiTheme="minorHAnsi" w:eastAsia="Times New Roman" w:hAnsiTheme="minorHAnsi" w:cstheme="minorHAnsi"/>
          <w:b/>
          <w:bCs/>
          <w:sz w:val="22"/>
        </w:rPr>
        <w:t>Stakeholder consultation and engagement</w:t>
      </w:r>
    </w:p>
    <w:tbl>
      <w:tblPr>
        <w:tblStyle w:val="TableGrid"/>
        <w:tblW w:w="9634" w:type="dxa"/>
        <w:tblLook w:val="04A0" w:firstRow="1" w:lastRow="0" w:firstColumn="1" w:lastColumn="0" w:noHBand="0" w:noVBand="1"/>
      </w:tblPr>
      <w:tblGrid>
        <w:gridCol w:w="9634"/>
      </w:tblGrid>
      <w:tr w:rsidR="00C406AE" w:rsidRPr="005A4D08" w14:paraId="60E8EC14" w14:textId="77777777" w:rsidTr="00E03ABD">
        <w:tc>
          <w:tcPr>
            <w:tcW w:w="9634" w:type="dxa"/>
            <w:tcBorders>
              <w:bottom w:val="single" w:sz="4" w:space="0" w:color="000000"/>
            </w:tcBorders>
            <w:shd w:val="clear" w:color="auto" w:fill="407798" w:themeFill="text2"/>
            <w:vAlign w:val="center"/>
          </w:tcPr>
          <w:p w14:paraId="2A0A1C35" w14:textId="77777777" w:rsidR="00C406AE" w:rsidRPr="00BF427B" w:rsidRDefault="00C406AE" w:rsidP="000D26F0">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C406AE" w:rsidRPr="005A4D08" w14:paraId="6BA478CA" w14:textId="77777777" w:rsidTr="00E03ABD">
        <w:tc>
          <w:tcPr>
            <w:tcW w:w="9634" w:type="dxa"/>
            <w:tcBorders>
              <w:bottom w:val="single" w:sz="4" w:space="0" w:color="auto"/>
            </w:tcBorders>
          </w:tcPr>
          <w:p w14:paraId="13056FD7" w14:textId="77777777" w:rsidR="00C406AE" w:rsidRPr="004355B7"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sz w:val="22"/>
              </w:rPr>
              <w:t>Continue to actively engage and work with commercial and recreational fishers, aquaculture licence holders and Traditional Owner groups who have a direct interest in decisions that affect their fishing entitlements.</w:t>
            </w:r>
          </w:p>
          <w:p w14:paraId="7D28F177" w14:textId="4E893DFA" w:rsidR="00586CD1" w:rsidRPr="004355B7" w:rsidRDefault="00586CD1" w:rsidP="009A7DB4">
            <w:pPr>
              <w:pStyle w:val="ListParagraph"/>
              <w:numPr>
                <w:ilvl w:val="0"/>
                <w:numId w:val="8"/>
              </w:numPr>
              <w:spacing w:before="120"/>
              <w:ind w:left="317" w:hanging="284"/>
              <w:contextualSpacing w:val="0"/>
              <w:jc w:val="left"/>
              <w:rPr>
                <w:sz w:val="22"/>
              </w:rPr>
            </w:pPr>
            <w:r w:rsidRPr="004355B7">
              <w:rPr>
                <w:sz w:val="22"/>
              </w:rPr>
              <w:t xml:space="preserve">Pursue genuine engagement, partnership and participation with Indigenous Victorians, in accordance with the </w:t>
            </w:r>
            <w:r w:rsidRPr="004355B7">
              <w:rPr>
                <w:i/>
                <w:iCs/>
                <w:sz w:val="22"/>
              </w:rPr>
              <w:t>DEDJTR Aboriginal Inclusion Action Plan 2016-18</w:t>
            </w:r>
            <w:r w:rsidRPr="004355B7">
              <w:rPr>
                <w:sz w:val="22"/>
              </w:rPr>
              <w:t xml:space="preserve">, participate in Native Title Settlement discussions across Government and with Traditional Owner Groups in relation to operational fishery management issues, and continue to work with the Aboriginal community and fishing stakeholders to pursue the outcomes of the </w:t>
            </w:r>
            <w:r w:rsidRPr="004355B7">
              <w:rPr>
                <w:i/>
                <w:iCs/>
                <w:sz w:val="22"/>
              </w:rPr>
              <w:t>Victorian Aboriginal Fishing Strategy</w:t>
            </w:r>
            <w:r w:rsidRPr="004355B7">
              <w:rPr>
                <w:sz w:val="22"/>
              </w:rPr>
              <w:t xml:space="preserve">. </w:t>
            </w:r>
          </w:p>
          <w:p w14:paraId="10AF742B" w14:textId="77777777" w:rsidR="00586CD1" w:rsidRPr="004355B7"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sz w:val="22"/>
              </w:rPr>
              <w:t xml:space="preserve">Continue to work with relevant stakeholders to implement the </w:t>
            </w:r>
            <w:r w:rsidRPr="004355B7">
              <w:rPr>
                <w:i/>
                <w:iCs/>
                <w:sz w:val="22"/>
              </w:rPr>
              <w:t>Victorian Aquaculture Strategy</w:t>
            </w:r>
            <w:r w:rsidRPr="004355B7">
              <w:rPr>
                <w:sz w:val="22"/>
              </w:rPr>
              <w:t>.</w:t>
            </w:r>
          </w:p>
          <w:p w14:paraId="722554F1" w14:textId="77777777" w:rsidR="00586CD1" w:rsidRPr="004355B7"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rFonts w:eastAsia="Times New Roman" w:cs="Times New Roman"/>
                <w:sz w:val="22"/>
              </w:rPr>
              <w:t>Enhance relationships with other stakeholders with an interest in fisheries management, including community groups, environment groups and other relevant stakeholders.</w:t>
            </w:r>
          </w:p>
          <w:p w14:paraId="195685AB" w14:textId="77777777" w:rsidR="00586CD1" w:rsidRPr="004355B7"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rFonts w:asciiTheme="minorHAnsi" w:hAnsiTheme="minorHAnsi" w:cstheme="minorHAnsi"/>
                <w:sz w:val="22"/>
              </w:rPr>
              <w:t>The VFA’s website should provide accurate, timely and transparent information to encourage responsible fishing practices and to engage stakeholders to participate in fishery management processes and decisions.</w:t>
            </w:r>
          </w:p>
          <w:p w14:paraId="0DC690E7" w14:textId="34F86FF0" w:rsidR="00586CD1" w:rsidRPr="004355B7"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rFonts w:asciiTheme="minorHAnsi" w:hAnsiTheme="minorHAnsi" w:cstheme="minorHAnsi"/>
                <w:sz w:val="22"/>
              </w:rPr>
              <w:t>Build on contemporary communications approaches, such as Facebook, Instagram, Snapchat and Twitter, to engage with Victorian fishers and stakeholders in ways that recognise social, generational, cultural and linguistic diversity.</w:t>
            </w:r>
          </w:p>
          <w:p w14:paraId="5541590D" w14:textId="77777777" w:rsidR="00586CD1" w:rsidRPr="004355B7"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rFonts w:asciiTheme="minorHAnsi" w:hAnsiTheme="minorHAnsi" w:cstheme="minorHAnsi"/>
                <w:sz w:val="22"/>
              </w:rPr>
              <w:t>Develop and implement approaches specifically targeted at stakeholders with lower engagement in fisheries management, including women, to encourage their participation and grow the recreational fishing community.</w:t>
            </w:r>
          </w:p>
          <w:p w14:paraId="62B59866" w14:textId="07E184AD" w:rsidR="00586CD1" w:rsidRPr="00C406AE" w:rsidRDefault="00586CD1" w:rsidP="009A7DB4">
            <w:pPr>
              <w:pStyle w:val="ListParagraph"/>
              <w:numPr>
                <w:ilvl w:val="0"/>
                <w:numId w:val="8"/>
              </w:numPr>
              <w:spacing w:before="120"/>
              <w:ind w:left="317" w:hanging="284"/>
              <w:contextualSpacing w:val="0"/>
              <w:jc w:val="left"/>
              <w:rPr>
                <w:rFonts w:asciiTheme="minorHAnsi" w:hAnsiTheme="minorHAnsi" w:cstheme="minorHAnsi"/>
                <w:sz w:val="22"/>
              </w:rPr>
            </w:pPr>
            <w:r w:rsidRPr="004355B7">
              <w:rPr>
                <w:rFonts w:asciiTheme="minorHAnsi" w:hAnsiTheme="minorHAnsi" w:cstheme="minorHAnsi"/>
                <w:sz w:val="22"/>
              </w:rPr>
              <w:lastRenderedPageBreak/>
              <w:t>Participate in the many community events and festivals that are held across the State each year, with a continued focus on growing participation in sustainable recreational fishing activities and encouraging responsible fishing practices.</w:t>
            </w:r>
          </w:p>
        </w:tc>
      </w:tr>
      <w:tr w:rsidR="00C406AE" w:rsidRPr="00ED7DC7" w14:paraId="5A95061F" w14:textId="77777777" w:rsidTr="00E03ABD">
        <w:tc>
          <w:tcPr>
            <w:tcW w:w="9634" w:type="dxa"/>
            <w:tcBorders>
              <w:top w:val="single" w:sz="4" w:space="0" w:color="auto"/>
            </w:tcBorders>
            <w:shd w:val="clear" w:color="auto" w:fill="D5E4ED" w:themeFill="text2" w:themeFillTint="33"/>
          </w:tcPr>
          <w:p w14:paraId="1FBAC144" w14:textId="77777777" w:rsidR="00C406AE" w:rsidRPr="00ED7DC7" w:rsidRDefault="00C406AE" w:rsidP="000D26F0">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lastRenderedPageBreak/>
              <w:t>VFA Improvement Response</w:t>
            </w:r>
          </w:p>
        </w:tc>
      </w:tr>
      <w:tr w:rsidR="00C406AE" w:rsidRPr="005A4D08" w14:paraId="2C2ABCC7" w14:textId="77777777" w:rsidTr="000D26F0">
        <w:tc>
          <w:tcPr>
            <w:tcW w:w="9634" w:type="dxa"/>
          </w:tcPr>
          <w:p w14:paraId="330988ED" w14:textId="77777777" w:rsidR="00C406AE" w:rsidRPr="00306752" w:rsidRDefault="00306752"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306752">
              <w:rPr>
                <w:rFonts w:asciiTheme="minorHAnsi" w:hAnsiTheme="minorHAnsi" w:cstheme="minorHAnsi"/>
                <w:sz w:val="22"/>
              </w:rPr>
              <w:t>Establish partnerships with educational institutions to provide training opportunities for Traditional Owners to improve their capacity and capability to contribute to fisheries management on country</w:t>
            </w:r>
            <w:r>
              <w:rPr>
                <w:rFonts w:asciiTheme="minorHAnsi" w:hAnsiTheme="minorHAnsi" w:cstheme="minorHAnsi"/>
                <w:sz w:val="22"/>
              </w:rPr>
              <w:t>.</w:t>
            </w:r>
          </w:p>
          <w:p w14:paraId="50912AE3" w14:textId="77777777" w:rsidR="00306752" w:rsidRDefault="00306752"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306752">
              <w:rPr>
                <w:rFonts w:asciiTheme="minorHAnsi" w:eastAsia="Times New Roman" w:hAnsiTheme="minorHAnsi" w:cstheme="minorHAnsi"/>
                <w:sz w:val="22"/>
              </w:rPr>
              <w:t>Increase the use of targeted engagement of priority stakeholder groups such as women fishers on the Facebook platform</w:t>
            </w:r>
            <w:r>
              <w:rPr>
                <w:rFonts w:asciiTheme="minorHAnsi" w:eastAsia="Times New Roman" w:hAnsiTheme="minorHAnsi" w:cstheme="minorHAnsi"/>
                <w:sz w:val="22"/>
              </w:rPr>
              <w:t>.</w:t>
            </w:r>
          </w:p>
          <w:p w14:paraId="77DA038D" w14:textId="77777777" w:rsidR="00306752" w:rsidRDefault="00306752"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306752">
              <w:rPr>
                <w:rFonts w:asciiTheme="minorHAnsi" w:eastAsia="Times New Roman" w:hAnsiTheme="minorHAnsi" w:cstheme="minorHAnsi"/>
                <w:sz w:val="22"/>
              </w:rPr>
              <w:t>Investigate the use of the WeChat social networking platform to increase the VFA’s engagement with Chinese language speakers</w:t>
            </w:r>
            <w:r>
              <w:rPr>
                <w:rFonts w:asciiTheme="minorHAnsi" w:eastAsia="Times New Roman" w:hAnsiTheme="minorHAnsi" w:cstheme="minorHAnsi"/>
                <w:sz w:val="22"/>
              </w:rPr>
              <w:t>.</w:t>
            </w:r>
          </w:p>
          <w:p w14:paraId="2218CAD9" w14:textId="10982C38" w:rsidR="00306752" w:rsidRPr="00D61F1A" w:rsidRDefault="00306752" w:rsidP="009A7DB4">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306752">
              <w:rPr>
                <w:rFonts w:asciiTheme="minorHAnsi" w:eastAsia="Times New Roman" w:hAnsiTheme="minorHAnsi" w:cstheme="minorHAnsi"/>
                <w:sz w:val="22"/>
              </w:rPr>
              <w:t>Plan and deliver new events in conjunction with stakeholders including local government, Regional Development Victoria, Seafood Industry Victoria and VRFish</w:t>
            </w:r>
            <w:r>
              <w:rPr>
                <w:rFonts w:asciiTheme="minorHAnsi" w:eastAsia="Times New Roman" w:hAnsiTheme="minorHAnsi" w:cstheme="minorHAnsi"/>
                <w:sz w:val="22"/>
              </w:rPr>
              <w:t>.</w:t>
            </w:r>
          </w:p>
        </w:tc>
      </w:tr>
    </w:tbl>
    <w:p w14:paraId="622CF559" w14:textId="194EDF3C" w:rsidR="00EB1206" w:rsidRDefault="00EB1206" w:rsidP="00EB1206">
      <w:pPr>
        <w:spacing w:after="120"/>
        <w:rPr>
          <w:rFonts w:asciiTheme="minorHAnsi" w:eastAsia="Times New Roman" w:hAnsiTheme="minorHAnsi" w:cstheme="minorHAnsi"/>
          <w:sz w:val="22"/>
        </w:rPr>
      </w:pPr>
      <w:r w:rsidRPr="00EB1206">
        <w:rPr>
          <w:rFonts w:asciiTheme="minorHAnsi" w:eastAsia="Times New Roman" w:hAnsiTheme="minorHAnsi" w:cstheme="minorHAnsi"/>
          <w:sz w:val="22"/>
        </w:rPr>
        <w:t xml:space="preserve">The evaluation concluded that the VFA is </w:t>
      </w:r>
      <w:r>
        <w:rPr>
          <w:rFonts w:asciiTheme="minorHAnsi" w:eastAsia="Times New Roman" w:hAnsiTheme="minorHAnsi" w:cstheme="minorHAnsi"/>
          <w:sz w:val="22"/>
        </w:rPr>
        <w:t xml:space="preserve">exceptionally strong in its stakeholder consultation and engagement, both through formal processes and </w:t>
      </w:r>
      <w:r w:rsidR="00E03ABD">
        <w:rPr>
          <w:rFonts w:asciiTheme="minorHAnsi" w:eastAsia="Times New Roman" w:hAnsiTheme="minorHAnsi" w:cstheme="minorHAnsi"/>
          <w:sz w:val="22"/>
        </w:rPr>
        <w:t xml:space="preserve">through public </w:t>
      </w:r>
      <w:r w:rsidR="004355B7">
        <w:rPr>
          <w:rFonts w:asciiTheme="minorHAnsi" w:eastAsia="Times New Roman" w:hAnsiTheme="minorHAnsi" w:cstheme="minorHAnsi"/>
          <w:sz w:val="22"/>
        </w:rPr>
        <w:t>engagement such as events, conferences, and festivals.</w:t>
      </w:r>
    </w:p>
    <w:p w14:paraId="73F8972A" w14:textId="3237E7BD" w:rsidR="00EB1206" w:rsidRDefault="004355B7" w:rsidP="009C092F">
      <w:pPr>
        <w:spacing w:after="120"/>
        <w:rPr>
          <w:rFonts w:asciiTheme="minorHAnsi" w:eastAsia="Times New Roman" w:hAnsiTheme="minorHAnsi" w:cstheme="minorHAnsi"/>
          <w:sz w:val="22"/>
        </w:rPr>
      </w:pPr>
      <w:r w:rsidRPr="009C092F">
        <w:rPr>
          <w:rFonts w:asciiTheme="minorHAnsi" w:eastAsia="Times New Roman" w:hAnsiTheme="minorHAnsi" w:cstheme="minorHAnsi"/>
          <w:sz w:val="22"/>
        </w:rPr>
        <w:t xml:space="preserve">The VFA has continued to actively engage with </w:t>
      </w:r>
      <w:r w:rsidR="009C092F" w:rsidRPr="009C092F">
        <w:rPr>
          <w:rFonts w:asciiTheme="minorHAnsi" w:eastAsia="Times New Roman" w:hAnsiTheme="minorHAnsi" w:cstheme="minorHAnsi"/>
          <w:sz w:val="22"/>
        </w:rPr>
        <w:t xml:space="preserve">commercial and recreational fishers, aquaculture licence holders and Traditional Owner groups who have a direct interest in decisions that affect their fishing entitlements.  </w:t>
      </w:r>
      <w:r w:rsidR="00EB1206">
        <w:rPr>
          <w:rFonts w:asciiTheme="minorHAnsi" w:eastAsia="Times New Roman" w:hAnsiTheme="minorHAnsi" w:cstheme="minorHAnsi"/>
          <w:sz w:val="22"/>
        </w:rPr>
        <w:t>The VFA has established formal representative groups from the recreational and commercial fishing sectors, such as the State-wide Recreational</w:t>
      </w:r>
      <w:r w:rsidR="009D0594">
        <w:rPr>
          <w:rFonts w:asciiTheme="minorHAnsi" w:eastAsia="Times New Roman" w:hAnsiTheme="minorHAnsi" w:cstheme="minorHAnsi"/>
          <w:sz w:val="22"/>
        </w:rPr>
        <w:t xml:space="preserve"> Fishing</w:t>
      </w:r>
      <w:r w:rsidR="00EB1206">
        <w:rPr>
          <w:rFonts w:asciiTheme="minorHAnsi" w:eastAsia="Times New Roman" w:hAnsiTheme="minorHAnsi" w:cstheme="minorHAnsi"/>
          <w:sz w:val="22"/>
        </w:rPr>
        <w:t xml:space="preserve"> Roundtable and the Aquatic </w:t>
      </w:r>
      <w:r w:rsidR="009D0594">
        <w:rPr>
          <w:rFonts w:asciiTheme="minorHAnsi" w:eastAsia="Times New Roman" w:hAnsiTheme="minorHAnsi" w:cstheme="minorHAnsi"/>
          <w:sz w:val="22"/>
        </w:rPr>
        <w:t xml:space="preserve">Strategic Action Group, to lead collaborative decision making and management of Victoria’s fisheries resources. </w:t>
      </w:r>
      <w:r w:rsidR="009C092F">
        <w:rPr>
          <w:rFonts w:asciiTheme="minorHAnsi" w:eastAsia="Times New Roman" w:hAnsiTheme="minorHAnsi" w:cstheme="minorHAnsi"/>
          <w:sz w:val="22"/>
        </w:rPr>
        <w:t xml:space="preserve"> The implementation of all fisheries management plan, recovery plans and strategies – including the Aquaculture Strategy – is done in consultation </w:t>
      </w:r>
      <w:r w:rsidR="003262F5">
        <w:rPr>
          <w:rFonts w:asciiTheme="minorHAnsi" w:eastAsia="Times New Roman" w:hAnsiTheme="minorHAnsi" w:cstheme="minorHAnsi"/>
          <w:sz w:val="22"/>
        </w:rPr>
        <w:t>with relevant stakeholders.</w:t>
      </w:r>
    </w:p>
    <w:p w14:paraId="4CBE34A4" w14:textId="6E1B1817" w:rsidR="00CF5252" w:rsidRPr="00EB1206" w:rsidRDefault="00EB1206" w:rsidP="00EB1206">
      <w:pPr>
        <w:spacing w:after="120"/>
        <w:rPr>
          <w:rFonts w:asciiTheme="minorHAnsi" w:eastAsia="Times New Roman" w:hAnsiTheme="minorHAnsi" w:cstheme="minorHAnsi"/>
          <w:sz w:val="22"/>
        </w:rPr>
      </w:pPr>
      <w:r w:rsidRPr="00EB1206">
        <w:rPr>
          <w:rFonts w:asciiTheme="minorHAnsi" w:eastAsia="Times New Roman" w:hAnsiTheme="minorHAnsi" w:cstheme="minorHAnsi"/>
          <w:sz w:val="22"/>
        </w:rPr>
        <w:t>The VFA recognises the strong connection to country and understands that it is the pathway to achieving sustainable increases in the capacity and performance of Indigenous fisheries, collectively and for individual communities.</w:t>
      </w:r>
      <w:r w:rsidR="009D0594">
        <w:rPr>
          <w:rFonts w:asciiTheme="minorHAnsi" w:eastAsia="Times New Roman" w:hAnsiTheme="minorHAnsi" w:cstheme="minorHAnsi"/>
          <w:sz w:val="22"/>
        </w:rPr>
        <w:t xml:space="preserve">  To pursue engagement and increase opportunities for Indigenous Victorians, the VFA has:</w:t>
      </w:r>
    </w:p>
    <w:p w14:paraId="5B9A6353" w14:textId="77777777" w:rsidR="00AB0062" w:rsidRDefault="00EC1674" w:rsidP="009A7DB4">
      <w:pPr>
        <w:pStyle w:val="ListParagraph"/>
        <w:numPr>
          <w:ilvl w:val="0"/>
          <w:numId w:val="11"/>
        </w:numPr>
        <w:spacing w:after="160"/>
        <w:jc w:val="left"/>
        <w:rPr>
          <w:rFonts w:asciiTheme="minorHAnsi" w:eastAsia="Times New Roman" w:hAnsiTheme="minorHAnsi" w:cstheme="minorHAnsi"/>
          <w:sz w:val="22"/>
        </w:rPr>
      </w:pPr>
      <w:r>
        <w:rPr>
          <w:rFonts w:asciiTheme="minorHAnsi" w:eastAsia="Times New Roman" w:hAnsiTheme="minorHAnsi" w:cstheme="minorHAnsi"/>
          <w:sz w:val="22"/>
        </w:rPr>
        <w:t xml:space="preserve">Commenced the </w:t>
      </w:r>
      <w:r w:rsidR="00843993">
        <w:rPr>
          <w:rFonts w:asciiTheme="minorHAnsi" w:eastAsia="Times New Roman" w:hAnsiTheme="minorHAnsi" w:cstheme="minorHAnsi"/>
          <w:sz w:val="22"/>
        </w:rPr>
        <w:t xml:space="preserve">development of the VFA Aboriginal Engagement Strategy </w:t>
      </w:r>
    </w:p>
    <w:p w14:paraId="570D5FB1" w14:textId="4FDC9058" w:rsidR="009D0594" w:rsidRPr="009D0594" w:rsidRDefault="009D0594" w:rsidP="009A7DB4">
      <w:pPr>
        <w:pStyle w:val="ListParagraph"/>
        <w:numPr>
          <w:ilvl w:val="0"/>
          <w:numId w:val="11"/>
        </w:numPr>
        <w:spacing w:after="160"/>
        <w:jc w:val="left"/>
        <w:rPr>
          <w:rFonts w:asciiTheme="minorHAnsi" w:eastAsia="Times New Roman" w:hAnsiTheme="minorHAnsi" w:cstheme="minorHAnsi"/>
          <w:sz w:val="22"/>
        </w:rPr>
      </w:pPr>
      <w:r w:rsidRPr="009D0594">
        <w:rPr>
          <w:rFonts w:asciiTheme="minorHAnsi" w:eastAsia="Times New Roman" w:hAnsiTheme="minorHAnsi" w:cstheme="minorHAnsi"/>
          <w:sz w:val="22"/>
        </w:rPr>
        <w:t>Commenced the revision and redevelopment of the VFA’s Aboriginal Fishing Strategy</w:t>
      </w:r>
      <w:r>
        <w:rPr>
          <w:rFonts w:asciiTheme="minorHAnsi" w:eastAsia="Times New Roman" w:hAnsiTheme="minorHAnsi" w:cstheme="minorHAnsi"/>
          <w:sz w:val="22"/>
        </w:rPr>
        <w:t>;</w:t>
      </w:r>
    </w:p>
    <w:p w14:paraId="371CF26D" w14:textId="5E0BD326" w:rsidR="009D0594" w:rsidRPr="009D0594" w:rsidRDefault="009D0594" w:rsidP="009A7DB4">
      <w:pPr>
        <w:pStyle w:val="ListParagraph"/>
        <w:numPr>
          <w:ilvl w:val="0"/>
          <w:numId w:val="11"/>
        </w:numPr>
        <w:spacing w:after="160"/>
        <w:jc w:val="left"/>
        <w:rPr>
          <w:rFonts w:asciiTheme="minorHAnsi" w:eastAsia="Times New Roman" w:hAnsiTheme="minorHAnsi" w:cstheme="minorHAnsi"/>
          <w:sz w:val="22"/>
        </w:rPr>
      </w:pPr>
      <w:r w:rsidRPr="009D0594">
        <w:rPr>
          <w:rFonts w:asciiTheme="minorHAnsi" w:eastAsia="Times New Roman" w:hAnsiTheme="minorHAnsi" w:cstheme="minorHAnsi"/>
          <w:sz w:val="22"/>
        </w:rPr>
        <w:t>Committed to supporting Indigenous employment in Shepparton, with the new native fish hatchery to employ Indigenous people for up to half of the workforce</w:t>
      </w:r>
      <w:r>
        <w:rPr>
          <w:rFonts w:asciiTheme="minorHAnsi" w:eastAsia="Times New Roman" w:hAnsiTheme="minorHAnsi" w:cstheme="minorHAnsi"/>
          <w:sz w:val="22"/>
        </w:rPr>
        <w:t>; and</w:t>
      </w:r>
    </w:p>
    <w:p w14:paraId="136FD84B" w14:textId="4A4C9C2E" w:rsidR="005A2E78" w:rsidRPr="005A2E78" w:rsidRDefault="009D0594" w:rsidP="009A7DB4">
      <w:pPr>
        <w:pStyle w:val="ListParagraph"/>
        <w:numPr>
          <w:ilvl w:val="0"/>
          <w:numId w:val="11"/>
        </w:numPr>
        <w:spacing w:after="160"/>
        <w:jc w:val="left"/>
        <w:rPr>
          <w:rFonts w:asciiTheme="minorHAnsi" w:eastAsia="Times New Roman" w:hAnsiTheme="minorHAnsi" w:cstheme="minorHAnsi"/>
          <w:sz w:val="22"/>
        </w:rPr>
      </w:pPr>
      <w:r>
        <w:rPr>
          <w:rFonts w:asciiTheme="minorHAnsi" w:eastAsia="Times New Roman" w:hAnsiTheme="minorHAnsi" w:cstheme="minorHAnsi"/>
          <w:sz w:val="22"/>
        </w:rPr>
        <w:t xml:space="preserve">Designed and developed projects including the </w:t>
      </w:r>
      <w:r w:rsidRPr="009D0594">
        <w:rPr>
          <w:rFonts w:asciiTheme="minorHAnsi" w:eastAsia="Times New Roman" w:hAnsiTheme="minorHAnsi" w:cstheme="minorHAnsi"/>
          <w:sz w:val="22"/>
        </w:rPr>
        <w:t>Wallpolla Stocking Trials - ‘Culture Based Fisheries’</w:t>
      </w:r>
      <w:r>
        <w:rPr>
          <w:rFonts w:asciiTheme="minorHAnsi" w:eastAsia="Times New Roman" w:hAnsiTheme="minorHAnsi" w:cstheme="minorHAnsi"/>
          <w:sz w:val="22"/>
        </w:rPr>
        <w:t xml:space="preserve">; and </w:t>
      </w:r>
      <w:r w:rsidRPr="009D0594">
        <w:rPr>
          <w:rFonts w:asciiTheme="minorHAnsi" w:eastAsia="Times New Roman" w:hAnsiTheme="minorHAnsi" w:cstheme="minorHAnsi"/>
          <w:sz w:val="22"/>
        </w:rPr>
        <w:t>Traditional Owner Aquaculture Trials - ‘Gunditjmara’</w:t>
      </w:r>
      <w:r>
        <w:rPr>
          <w:rFonts w:asciiTheme="minorHAnsi" w:eastAsia="Times New Roman" w:hAnsiTheme="minorHAnsi" w:cstheme="minorHAnsi"/>
          <w:sz w:val="22"/>
        </w:rPr>
        <w:t>.</w:t>
      </w:r>
    </w:p>
    <w:p w14:paraId="65B992FF" w14:textId="16BD388D" w:rsidR="00B36B21" w:rsidRPr="00381D8D" w:rsidRDefault="00B36B21" w:rsidP="00381D8D">
      <w:pPr>
        <w:spacing w:after="120"/>
        <w:rPr>
          <w:rFonts w:asciiTheme="minorHAnsi" w:eastAsia="Times New Roman" w:hAnsiTheme="minorHAnsi" w:cstheme="minorHAnsi"/>
          <w:sz w:val="22"/>
        </w:rPr>
      </w:pPr>
      <w:r w:rsidRPr="00381D8D">
        <w:rPr>
          <w:rFonts w:asciiTheme="minorHAnsi" w:eastAsia="Times New Roman" w:hAnsiTheme="minorHAnsi" w:cstheme="minorHAnsi"/>
          <w:sz w:val="22"/>
        </w:rPr>
        <w:t xml:space="preserve">In 2018, under the </w:t>
      </w:r>
      <w:r w:rsidRPr="00141941">
        <w:rPr>
          <w:rFonts w:asciiTheme="minorHAnsi" w:eastAsia="Times New Roman" w:hAnsiTheme="minorHAnsi" w:cstheme="minorHAnsi"/>
          <w:i/>
          <w:iCs/>
          <w:sz w:val="22"/>
        </w:rPr>
        <w:t>Target One Million</w:t>
      </w:r>
      <w:r w:rsidRPr="00381D8D">
        <w:rPr>
          <w:rFonts w:asciiTheme="minorHAnsi" w:eastAsia="Times New Roman" w:hAnsiTheme="minorHAnsi" w:cstheme="minorHAnsi"/>
          <w:sz w:val="22"/>
        </w:rPr>
        <w:t xml:space="preserve"> initiative, the VFA established the </w:t>
      </w:r>
      <w:r w:rsidRPr="00141941">
        <w:rPr>
          <w:rFonts w:asciiTheme="minorHAnsi" w:eastAsia="Times New Roman" w:hAnsiTheme="minorHAnsi" w:cstheme="minorHAnsi"/>
          <w:i/>
          <w:iCs/>
          <w:sz w:val="22"/>
        </w:rPr>
        <w:t>Women in Recreational Fishing Network</w:t>
      </w:r>
      <w:r w:rsidR="00381D8D" w:rsidRPr="00381D8D">
        <w:rPr>
          <w:rFonts w:asciiTheme="minorHAnsi" w:eastAsia="Times New Roman" w:hAnsiTheme="minorHAnsi" w:cstheme="minorHAnsi"/>
          <w:sz w:val="22"/>
        </w:rPr>
        <w:t xml:space="preserve">.  </w:t>
      </w:r>
      <w:r w:rsidR="00381D8D" w:rsidRPr="00EB1206">
        <w:rPr>
          <w:rFonts w:asciiTheme="minorHAnsi" w:eastAsia="Times New Roman" w:hAnsiTheme="minorHAnsi" w:cstheme="minorHAnsi"/>
          <w:sz w:val="22"/>
        </w:rPr>
        <w:t xml:space="preserve">The </w:t>
      </w:r>
      <w:r w:rsidR="00141941">
        <w:rPr>
          <w:rFonts w:asciiTheme="minorHAnsi" w:eastAsia="Times New Roman" w:hAnsiTheme="minorHAnsi" w:cstheme="minorHAnsi"/>
          <w:sz w:val="22"/>
        </w:rPr>
        <w:t>network was</w:t>
      </w:r>
      <w:r w:rsidR="00381D8D" w:rsidRPr="00EB1206">
        <w:rPr>
          <w:rFonts w:asciiTheme="minorHAnsi" w:eastAsia="Times New Roman" w:hAnsiTheme="minorHAnsi" w:cstheme="minorHAnsi"/>
          <w:sz w:val="22"/>
        </w:rPr>
        <w:t xml:space="preserve"> developed with three key objectives to: 1) encourage active participation, 2) create strong and collaborative relationships, and 3) support a sustainable and inclusive culture.</w:t>
      </w:r>
      <w:r w:rsidR="00381D8D" w:rsidRPr="00381D8D">
        <w:rPr>
          <w:rFonts w:asciiTheme="minorHAnsi" w:eastAsia="Times New Roman" w:hAnsiTheme="minorHAnsi" w:cstheme="minorHAnsi"/>
          <w:sz w:val="22"/>
        </w:rPr>
        <w:t xml:space="preserve"> </w:t>
      </w:r>
      <w:r w:rsidR="00141941">
        <w:rPr>
          <w:rFonts w:asciiTheme="minorHAnsi" w:eastAsia="Times New Roman" w:hAnsiTheme="minorHAnsi" w:cstheme="minorHAnsi"/>
          <w:sz w:val="22"/>
        </w:rPr>
        <w:t xml:space="preserve"> It has</w:t>
      </w:r>
      <w:r w:rsidR="00381D8D" w:rsidRPr="00381D8D">
        <w:rPr>
          <w:rFonts w:asciiTheme="minorHAnsi" w:eastAsia="Times New Roman" w:hAnsiTheme="minorHAnsi" w:cstheme="minorHAnsi"/>
          <w:sz w:val="22"/>
        </w:rPr>
        <w:t xml:space="preserve"> continued to gain momentum growing its membership from 1,200 in 2018</w:t>
      </w:r>
      <w:r w:rsidR="00141941">
        <w:rPr>
          <w:rFonts w:asciiTheme="minorHAnsi" w:eastAsia="Times New Roman" w:hAnsiTheme="minorHAnsi" w:cstheme="minorHAnsi"/>
          <w:sz w:val="22"/>
        </w:rPr>
        <w:t>-</w:t>
      </w:r>
      <w:r w:rsidR="00381D8D" w:rsidRPr="00381D8D">
        <w:rPr>
          <w:rFonts w:asciiTheme="minorHAnsi" w:eastAsia="Times New Roman" w:hAnsiTheme="minorHAnsi" w:cstheme="minorHAnsi"/>
          <w:sz w:val="22"/>
        </w:rPr>
        <w:t>19 to 2,100 in 2019-20.</w:t>
      </w:r>
    </w:p>
    <w:p w14:paraId="33ECA39D" w14:textId="62F4D5C3" w:rsidR="003262F5" w:rsidRPr="003262F5" w:rsidRDefault="00306752" w:rsidP="003262F5">
      <w:pPr>
        <w:pStyle w:val="NoSpacing"/>
        <w:rPr>
          <w:rFonts w:cstheme="minorHAnsi"/>
        </w:rPr>
      </w:pPr>
      <w:r w:rsidRPr="003262F5">
        <w:rPr>
          <w:rFonts w:eastAsia="Times New Roman" w:cstheme="minorHAnsi"/>
          <w:lang w:eastAsia="ja-JP"/>
        </w:rPr>
        <w:t xml:space="preserve">Social media at the VFA has continued to go from strength to strength </w:t>
      </w:r>
      <w:r w:rsidR="003262F5">
        <w:rPr>
          <w:rFonts w:eastAsia="Times New Roman" w:cstheme="minorHAnsi"/>
          <w:lang w:eastAsia="ja-JP"/>
        </w:rPr>
        <w:t>and</w:t>
      </w:r>
      <w:r w:rsidRPr="003262F5">
        <w:rPr>
          <w:rFonts w:eastAsia="Times New Roman" w:cstheme="minorHAnsi"/>
          <w:lang w:eastAsia="ja-JP"/>
        </w:rPr>
        <w:t xml:space="preserve"> is a major avenue</w:t>
      </w:r>
      <w:r w:rsidR="003262F5">
        <w:rPr>
          <w:rFonts w:eastAsia="Times New Roman" w:cstheme="minorHAnsi"/>
          <w:lang w:eastAsia="ja-JP"/>
        </w:rPr>
        <w:t xml:space="preserve"> used</w:t>
      </w:r>
      <w:r w:rsidRPr="003262F5">
        <w:rPr>
          <w:rFonts w:eastAsia="Times New Roman" w:cstheme="minorHAnsi"/>
          <w:lang w:eastAsia="ja-JP"/>
        </w:rPr>
        <w:t xml:space="preserve"> to communicate and engage with stakeholders.  </w:t>
      </w:r>
      <w:r w:rsidR="003262F5" w:rsidRPr="003262F5">
        <w:rPr>
          <w:rFonts w:cstheme="minorHAnsi"/>
        </w:rPr>
        <w:t>The VFA has continued to steadily gain followers on each of its social media platforms, reaching 65,500 on Facebook, 17,000 on Instagram and 900 on Twitter</w:t>
      </w:r>
      <w:r w:rsidR="003262F5">
        <w:rPr>
          <w:rFonts w:cstheme="minorHAnsi"/>
        </w:rPr>
        <w:t xml:space="preserve"> at 30 June 2020</w:t>
      </w:r>
      <w:r w:rsidR="003262F5" w:rsidRPr="003262F5">
        <w:rPr>
          <w:rFonts w:cstheme="minorHAnsi"/>
        </w:rPr>
        <w:t>, with a total number of 1,688 posts between the three platforms.</w:t>
      </w:r>
      <w:r w:rsidR="003262F5">
        <w:rPr>
          <w:rFonts w:cstheme="minorHAnsi"/>
        </w:rPr>
        <w:t xml:space="preserve">  </w:t>
      </w:r>
      <w:r w:rsidR="003262F5" w:rsidRPr="003262F5">
        <w:rPr>
          <w:rFonts w:cstheme="minorHAnsi"/>
        </w:rPr>
        <w:t>In October and December 2019, two simple iPhone videos showing VFA staff at the Snobs Creek Hatchery checking a Murray cod nesting box went ‘viral’ on Facebook, reaching over 50 million and 7 million viewers, respectively.</w:t>
      </w:r>
      <w:r w:rsidR="003262F5">
        <w:rPr>
          <w:rFonts w:cstheme="minorHAnsi"/>
        </w:rPr>
        <w:t xml:space="preserve">  </w:t>
      </w:r>
      <w:r w:rsidR="003262F5" w:rsidRPr="003262F5">
        <w:rPr>
          <w:rFonts w:cstheme="minorHAnsi"/>
        </w:rPr>
        <w:t>The VFA’s stories on Instagram and Facebook achieve an average of 2,000 views each. Aquaculture and commercial fishing posts have also shown to be popular with the Victorian public; the best of these reaching close to 100,000 people.</w:t>
      </w:r>
      <w:r w:rsidR="003262F5">
        <w:rPr>
          <w:rFonts w:cstheme="minorHAnsi"/>
        </w:rPr>
        <w:t xml:space="preserve">  The VFA has been using WeChat since 2019 and data indicates that the reach is steadily increasing.</w:t>
      </w:r>
    </w:p>
    <w:p w14:paraId="662E06AC" w14:textId="77777777" w:rsidR="009A7DB4" w:rsidRDefault="00141941" w:rsidP="00BE6542">
      <w:pPr>
        <w:rPr>
          <w:rFonts w:asciiTheme="minorHAnsi" w:eastAsia="Times New Roman" w:hAnsiTheme="minorHAnsi" w:cstheme="minorHAnsi"/>
          <w:sz w:val="22"/>
          <w:szCs w:val="22"/>
          <w:lang w:eastAsia="en-US"/>
        </w:rPr>
      </w:pPr>
      <w:r w:rsidRPr="00141941">
        <w:rPr>
          <w:rFonts w:asciiTheme="minorHAnsi" w:eastAsia="Times New Roman" w:hAnsiTheme="minorHAnsi" w:cstheme="minorHAnsi"/>
          <w:sz w:val="22"/>
          <w:szCs w:val="22"/>
          <w:lang w:eastAsia="en-US"/>
        </w:rPr>
        <w:lastRenderedPageBreak/>
        <w:t xml:space="preserve">The VFA </w:t>
      </w:r>
      <w:r>
        <w:rPr>
          <w:rFonts w:asciiTheme="minorHAnsi" w:eastAsia="Times New Roman" w:hAnsiTheme="minorHAnsi" w:cstheme="minorHAnsi"/>
          <w:sz w:val="22"/>
          <w:szCs w:val="22"/>
          <w:lang w:eastAsia="en-US"/>
        </w:rPr>
        <w:t xml:space="preserve">has a high level of participation in community events and festivals every year to promote recreational fishing, commercial fishing industries and aquaculture.  Annual events held by the VFA </w:t>
      </w:r>
      <w:r w:rsidR="009A7DB4">
        <w:rPr>
          <w:rFonts w:asciiTheme="minorHAnsi" w:eastAsia="Times New Roman" w:hAnsiTheme="minorHAnsi" w:cstheme="minorHAnsi"/>
          <w:sz w:val="22"/>
          <w:szCs w:val="22"/>
          <w:lang w:eastAsia="en-US"/>
        </w:rPr>
        <w:t>are numerous, and the list below is not exhaustive:</w:t>
      </w:r>
    </w:p>
    <w:p w14:paraId="13A8B991" w14:textId="20716F35" w:rsidR="00EB1206"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Vic Fish Kids (approximately six events per year)</w:t>
      </w:r>
    </w:p>
    <w:p w14:paraId="3AC40837" w14:textId="158AD694"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Trout and Murray cod conferences</w:t>
      </w:r>
    </w:p>
    <w:p w14:paraId="2220A6AD" w14:textId="251DFC2D"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Snobs Creek Fish Hatchery Open Day</w:t>
      </w:r>
    </w:p>
    <w:p w14:paraId="0A60131B" w14:textId="4652AB14"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Fishing Festivals in Goulburn and Ballarat</w:t>
      </w:r>
    </w:p>
    <w:p w14:paraId="6C79F734" w14:textId="7A4742E8"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Hooked-on events in Portland, Lakes Entrance and the Bellarine</w:t>
      </w:r>
    </w:p>
    <w:p w14:paraId="1ADEBE7C" w14:textId="18D29153"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Fishing For All events/All-abilities fishing clinics</w:t>
      </w:r>
    </w:p>
    <w:p w14:paraId="611DDE0A" w14:textId="497D6551"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Stocking events (approximately 10 a year)</w:t>
      </w:r>
    </w:p>
    <w:p w14:paraId="6AA4B980" w14:textId="5061C168" w:rsidR="009A7DB4" w:rsidRDefault="009A7DB4" w:rsidP="009A7DB4">
      <w:pPr>
        <w:pStyle w:val="ListParagraph"/>
        <w:numPr>
          <w:ilvl w:val="0"/>
          <w:numId w:val="14"/>
        </w:numPr>
        <w:rPr>
          <w:rFonts w:asciiTheme="minorHAnsi" w:eastAsia="Times New Roman" w:hAnsiTheme="minorHAnsi" w:cstheme="minorHAnsi"/>
          <w:sz w:val="22"/>
        </w:rPr>
      </w:pPr>
      <w:r>
        <w:rPr>
          <w:rFonts w:asciiTheme="minorHAnsi" w:eastAsia="Times New Roman" w:hAnsiTheme="minorHAnsi" w:cstheme="minorHAnsi"/>
          <w:sz w:val="22"/>
        </w:rPr>
        <w:t>School Holiday Program at the Marine and Freshwater Discovery Centre</w:t>
      </w:r>
    </w:p>
    <w:p w14:paraId="51458FFE" w14:textId="0808D150" w:rsidR="009A7DB4" w:rsidRDefault="009A7DB4" w:rsidP="009A7DB4">
      <w:pPr>
        <w:rPr>
          <w:rFonts w:asciiTheme="minorHAnsi" w:eastAsia="Times New Roman" w:hAnsiTheme="minorHAnsi" w:cstheme="minorHAnsi"/>
          <w:sz w:val="22"/>
        </w:rPr>
      </w:pPr>
      <w:r>
        <w:rPr>
          <w:rFonts w:asciiTheme="minorHAnsi" w:eastAsia="Times New Roman" w:hAnsiTheme="minorHAnsi" w:cstheme="minorHAnsi"/>
          <w:sz w:val="22"/>
        </w:rPr>
        <w:t>In addition, the VFA participates in many events throughout the year, including:</w:t>
      </w:r>
    </w:p>
    <w:p w14:paraId="55529179" w14:textId="15F25D4B" w:rsidR="009A7DB4" w:rsidRDefault="009A7DB4" w:rsidP="009A7DB4">
      <w:pPr>
        <w:pStyle w:val="ListParagraph"/>
        <w:numPr>
          <w:ilvl w:val="0"/>
          <w:numId w:val="15"/>
        </w:numPr>
        <w:rPr>
          <w:rFonts w:asciiTheme="minorHAnsi" w:eastAsia="Times New Roman" w:hAnsiTheme="minorHAnsi" w:cstheme="minorHAnsi"/>
          <w:sz w:val="22"/>
        </w:rPr>
      </w:pPr>
      <w:r>
        <w:rPr>
          <w:rFonts w:asciiTheme="minorHAnsi" w:eastAsia="Times New Roman" w:hAnsiTheme="minorHAnsi" w:cstheme="minorHAnsi"/>
          <w:sz w:val="22"/>
        </w:rPr>
        <w:t>In support of the commercial sector: the Portarlington Mussel Festival, the Apollo Bay Seafood Festival, the San Remo Fishing Festival and the Wild Harvest Seafood Festival in Mallacoota.</w:t>
      </w:r>
    </w:p>
    <w:p w14:paraId="0DF1D48D" w14:textId="33BF8889" w:rsidR="009A7DB4" w:rsidRPr="009A7DB4" w:rsidRDefault="009A7DB4" w:rsidP="009A7DB4">
      <w:pPr>
        <w:pStyle w:val="ListParagraph"/>
        <w:numPr>
          <w:ilvl w:val="0"/>
          <w:numId w:val="15"/>
        </w:numPr>
        <w:rPr>
          <w:rFonts w:asciiTheme="minorHAnsi" w:eastAsia="Times New Roman" w:hAnsiTheme="minorHAnsi" w:cstheme="minorHAnsi"/>
          <w:sz w:val="22"/>
        </w:rPr>
      </w:pPr>
      <w:r>
        <w:rPr>
          <w:rFonts w:asciiTheme="minorHAnsi" w:eastAsia="Times New Roman" w:hAnsiTheme="minorHAnsi" w:cstheme="minorHAnsi"/>
          <w:sz w:val="22"/>
        </w:rPr>
        <w:t>In support of the recreational sector: multicultural community fishing days, Go Fish Nagambie and boat and 4x4 shows</w:t>
      </w:r>
      <w:r w:rsidR="000167B1">
        <w:rPr>
          <w:rFonts w:asciiTheme="minorHAnsi" w:eastAsia="Times New Roman" w:hAnsiTheme="minorHAnsi" w:cstheme="minorHAnsi"/>
          <w:sz w:val="22"/>
        </w:rPr>
        <w:t>.</w:t>
      </w:r>
    </w:p>
    <w:p w14:paraId="4F7D31F3" w14:textId="1D521959" w:rsidR="000167B1" w:rsidRPr="003779D2" w:rsidRDefault="000167B1" w:rsidP="000167B1">
      <w:pPr>
        <w:pStyle w:val="ListParagraph"/>
        <w:numPr>
          <w:ilvl w:val="0"/>
          <w:numId w:val="7"/>
        </w:numPr>
        <w:spacing w:before="240"/>
        <w:ind w:left="425" w:hanging="425"/>
        <w:contextualSpacing w:val="0"/>
        <w:rPr>
          <w:rFonts w:asciiTheme="minorHAnsi" w:eastAsia="Times New Roman" w:hAnsiTheme="minorHAnsi" w:cstheme="minorHAnsi"/>
          <w:b/>
          <w:bCs/>
          <w:sz w:val="22"/>
        </w:rPr>
      </w:pPr>
      <w:r>
        <w:rPr>
          <w:rFonts w:asciiTheme="minorHAnsi" w:eastAsia="Times New Roman" w:hAnsiTheme="minorHAnsi" w:cstheme="minorHAnsi"/>
          <w:b/>
          <w:bCs/>
          <w:sz w:val="22"/>
        </w:rPr>
        <w:t>Accountability and transparency</w:t>
      </w:r>
    </w:p>
    <w:tbl>
      <w:tblPr>
        <w:tblStyle w:val="TableGrid"/>
        <w:tblW w:w="9634" w:type="dxa"/>
        <w:tblLook w:val="04A0" w:firstRow="1" w:lastRow="0" w:firstColumn="1" w:lastColumn="0" w:noHBand="0" w:noVBand="1"/>
      </w:tblPr>
      <w:tblGrid>
        <w:gridCol w:w="9634"/>
      </w:tblGrid>
      <w:tr w:rsidR="000167B1" w:rsidRPr="005A4D08" w14:paraId="3302EC80" w14:textId="77777777" w:rsidTr="000D26F0">
        <w:tc>
          <w:tcPr>
            <w:tcW w:w="9634" w:type="dxa"/>
            <w:shd w:val="clear" w:color="auto" w:fill="407798" w:themeFill="text2"/>
            <w:vAlign w:val="center"/>
          </w:tcPr>
          <w:p w14:paraId="10F21B03" w14:textId="77777777" w:rsidR="000167B1" w:rsidRPr="00BF427B" w:rsidRDefault="000167B1" w:rsidP="000D26F0">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0167B1" w:rsidRPr="005A4D08" w14:paraId="7F5A5BF3" w14:textId="77777777" w:rsidTr="000D26F0">
        <w:tc>
          <w:tcPr>
            <w:tcW w:w="9634" w:type="dxa"/>
          </w:tcPr>
          <w:p w14:paraId="13582007" w14:textId="77777777" w:rsidR="000167B1" w:rsidRDefault="000D26F0" w:rsidP="000D26F0">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M</w:t>
            </w:r>
            <w:r w:rsidRPr="000D26F0">
              <w:rPr>
                <w:rFonts w:asciiTheme="minorHAnsi" w:hAnsiTheme="minorHAnsi" w:cstheme="minorHAnsi"/>
                <w:sz w:val="22"/>
              </w:rPr>
              <w:t>ake publicly available standard processes for fishery management decisions, including how stakeholders can provide input into decisions.</w:t>
            </w:r>
          </w:p>
          <w:p w14:paraId="66284D22" w14:textId="332404F8" w:rsidR="000D26F0" w:rsidRPr="000D26F0" w:rsidRDefault="000D26F0" w:rsidP="000D26F0">
            <w:pPr>
              <w:pStyle w:val="ListParagraph"/>
              <w:numPr>
                <w:ilvl w:val="0"/>
                <w:numId w:val="8"/>
              </w:numPr>
              <w:spacing w:before="120"/>
              <w:ind w:left="317" w:hanging="284"/>
              <w:contextualSpacing w:val="0"/>
              <w:jc w:val="left"/>
              <w:rPr>
                <w:rFonts w:asciiTheme="minorHAnsi" w:hAnsiTheme="minorHAnsi" w:cstheme="minorHAnsi"/>
                <w:sz w:val="22"/>
              </w:rPr>
            </w:pPr>
            <w:r w:rsidRPr="000D26F0">
              <w:rPr>
                <w:sz w:val="22"/>
              </w:rPr>
              <w:t>Improved transparency and timeliness in publicly reporting on fishery performance, interactions with protected species and fish stocking</w:t>
            </w:r>
            <w:r>
              <w:rPr>
                <w:sz w:val="22"/>
              </w:rPr>
              <w:t xml:space="preserve">, including </w:t>
            </w:r>
            <w:r w:rsidRPr="000D26F0">
              <w:rPr>
                <w:sz w:val="22"/>
              </w:rPr>
              <w:t>periodic updates on the stock status of key Victorian fish stocks</w:t>
            </w:r>
            <w:r>
              <w:rPr>
                <w:sz w:val="22"/>
              </w:rPr>
              <w:t>.</w:t>
            </w:r>
          </w:p>
          <w:p w14:paraId="52818CC9" w14:textId="77777777" w:rsidR="000D26F0" w:rsidRPr="000D26F0" w:rsidRDefault="000D26F0" w:rsidP="000D26F0">
            <w:pPr>
              <w:pStyle w:val="ListParagraph"/>
              <w:numPr>
                <w:ilvl w:val="0"/>
                <w:numId w:val="8"/>
              </w:numPr>
              <w:spacing w:before="120"/>
              <w:ind w:left="317" w:hanging="284"/>
              <w:contextualSpacing w:val="0"/>
              <w:jc w:val="left"/>
              <w:rPr>
                <w:rFonts w:asciiTheme="minorHAnsi" w:hAnsiTheme="minorHAnsi" w:cstheme="minorHAnsi"/>
                <w:sz w:val="22"/>
              </w:rPr>
            </w:pPr>
            <w:r>
              <w:rPr>
                <w:sz w:val="22"/>
              </w:rPr>
              <w:t>Provide quarterly reports on the implementation of Budget Paper No. 3 performance measure targets</w:t>
            </w:r>
            <w:r w:rsidRPr="000D26F0">
              <w:rPr>
                <w:sz w:val="22"/>
              </w:rPr>
              <w:t>.</w:t>
            </w:r>
          </w:p>
          <w:p w14:paraId="608B30D2" w14:textId="77777777" w:rsidR="000D26F0" w:rsidRPr="000D26F0" w:rsidRDefault="000D26F0" w:rsidP="000D26F0">
            <w:pPr>
              <w:pStyle w:val="ListParagraph"/>
              <w:numPr>
                <w:ilvl w:val="0"/>
                <w:numId w:val="8"/>
              </w:numPr>
              <w:spacing w:before="120"/>
              <w:ind w:left="317" w:hanging="284"/>
              <w:contextualSpacing w:val="0"/>
              <w:jc w:val="left"/>
              <w:rPr>
                <w:rFonts w:asciiTheme="minorHAnsi" w:hAnsiTheme="minorHAnsi" w:cstheme="minorHAnsi"/>
                <w:sz w:val="22"/>
              </w:rPr>
            </w:pPr>
            <w:r>
              <w:rPr>
                <w:sz w:val="22"/>
              </w:rPr>
              <w:t>C</w:t>
            </w:r>
            <w:r w:rsidRPr="000D26F0">
              <w:rPr>
                <w:sz w:val="22"/>
              </w:rPr>
              <w:t>ommence a review of its cost recovery system within six months to ensure the model is still relevant, efficient and providing appropriate outcomes for both Government and the commercial fishing sector.</w:t>
            </w:r>
          </w:p>
          <w:p w14:paraId="3DA76C8F" w14:textId="77777777" w:rsidR="000D26F0" w:rsidRPr="000D26F0" w:rsidRDefault="000D26F0" w:rsidP="000D26F0">
            <w:pPr>
              <w:pStyle w:val="ListParagraph"/>
              <w:numPr>
                <w:ilvl w:val="0"/>
                <w:numId w:val="8"/>
              </w:numPr>
              <w:spacing w:before="120"/>
              <w:ind w:left="317" w:hanging="284"/>
              <w:contextualSpacing w:val="0"/>
              <w:jc w:val="left"/>
              <w:rPr>
                <w:rFonts w:asciiTheme="minorHAnsi" w:hAnsiTheme="minorHAnsi" w:cstheme="minorHAnsi"/>
                <w:sz w:val="22"/>
              </w:rPr>
            </w:pPr>
            <w:r>
              <w:rPr>
                <w:sz w:val="22"/>
              </w:rPr>
              <w:t>D</w:t>
            </w:r>
            <w:r w:rsidRPr="000D26F0">
              <w:rPr>
                <w:sz w:val="22"/>
              </w:rPr>
              <w:t xml:space="preserve">emonstrate effective internal accountability mechanisms </w:t>
            </w:r>
            <w:r>
              <w:rPr>
                <w:sz w:val="22"/>
              </w:rPr>
              <w:t xml:space="preserve">are </w:t>
            </w:r>
            <w:r w:rsidRPr="000D26F0">
              <w:rPr>
                <w:sz w:val="22"/>
              </w:rPr>
              <w:t>in place</w:t>
            </w:r>
            <w:r>
              <w:rPr>
                <w:sz w:val="22"/>
              </w:rPr>
              <w:t xml:space="preserve"> for the VFA, and</w:t>
            </w:r>
            <w:r w:rsidRPr="000D26F0">
              <w:rPr>
                <w:sz w:val="22"/>
              </w:rPr>
              <w:t xml:space="preserve"> for fisheries representative bodies through funding agreements that include effective and transparent governance and performance measures.</w:t>
            </w:r>
          </w:p>
          <w:p w14:paraId="21E74B76" w14:textId="77777777" w:rsidR="000D26F0" w:rsidRPr="00BB1E71" w:rsidRDefault="000D26F0" w:rsidP="000D26F0">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C</w:t>
            </w:r>
            <w:r w:rsidRPr="000D26F0">
              <w:rPr>
                <w:rFonts w:asciiTheme="minorHAnsi" w:hAnsiTheme="minorHAnsi" w:cstheme="minorHAnsi"/>
                <w:sz w:val="22"/>
              </w:rPr>
              <w:t xml:space="preserve">ontribute to delivering the </w:t>
            </w:r>
            <w:r w:rsidRPr="000D26F0">
              <w:rPr>
                <w:rFonts w:asciiTheme="minorHAnsi" w:hAnsiTheme="minorHAnsi" w:cstheme="minorHAnsi"/>
                <w:i/>
                <w:iCs/>
                <w:sz w:val="22"/>
              </w:rPr>
              <w:t>Victorian Gender Equality Strategy</w:t>
            </w:r>
            <w:r w:rsidRPr="000D26F0">
              <w:rPr>
                <w:rFonts w:asciiTheme="minorHAnsi" w:hAnsiTheme="minorHAnsi" w:cstheme="minorHAnsi"/>
                <w:sz w:val="22"/>
              </w:rPr>
              <w:t>, including a commitment to ensure a 50/50 gender balance in all committees and working groups</w:t>
            </w:r>
            <w:r>
              <w:rPr>
                <w:rFonts w:asciiTheme="minorHAnsi" w:hAnsiTheme="minorHAnsi" w:cstheme="minorHAnsi"/>
                <w:sz w:val="22"/>
              </w:rPr>
              <w:t xml:space="preserve"> and a </w:t>
            </w:r>
            <w:r w:rsidRPr="000D26F0">
              <w:rPr>
                <w:sz w:val="22"/>
              </w:rPr>
              <w:t>commitment</w:t>
            </w:r>
            <w:r w:rsidR="00BB1E71">
              <w:rPr>
                <w:sz w:val="22"/>
              </w:rPr>
              <w:t xml:space="preserve"> to consider </w:t>
            </w:r>
            <w:r w:rsidRPr="000D26F0">
              <w:rPr>
                <w:sz w:val="22"/>
              </w:rPr>
              <w:t xml:space="preserve">the </w:t>
            </w:r>
            <w:r w:rsidRPr="000D26F0">
              <w:rPr>
                <w:i/>
                <w:sz w:val="22"/>
              </w:rPr>
              <w:t>Gender Equality Strategy</w:t>
            </w:r>
            <w:r w:rsidRPr="000D26F0">
              <w:rPr>
                <w:sz w:val="22"/>
              </w:rPr>
              <w:t xml:space="preserve"> in the recruitment of VFA staff and the appointment of VFA staff to senior positions.</w:t>
            </w:r>
          </w:p>
          <w:p w14:paraId="1237BD00" w14:textId="4FAAAD74" w:rsidR="00BB1E71" w:rsidRPr="000D26F0" w:rsidRDefault="00BB1E71" w:rsidP="000D26F0">
            <w:pPr>
              <w:pStyle w:val="ListParagraph"/>
              <w:numPr>
                <w:ilvl w:val="0"/>
                <w:numId w:val="8"/>
              </w:numPr>
              <w:spacing w:before="120"/>
              <w:ind w:left="317" w:hanging="284"/>
              <w:contextualSpacing w:val="0"/>
              <w:jc w:val="left"/>
              <w:rPr>
                <w:rFonts w:asciiTheme="minorHAnsi" w:hAnsiTheme="minorHAnsi" w:cstheme="minorHAnsi"/>
                <w:sz w:val="22"/>
              </w:rPr>
            </w:pPr>
            <w:r w:rsidRPr="00BB1E71">
              <w:rPr>
                <w:rFonts w:asciiTheme="minorHAnsi" w:hAnsiTheme="minorHAnsi" w:cstheme="minorHAnsi"/>
                <w:sz w:val="22"/>
              </w:rPr>
              <w:t xml:space="preserve">VFA Board </w:t>
            </w:r>
            <w:r>
              <w:rPr>
                <w:rFonts w:asciiTheme="minorHAnsi" w:hAnsiTheme="minorHAnsi" w:cstheme="minorHAnsi"/>
                <w:sz w:val="22"/>
              </w:rPr>
              <w:t xml:space="preserve">to </w:t>
            </w:r>
            <w:r w:rsidRPr="00BB1E71">
              <w:rPr>
                <w:rFonts w:asciiTheme="minorHAnsi" w:hAnsiTheme="minorHAnsi" w:cstheme="minorHAnsi"/>
                <w:sz w:val="22"/>
              </w:rPr>
              <w:t>establish and document appropriate processes to deliver its governance requirements under the VFA Act</w:t>
            </w:r>
            <w:r w:rsidR="002813C6">
              <w:rPr>
                <w:rFonts w:asciiTheme="minorHAnsi" w:hAnsiTheme="minorHAnsi" w:cstheme="minorHAnsi"/>
                <w:sz w:val="22"/>
              </w:rPr>
              <w:t xml:space="preserve"> and </w:t>
            </w:r>
            <w:r w:rsidRPr="00BB1E71">
              <w:rPr>
                <w:rFonts w:asciiTheme="minorHAnsi" w:hAnsiTheme="minorHAnsi" w:cstheme="minorHAnsi"/>
                <w:sz w:val="22"/>
              </w:rPr>
              <w:t>to deliver reports in a manner required under the VFA Act and other legislation</w:t>
            </w:r>
            <w:r w:rsidR="002813C6">
              <w:rPr>
                <w:rFonts w:asciiTheme="minorHAnsi" w:hAnsiTheme="minorHAnsi" w:cstheme="minorHAnsi"/>
                <w:sz w:val="22"/>
              </w:rPr>
              <w:t xml:space="preserve"> in a manner </w:t>
            </w:r>
            <w:r w:rsidRPr="00BB1E71">
              <w:rPr>
                <w:rFonts w:asciiTheme="minorHAnsi" w:hAnsiTheme="minorHAnsi" w:cstheme="minorHAnsi"/>
                <w:sz w:val="22"/>
              </w:rPr>
              <w:t>consistent with any relevant guidelines including those developed by DEDJTR and agreed by the VFA.</w:t>
            </w:r>
          </w:p>
        </w:tc>
      </w:tr>
      <w:tr w:rsidR="000167B1" w:rsidRPr="00ED7DC7" w14:paraId="67265580" w14:textId="77777777" w:rsidTr="000D26F0">
        <w:tc>
          <w:tcPr>
            <w:tcW w:w="9634" w:type="dxa"/>
            <w:shd w:val="clear" w:color="auto" w:fill="D5E4ED" w:themeFill="text2" w:themeFillTint="33"/>
          </w:tcPr>
          <w:p w14:paraId="488666E6" w14:textId="77777777" w:rsidR="000167B1" w:rsidRPr="00ED7DC7" w:rsidRDefault="000167B1" w:rsidP="000D26F0">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0167B1" w:rsidRPr="005A4D08" w14:paraId="706F6A9B" w14:textId="77777777" w:rsidTr="000D26F0">
        <w:tc>
          <w:tcPr>
            <w:tcW w:w="9634" w:type="dxa"/>
          </w:tcPr>
          <w:p w14:paraId="696F1729" w14:textId="77777777" w:rsidR="000167B1" w:rsidRPr="002813C6" w:rsidRDefault="002813C6" w:rsidP="000D26F0">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2813C6">
              <w:rPr>
                <w:rFonts w:asciiTheme="minorHAnsi" w:hAnsiTheme="minorHAnsi" w:cstheme="minorHAnsi"/>
                <w:sz w:val="22"/>
              </w:rPr>
              <w:t>Make publicly available standard processes for fishery management decisions, including how stakeholders can provide input to the process</w:t>
            </w:r>
            <w:r w:rsidR="000167B1">
              <w:rPr>
                <w:rFonts w:asciiTheme="minorHAnsi" w:hAnsiTheme="minorHAnsi" w:cstheme="minorHAnsi"/>
                <w:sz w:val="22"/>
              </w:rPr>
              <w:t>.</w:t>
            </w:r>
          </w:p>
          <w:p w14:paraId="1EB9B79F" w14:textId="77777777" w:rsidR="002813C6" w:rsidRDefault="002813C6" w:rsidP="000D26F0">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2813C6">
              <w:rPr>
                <w:rFonts w:asciiTheme="minorHAnsi" w:eastAsia="Times New Roman" w:hAnsiTheme="minorHAnsi" w:cstheme="minorHAnsi"/>
                <w:sz w:val="22"/>
              </w:rPr>
              <w:t>Report on stock status of key Victorian stocks</w:t>
            </w:r>
            <w:r>
              <w:rPr>
                <w:rFonts w:asciiTheme="minorHAnsi" w:eastAsia="Times New Roman" w:hAnsiTheme="minorHAnsi" w:cstheme="minorHAnsi"/>
                <w:sz w:val="22"/>
              </w:rPr>
              <w:t>.</w:t>
            </w:r>
          </w:p>
          <w:p w14:paraId="16A3FE19" w14:textId="7D9193C6" w:rsidR="002813C6" w:rsidRDefault="002813C6" w:rsidP="000D26F0">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2813C6">
              <w:rPr>
                <w:rFonts w:asciiTheme="minorHAnsi" w:eastAsia="Times New Roman" w:hAnsiTheme="minorHAnsi" w:cstheme="minorHAnsi"/>
                <w:sz w:val="22"/>
              </w:rPr>
              <w:t xml:space="preserve">Review </w:t>
            </w:r>
            <w:r w:rsidR="00133796">
              <w:rPr>
                <w:rFonts w:asciiTheme="minorHAnsi" w:eastAsia="Times New Roman" w:hAnsiTheme="minorHAnsi" w:cstheme="minorHAnsi"/>
                <w:sz w:val="22"/>
              </w:rPr>
              <w:t>f</w:t>
            </w:r>
            <w:r w:rsidRPr="002813C6">
              <w:rPr>
                <w:rFonts w:asciiTheme="minorHAnsi" w:eastAsia="Times New Roman" w:hAnsiTheme="minorHAnsi" w:cstheme="minorHAnsi"/>
                <w:sz w:val="22"/>
              </w:rPr>
              <w:t xml:space="preserve">isheries </w:t>
            </w:r>
            <w:r w:rsidR="00133796">
              <w:rPr>
                <w:rFonts w:asciiTheme="minorHAnsi" w:eastAsia="Times New Roman" w:hAnsiTheme="minorHAnsi" w:cstheme="minorHAnsi"/>
                <w:sz w:val="22"/>
              </w:rPr>
              <w:t>c</w:t>
            </w:r>
            <w:r w:rsidRPr="002813C6">
              <w:rPr>
                <w:rFonts w:asciiTheme="minorHAnsi" w:eastAsia="Times New Roman" w:hAnsiTheme="minorHAnsi" w:cstheme="minorHAnsi"/>
                <w:sz w:val="22"/>
              </w:rPr>
              <w:t>ost recovery system</w:t>
            </w:r>
            <w:r>
              <w:rPr>
                <w:rFonts w:asciiTheme="minorHAnsi" w:eastAsia="Times New Roman" w:hAnsiTheme="minorHAnsi" w:cstheme="minorHAnsi"/>
                <w:sz w:val="22"/>
              </w:rPr>
              <w:t>.</w:t>
            </w:r>
          </w:p>
          <w:p w14:paraId="44AB086F" w14:textId="4F78441C" w:rsidR="002813C6" w:rsidRPr="00D61F1A" w:rsidRDefault="002813C6" w:rsidP="000D26F0">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sidRPr="002813C6">
              <w:rPr>
                <w:rFonts w:asciiTheme="minorHAnsi" w:eastAsia="Times New Roman" w:hAnsiTheme="minorHAnsi" w:cstheme="minorHAnsi"/>
                <w:sz w:val="22"/>
              </w:rPr>
              <w:lastRenderedPageBreak/>
              <w:t>Implement recommendations from KPMG review</w:t>
            </w:r>
            <w:r>
              <w:rPr>
                <w:rFonts w:asciiTheme="minorHAnsi" w:eastAsia="Times New Roman" w:hAnsiTheme="minorHAnsi" w:cstheme="minorHAnsi"/>
                <w:sz w:val="22"/>
              </w:rPr>
              <w:t>.</w:t>
            </w:r>
          </w:p>
        </w:tc>
      </w:tr>
    </w:tbl>
    <w:p w14:paraId="0ADF1557" w14:textId="2B425311" w:rsidR="009A7DB4" w:rsidRDefault="009A7DB4" w:rsidP="00BE6542">
      <w:pPr>
        <w:rPr>
          <w:rFonts w:asciiTheme="minorHAnsi" w:eastAsia="Times New Roman" w:hAnsiTheme="minorHAnsi" w:cstheme="minorHAnsi"/>
          <w:sz w:val="22"/>
          <w:szCs w:val="22"/>
          <w:lang w:eastAsia="en-US"/>
        </w:rPr>
      </w:pPr>
    </w:p>
    <w:p w14:paraId="2A766C35" w14:textId="1F3595E2" w:rsidR="009A7DB4" w:rsidRDefault="000B2947" w:rsidP="00BE6542">
      <w:pP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With the evolution of the VFA as a statutory authority over the past two years, the methodology for accountability and transparency has increased markedly.</w:t>
      </w:r>
      <w:r w:rsidR="005F6F8B">
        <w:rPr>
          <w:rFonts w:asciiTheme="minorHAnsi" w:eastAsia="Times New Roman" w:hAnsiTheme="minorHAnsi" w:cstheme="minorHAnsi"/>
          <w:sz w:val="22"/>
          <w:szCs w:val="22"/>
          <w:lang w:eastAsia="en-US"/>
        </w:rPr>
        <w:t xml:space="preserve">  </w:t>
      </w:r>
      <w:r w:rsidR="00133796">
        <w:rPr>
          <w:rFonts w:asciiTheme="minorHAnsi" w:eastAsia="Times New Roman" w:hAnsiTheme="minorHAnsi" w:cstheme="minorHAnsi"/>
          <w:sz w:val="22"/>
        </w:rPr>
        <w:t>Consultative processes are described in legislation and are adhered to by the VFA, including placing all consultative material on the VFA’s website.</w:t>
      </w:r>
      <w:r w:rsidR="005F6F8B">
        <w:rPr>
          <w:rFonts w:asciiTheme="minorHAnsi" w:eastAsia="Times New Roman" w:hAnsiTheme="minorHAnsi" w:cstheme="minorHAnsi"/>
          <w:sz w:val="22"/>
        </w:rPr>
        <w:t xml:space="preserve">  The consultative process includes </w:t>
      </w:r>
      <w:r w:rsidR="000441A7">
        <w:rPr>
          <w:rFonts w:asciiTheme="minorHAnsi" w:eastAsia="Times New Roman" w:hAnsiTheme="minorHAnsi" w:cstheme="minorHAnsi"/>
          <w:sz w:val="22"/>
        </w:rPr>
        <w:t>providing stakeholders the opportunity to provide written feedback for consideration by the VFA.</w:t>
      </w:r>
    </w:p>
    <w:p w14:paraId="5B720F33" w14:textId="33818337" w:rsidR="009A7DB4" w:rsidRPr="00051567" w:rsidRDefault="000441A7" w:rsidP="00BE6542">
      <w:pPr>
        <w:rPr>
          <w:rFonts w:ascii="Calibri" w:eastAsia="Times New Roman" w:hAnsi="Calibri" w:cs="Calibri"/>
          <w:sz w:val="22"/>
          <w:szCs w:val="22"/>
        </w:rPr>
      </w:pPr>
      <w:r w:rsidRPr="00051567">
        <w:rPr>
          <w:rFonts w:ascii="Calibri" w:eastAsia="Times New Roman" w:hAnsi="Calibri" w:cs="Calibri"/>
          <w:sz w:val="22"/>
          <w:szCs w:val="22"/>
        </w:rPr>
        <w:t xml:space="preserve">The VFA undertakes annual assessment of Victoria’s key quota species; abalone, rock lobster and giant crab, and reports publicly on stock abundance and quota setting decisions.  The analysis of these stocks is a performance measure reported on as part of the </w:t>
      </w:r>
      <w:r w:rsidRPr="00051567">
        <w:rPr>
          <w:rFonts w:ascii="Calibri" w:eastAsia="Times New Roman" w:hAnsi="Calibri" w:cs="Calibri"/>
          <w:i/>
          <w:iCs/>
          <w:sz w:val="22"/>
          <w:szCs w:val="22"/>
        </w:rPr>
        <w:t>Budget Paper No. 3</w:t>
      </w:r>
      <w:r w:rsidR="00C26973" w:rsidRPr="00051567">
        <w:rPr>
          <w:rFonts w:ascii="Calibri" w:eastAsia="Times New Roman" w:hAnsi="Calibri" w:cs="Calibri"/>
          <w:sz w:val="22"/>
          <w:szCs w:val="22"/>
        </w:rPr>
        <w:t xml:space="preserve"> (BP3)</w:t>
      </w:r>
      <w:r w:rsidRPr="00051567">
        <w:rPr>
          <w:rFonts w:ascii="Calibri" w:eastAsia="Times New Roman" w:hAnsi="Calibri" w:cs="Calibri"/>
          <w:sz w:val="22"/>
          <w:szCs w:val="22"/>
        </w:rPr>
        <w:t xml:space="preserve"> requirements</w:t>
      </w:r>
      <w:r w:rsidR="00C26973" w:rsidRPr="00051567">
        <w:rPr>
          <w:rFonts w:ascii="Calibri" w:eastAsia="Times New Roman" w:hAnsi="Calibri" w:cs="Calibri"/>
          <w:sz w:val="22"/>
          <w:szCs w:val="22"/>
        </w:rPr>
        <w:t xml:space="preserve">, with outcomes included in the VFA annual report.  As required under the </w:t>
      </w:r>
      <w:r w:rsidR="00C26973" w:rsidRPr="00051567">
        <w:rPr>
          <w:rFonts w:ascii="Calibri" w:eastAsia="Times New Roman" w:hAnsi="Calibri" w:cs="Calibri"/>
          <w:i/>
          <w:iCs/>
          <w:sz w:val="22"/>
          <w:szCs w:val="22"/>
        </w:rPr>
        <w:t>Victorian Fisheries Authority Act 2016</w:t>
      </w:r>
      <w:r w:rsidR="00C26973" w:rsidRPr="00051567">
        <w:rPr>
          <w:rFonts w:ascii="Calibri" w:eastAsia="Times New Roman" w:hAnsi="Calibri" w:cs="Calibri"/>
          <w:sz w:val="22"/>
          <w:szCs w:val="22"/>
        </w:rPr>
        <w:t>, the VFA reports progress against all BP3 to the Secretary of the Department of Transport (then DEDJTR) on a quarterly basis.</w:t>
      </w:r>
      <w:r w:rsidR="00015905" w:rsidRPr="00051567">
        <w:rPr>
          <w:rFonts w:ascii="Calibri" w:eastAsia="Times New Roman" w:hAnsi="Calibri" w:cs="Calibri"/>
          <w:sz w:val="22"/>
          <w:szCs w:val="22"/>
        </w:rPr>
        <w:t xml:space="preserve">  Further, t</w:t>
      </w:r>
      <w:r w:rsidRPr="00051567">
        <w:rPr>
          <w:rFonts w:ascii="Calibri" w:eastAsia="Times New Roman" w:hAnsi="Calibri" w:cs="Calibri"/>
          <w:sz w:val="22"/>
          <w:szCs w:val="22"/>
        </w:rPr>
        <w:t xml:space="preserve">he VFA participates in the national assessment of key fish stocks, coordinated by the Fisheries Research and Development Corporation on a biennial basis, and makes the resulting assessments available on the VFA website.  </w:t>
      </w:r>
    </w:p>
    <w:p w14:paraId="451E0978" w14:textId="03451F4A" w:rsidR="00051567" w:rsidRDefault="002F079A" w:rsidP="00BE6542">
      <w:pPr>
        <w:rPr>
          <w:rFonts w:ascii="Calibri" w:eastAsia="Times New Roman" w:hAnsi="Calibri" w:cs="Calibri"/>
          <w:sz w:val="22"/>
          <w:szCs w:val="22"/>
        </w:rPr>
      </w:pPr>
      <w:r w:rsidRPr="00051567">
        <w:rPr>
          <w:rFonts w:ascii="Calibri" w:eastAsia="Times New Roman" w:hAnsi="Calibri" w:cs="Calibri"/>
          <w:sz w:val="22"/>
          <w:szCs w:val="22"/>
        </w:rPr>
        <w:t xml:space="preserve">In December 2018, the VFA engaged Marsden Jacob Associates to </w:t>
      </w:r>
      <w:r w:rsidRPr="00051567">
        <w:rPr>
          <w:rFonts w:ascii="Calibri" w:eastAsia="Times New Roman" w:hAnsi="Calibri" w:cs="Calibri"/>
          <w:bCs/>
          <w:sz w:val="22"/>
          <w:szCs w:val="22"/>
        </w:rPr>
        <w:t xml:space="preserve">undertake a review </w:t>
      </w:r>
      <w:r w:rsidR="0068117F" w:rsidRPr="00051567">
        <w:rPr>
          <w:rFonts w:ascii="Calibri" w:eastAsia="Times New Roman" w:hAnsi="Calibri" w:cs="Calibri"/>
          <w:bCs/>
          <w:sz w:val="22"/>
          <w:szCs w:val="22"/>
        </w:rPr>
        <w:t xml:space="preserve">of </w:t>
      </w:r>
      <w:r w:rsidRPr="00051567">
        <w:rPr>
          <w:rFonts w:ascii="Calibri" w:eastAsia="Times New Roman" w:hAnsi="Calibri" w:cs="Calibri"/>
          <w:bCs/>
          <w:sz w:val="22"/>
          <w:szCs w:val="22"/>
        </w:rPr>
        <w:t xml:space="preserve">the prospective cost recovery system. </w:t>
      </w:r>
      <w:r w:rsidR="00015905" w:rsidRPr="00051567">
        <w:rPr>
          <w:rFonts w:ascii="Calibri" w:eastAsia="Times New Roman" w:hAnsi="Calibri" w:cs="Calibri"/>
          <w:bCs/>
          <w:sz w:val="22"/>
          <w:szCs w:val="22"/>
        </w:rPr>
        <w:t xml:space="preserve"> </w:t>
      </w:r>
      <w:r w:rsidRPr="00051567">
        <w:rPr>
          <w:rFonts w:ascii="Calibri" w:eastAsia="Times New Roman" w:hAnsi="Calibri" w:cs="Calibri"/>
          <w:sz w:val="22"/>
          <w:szCs w:val="22"/>
        </w:rPr>
        <w:t>The terms of reference for the review were to focus on the effectiveness of cost recovery arrangements for Victorian fisheries and opportunities to improve arrangements going forward.</w:t>
      </w:r>
      <w:r w:rsidR="0068117F" w:rsidRPr="00051567">
        <w:rPr>
          <w:rFonts w:ascii="Calibri" w:eastAsia="Times New Roman" w:hAnsi="Calibri" w:cs="Calibri"/>
          <w:sz w:val="20"/>
          <w:szCs w:val="20"/>
        </w:rPr>
        <w:t xml:space="preserve">  </w:t>
      </w:r>
      <w:r w:rsidR="009A0C45" w:rsidRPr="00051567">
        <w:rPr>
          <w:rFonts w:ascii="Calibri" w:eastAsia="Times New Roman" w:hAnsi="Calibri" w:cs="Calibri"/>
          <w:sz w:val="22"/>
          <w:szCs w:val="22"/>
        </w:rPr>
        <w:t xml:space="preserve">The report was delivered in mid-2019 and the VFA is </w:t>
      </w:r>
      <w:r w:rsidR="00F8400D" w:rsidRPr="00051567">
        <w:rPr>
          <w:rFonts w:ascii="Calibri" w:eastAsia="Times New Roman" w:hAnsi="Calibri" w:cs="Calibri"/>
          <w:sz w:val="22"/>
          <w:szCs w:val="22"/>
        </w:rPr>
        <w:t xml:space="preserve">currently </w:t>
      </w:r>
      <w:r w:rsidR="005C6C02" w:rsidRPr="00051567">
        <w:rPr>
          <w:rFonts w:ascii="Calibri" w:eastAsia="Times New Roman" w:hAnsi="Calibri" w:cs="Calibri"/>
          <w:sz w:val="22"/>
          <w:szCs w:val="22"/>
        </w:rPr>
        <w:t xml:space="preserve">determining </w:t>
      </w:r>
      <w:r w:rsidR="00051567" w:rsidRPr="00051567">
        <w:rPr>
          <w:rFonts w:ascii="Calibri" w:eastAsia="Times New Roman" w:hAnsi="Calibri" w:cs="Calibri"/>
          <w:sz w:val="22"/>
          <w:szCs w:val="22"/>
        </w:rPr>
        <w:t>how to shape a new cost recovery system.</w:t>
      </w:r>
    </w:p>
    <w:p w14:paraId="2414774B" w14:textId="62D3F3DB" w:rsidR="00FE78AD" w:rsidRPr="00F34253" w:rsidRDefault="00260D2B" w:rsidP="00BE6542">
      <w:pPr>
        <w:rPr>
          <w:rFonts w:ascii="Calibri" w:eastAsia="Times New Roman" w:hAnsi="Calibri" w:cs="Calibri"/>
          <w:sz w:val="22"/>
          <w:szCs w:val="22"/>
        </w:rPr>
      </w:pPr>
      <w:r>
        <w:rPr>
          <w:rFonts w:ascii="Calibri" w:eastAsia="Times New Roman" w:hAnsi="Calibri" w:cs="Calibri"/>
          <w:sz w:val="22"/>
          <w:szCs w:val="22"/>
        </w:rPr>
        <w:t xml:space="preserve">The VFA </w:t>
      </w:r>
      <w:r w:rsidR="008F4519">
        <w:rPr>
          <w:rFonts w:ascii="Calibri" w:eastAsia="Times New Roman" w:hAnsi="Calibri" w:cs="Calibri"/>
          <w:sz w:val="22"/>
          <w:szCs w:val="22"/>
        </w:rPr>
        <w:t xml:space="preserve">is committed to </w:t>
      </w:r>
      <w:r w:rsidR="00FE78AD">
        <w:rPr>
          <w:rFonts w:ascii="Calibri" w:eastAsia="Times New Roman" w:hAnsi="Calibri" w:cs="Calibri"/>
          <w:sz w:val="22"/>
          <w:szCs w:val="22"/>
        </w:rPr>
        <w:t xml:space="preserve">supporting </w:t>
      </w:r>
      <w:r w:rsidR="00EC55A7">
        <w:rPr>
          <w:rFonts w:ascii="Calibri" w:eastAsia="Times New Roman" w:hAnsi="Calibri" w:cs="Calibri"/>
          <w:sz w:val="22"/>
          <w:szCs w:val="22"/>
        </w:rPr>
        <w:t xml:space="preserve">objectives of </w:t>
      </w:r>
      <w:r w:rsidR="00FE78AD">
        <w:rPr>
          <w:rFonts w:ascii="Calibri" w:eastAsia="Times New Roman" w:hAnsi="Calibri" w:cs="Calibri"/>
          <w:sz w:val="22"/>
          <w:szCs w:val="22"/>
        </w:rPr>
        <w:t xml:space="preserve">the </w:t>
      </w:r>
      <w:r w:rsidR="00FE78AD">
        <w:rPr>
          <w:rFonts w:ascii="Calibri" w:eastAsia="Times New Roman" w:hAnsi="Calibri" w:cs="Calibri"/>
          <w:i/>
          <w:iCs/>
          <w:sz w:val="22"/>
          <w:szCs w:val="22"/>
        </w:rPr>
        <w:t>Victorian Gender Equality Strategy</w:t>
      </w:r>
      <w:r w:rsidR="00EC55A7">
        <w:rPr>
          <w:rFonts w:ascii="Calibri" w:eastAsia="Times New Roman" w:hAnsi="Calibri" w:cs="Calibri"/>
          <w:i/>
          <w:iCs/>
          <w:sz w:val="22"/>
          <w:szCs w:val="22"/>
        </w:rPr>
        <w:t xml:space="preserve">.  </w:t>
      </w:r>
      <w:r w:rsidR="00755DEE">
        <w:rPr>
          <w:rFonts w:ascii="Calibri" w:eastAsia="Times New Roman" w:hAnsi="Calibri" w:cs="Calibri"/>
          <w:sz w:val="22"/>
          <w:szCs w:val="22"/>
        </w:rPr>
        <w:t>In 2019, t</w:t>
      </w:r>
      <w:r w:rsidR="00755DEE" w:rsidRPr="00F34253">
        <w:rPr>
          <w:rFonts w:asciiTheme="minorHAnsi" w:eastAsia="Times New Roman" w:hAnsiTheme="minorHAnsi" w:cstheme="minorHAnsi"/>
          <w:sz w:val="22"/>
          <w:szCs w:val="22"/>
          <w:lang w:eastAsia="en-US"/>
        </w:rPr>
        <w:t xml:space="preserve">he VFA </w:t>
      </w:r>
      <w:r w:rsidR="00755DEE">
        <w:rPr>
          <w:rFonts w:asciiTheme="minorHAnsi" w:eastAsia="Times New Roman" w:hAnsiTheme="minorHAnsi" w:cstheme="minorHAnsi"/>
          <w:sz w:val="22"/>
          <w:szCs w:val="22"/>
          <w:lang w:eastAsia="en-US"/>
        </w:rPr>
        <w:t>w</w:t>
      </w:r>
      <w:r w:rsidR="00755DEE" w:rsidRPr="00F34253">
        <w:rPr>
          <w:rFonts w:asciiTheme="minorHAnsi" w:eastAsia="Times New Roman" w:hAnsiTheme="minorHAnsi" w:cstheme="minorHAnsi"/>
          <w:sz w:val="22"/>
          <w:szCs w:val="22"/>
          <w:lang w:eastAsia="en-US"/>
        </w:rPr>
        <w:t>as accepted into the Gender Impact Analysis Pilot Program, coordinated by the Department of Premier and Cabinet.  The program provide</w:t>
      </w:r>
      <w:r w:rsidR="00755DEE">
        <w:rPr>
          <w:rFonts w:asciiTheme="minorHAnsi" w:eastAsia="Times New Roman" w:hAnsiTheme="minorHAnsi" w:cstheme="minorHAnsi"/>
          <w:sz w:val="22"/>
          <w:szCs w:val="22"/>
          <w:lang w:eastAsia="en-US"/>
        </w:rPr>
        <w:t>d</w:t>
      </w:r>
      <w:r w:rsidR="00755DEE" w:rsidRPr="00F34253">
        <w:rPr>
          <w:rFonts w:asciiTheme="minorHAnsi" w:eastAsia="Times New Roman" w:hAnsiTheme="minorHAnsi" w:cstheme="minorHAnsi"/>
          <w:sz w:val="22"/>
          <w:szCs w:val="22"/>
          <w:lang w:eastAsia="en-US"/>
        </w:rPr>
        <w:t xml:space="preserve"> the opportunity for the VFA to have input into the implementation of the </w:t>
      </w:r>
      <w:r w:rsidR="00755DEE" w:rsidRPr="00755DEE">
        <w:rPr>
          <w:rFonts w:asciiTheme="minorHAnsi" w:eastAsia="Times New Roman" w:hAnsiTheme="minorHAnsi" w:cstheme="minorHAnsi"/>
          <w:i/>
          <w:iCs/>
          <w:sz w:val="22"/>
          <w:szCs w:val="22"/>
          <w:lang w:eastAsia="en-US"/>
        </w:rPr>
        <w:t xml:space="preserve">Gender Equality </w:t>
      </w:r>
      <w:r w:rsidR="001D3D6F">
        <w:rPr>
          <w:rFonts w:asciiTheme="minorHAnsi" w:eastAsia="Times New Roman" w:hAnsiTheme="minorHAnsi" w:cstheme="minorHAnsi"/>
          <w:i/>
          <w:iCs/>
          <w:sz w:val="22"/>
          <w:szCs w:val="22"/>
          <w:lang w:eastAsia="en-US"/>
        </w:rPr>
        <w:t>Act 2020</w:t>
      </w:r>
      <w:r w:rsidR="00755DEE" w:rsidRPr="00F34253">
        <w:rPr>
          <w:rFonts w:asciiTheme="minorHAnsi" w:eastAsia="Times New Roman" w:hAnsiTheme="minorHAnsi" w:cstheme="minorHAnsi"/>
          <w:sz w:val="22"/>
          <w:szCs w:val="22"/>
          <w:lang w:eastAsia="en-US"/>
        </w:rPr>
        <w:t xml:space="preserve">, which </w:t>
      </w:r>
      <w:r w:rsidR="001D3D6F">
        <w:rPr>
          <w:rFonts w:asciiTheme="minorHAnsi" w:eastAsia="Times New Roman" w:hAnsiTheme="minorHAnsi" w:cstheme="minorHAnsi"/>
          <w:sz w:val="22"/>
          <w:szCs w:val="22"/>
          <w:lang w:eastAsia="en-US"/>
        </w:rPr>
        <w:t>came into effect on 25 February</w:t>
      </w:r>
      <w:r w:rsidR="00755DEE" w:rsidRPr="00F34253">
        <w:rPr>
          <w:rFonts w:asciiTheme="minorHAnsi" w:eastAsia="Times New Roman" w:hAnsiTheme="minorHAnsi" w:cstheme="minorHAnsi"/>
          <w:sz w:val="22"/>
          <w:szCs w:val="22"/>
          <w:lang w:eastAsia="en-US"/>
        </w:rPr>
        <w:t xml:space="preserve"> 2020.  </w:t>
      </w:r>
    </w:p>
    <w:p w14:paraId="4775EE24" w14:textId="5C8D4F7A" w:rsidR="004336D5" w:rsidRDefault="00F061E6" w:rsidP="00AA5895">
      <w:pPr>
        <w:rPr>
          <w:rFonts w:asciiTheme="minorHAnsi" w:eastAsia="Times New Roman" w:hAnsiTheme="minorHAnsi" w:cstheme="minorHAnsi"/>
          <w:sz w:val="22"/>
          <w:szCs w:val="22"/>
        </w:rPr>
      </w:pPr>
      <w:r>
        <w:rPr>
          <w:rFonts w:asciiTheme="minorHAnsi" w:eastAsia="Times New Roman" w:hAnsiTheme="minorHAnsi" w:cstheme="minorHAnsi"/>
          <w:sz w:val="22"/>
          <w:szCs w:val="22"/>
        </w:rPr>
        <w:t>T</w:t>
      </w:r>
      <w:r w:rsidR="00051567">
        <w:rPr>
          <w:rFonts w:asciiTheme="minorHAnsi" w:eastAsia="Times New Roman" w:hAnsiTheme="minorHAnsi" w:cstheme="minorHAnsi"/>
          <w:sz w:val="22"/>
          <w:szCs w:val="22"/>
        </w:rPr>
        <w:t>he VFA Board</w:t>
      </w:r>
      <w:r w:rsidR="00C868A1">
        <w:rPr>
          <w:rFonts w:asciiTheme="minorHAnsi" w:eastAsia="Times New Roman" w:hAnsiTheme="minorHAnsi" w:cstheme="minorHAnsi"/>
          <w:sz w:val="22"/>
          <w:szCs w:val="22"/>
        </w:rPr>
        <w:t xml:space="preserve"> is a gender balanced Board with a Charter that is regularly reviewed. The Board </w:t>
      </w:r>
      <w:r w:rsidR="005C1A98">
        <w:rPr>
          <w:rFonts w:asciiTheme="minorHAnsi" w:eastAsia="Times New Roman" w:hAnsiTheme="minorHAnsi" w:cstheme="minorHAnsi"/>
          <w:sz w:val="22"/>
          <w:szCs w:val="22"/>
        </w:rPr>
        <w:t xml:space="preserve">has </w:t>
      </w:r>
      <w:r w:rsidR="008A1208">
        <w:rPr>
          <w:rFonts w:asciiTheme="minorHAnsi" w:eastAsia="Times New Roman" w:hAnsiTheme="minorHAnsi" w:cstheme="minorHAnsi"/>
          <w:sz w:val="22"/>
          <w:szCs w:val="22"/>
        </w:rPr>
        <w:t xml:space="preserve">established three committees: Audit and Risk, People and Safety and </w:t>
      </w:r>
      <w:r w:rsidR="000E714E">
        <w:rPr>
          <w:rFonts w:asciiTheme="minorHAnsi" w:eastAsia="Times New Roman" w:hAnsiTheme="minorHAnsi" w:cstheme="minorHAnsi"/>
          <w:sz w:val="22"/>
          <w:szCs w:val="22"/>
        </w:rPr>
        <w:t>Strategy</w:t>
      </w:r>
      <w:r w:rsidR="008A1208">
        <w:rPr>
          <w:rFonts w:asciiTheme="minorHAnsi" w:eastAsia="Times New Roman" w:hAnsiTheme="minorHAnsi" w:cstheme="minorHAnsi"/>
          <w:sz w:val="22"/>
          <w:szCs w:val="22"/>
        </w:rPr>
        <w:t xml:space="preserve"> and Engagemen</w:t>
      </w:r>
      <w:r w:rsidR="000E714E">
        <w:rPr>
          <w:rFonts w:asciiTheme="minorHAnsi" w:eastAsia="Times New Roman" w:hAnsiTheme="minorHAnsi" w:cstheme="minorHAnsi"/>
          <w:sz w:val="22"/>
          <w:szCs w:val="22"/>
        </w:rPr>
        <w:t xml:space="preserve">t </w:t>
      </w:r>
      <w:r w:rsidR="00A13B24">
        <w:rPr>
          <w:rFonts w:asciiTheme="minorHAnsi" w:eastAsia="Times New Roman" w:hAnsiTheme="minorHAnsi" w:cstheme="minorHAnsi"/>
          <w:sz w:val="22"/>
          <w:szCs w:val="22"/>
        </w:rPr>
        <w:t>Advisory</w:t>
      </w:r>
      <w:r w:rsidR="005C1A98">
        <w:rPr>
          <w:rFonts w:asciiTheme="minorHAnsi" w:eastAsia="Times New Roman" w:hAnsiTheme="minorHAnsi" w:cstheme="minorHAnsi"/>
          <w:sz w:val="22"/>
          <w:szCs w:val="22"/>
        </w:rPr>
        <w:t xml:space="preserve"> all with their own charters. </w:t>
      </w:r>
      <w:r w:rsidR="001554C5">
        <w:rPr>
          <w:rFonts w:asciiTheme="minorHAnsi" w:eastAsia="Times New Roman" w:hAnsiTheme="minorHAnsi" w:cstheme="minorHAnsi"/>
          <w:sz w:val="22"/>
          <w:szCs w:val="22"/>
        </w:rPr>
        <w:t xml:space="preserve">A governance framework </w:t>
      </w:r>
      <w:r w:rsidR="00B66CB1">
        <w:rPr>
          <w:rFonts w:asciiTheme="minorHAnsi" w:eastAsia="Times New Roman" w:hAnsiTheme="minorHAnsi" w:cstheme="minorHAnsi"/>
          <w:sz w:val="22"/>
          <w:szCs w:val="22"/>
        </w:rPr>
        <w:t xml:space="preserve">was </w:t>
      </w:r>
      <w:r w:rsidR="001554C5">
        <w:rPr>
          <w:rFonts w:asciiTheme="minorHAnsi" w:eastAsia="Times New Roman" w:hAnsiTheme="minorHAnsi" w:cstheme="minorHAnsi"/>
          <w:sz w:val="22"/>
          <w:szCs w:val="22"/>
        </w:rPr>
        <w:t>est</w:t>
      </w:r>
      <w:r w:rsidR="00331562">
        <w:rPr>
          <w:rFonts w:asciiTheme="minorHAnsi" w:eastAsia="Times New Roman" w:hAnsiTheme="minorHAnsi" w:cstheme="minorHAnsi"/>
          <w:sz w:val="22"/>
          <w:szCs w:val="22"/>
        </w:rPr>
        <w:t>ablished</w:t>
      </w:r>
      <w:r w:rsidR="00D209D9">
        <w:rPr>
          <w:rFonts w:asciiTheme="minorHAnsi" w:eastAsia="Times New Roman" w:hAnsiTheme="minorHAnsi" w:cstheme="minorHAnsi"/>
          <w:sz w:val="22"/>
          <w:szCs w:val="22"/>
        </w:rPr>
        <w:t>,</w:t>
      </w:r>
      <w:r w:rsidR="00331562">
        <w:rPr>
          <w:rFonts w:asciiTheme="minorHAnsi" w:eastAsia="Times New Roman" w:hAnsiTheme="minorHAnsi" w:cstheme="minorHAnsi"/>
          <w:sz w:val="22"/>
          <w:szCs w:val="22"/>
        </w:rPr>
        <w:t xml:space="preserve"> which is reviewed annually and maturity against the framework </w:t>
      </w:r>
      <w:r w:rsidR="00D209D9">
        <w:rPr>
          <w:rFonts w:asciiTheme="minorHAnsi" w:eastAsia="Times New Roman" w:hAnsiTheme="minorHAnsi" w:cstheme="minorHAnsi"/>
          <w:sz w:val="22"/>
          <w:szCs w:val="22"/>
        </w:rPr>
        <w:t xml:space="preserve">is </w:t>
      </w:r>
      <w:r w:rsidR="00331562">
        <w:rPr>
          <w:rFonts w:asciiTheme="minorHAnsi" w:eastAsia="Times New Roman" w:hAnsiTheme="minorHAnsi" w:cstheme="minorHAnsi"/>
          <w:sz w:val="22"/>
          <w:szCs w:val="22"/>
        </w:rPr>
        <w:t>assessed.</w:t>
      </w:r>
      <w:r w:rsidR="009A687B">
        <w:rPr>
          <w:rFonts w:asciiTheme="minorHAnsi" w:eastAsia="Times New Roman" w:hAnsiTheme="minorHAnsi" w:cstheme="minorHAnsi"/>
          <w:sz w:val="22"/>
          <w:szCs w:val="22"/>
        </w:rPr>
        <w:t xml:space="preserve"> </w:t>
      </w:r>
      <w:r w:rsidR="00B9584C">
        <w:rPr>
          <w:rFonts w:asciiTheme="minorHAnsi" w:eastAsia="Times New Roman" w:hAnsiTheme="minorHAnsi" w:cstheme="minorHAnsi"/>
          <w:sz w:val="22"/>
          <w:szCs w:val="22"/>
        </w:rPr>
        <w:t xml:space="preserve">Key mechanisms linked to the framework include </w:t>
      </w:r>
      <w:r w:rsidR="00897217">
        <w:rPr>
          <w:rFonts w:asciiTheme="minorHAnsi" w:eastAsia="Times New Roman" w:hAnsiTheme="minorHAnsi" w:cstheme="minorHAnsi"/>
          <w:sz w:val="22"/>
          <w:szCs w:val="22"/>
        </w:rPr>
        <w:t>strategic risk management, stakeholder e</w:t>
      </w:r>
      <w:r w:rsidR="00096B32">
        <w:rPr>
          <w:rFonts w:asciiTheme="minorHAnsi" w:eastAsia="Times New Roman" w:hAnsiTheme="minorHAnsi" w:cstheme="minorHAnsi"/>
          <w:sz w:val="22"/>
          <w:szCs w:val="22"/>
        </w:rPr>
        <w:t>ngagement and policies and procedures.</w:t>
      </w:r>
      <w:r w:rsidR="00DF0DF7">
        <w:rPr>
          <w:rFonts w:asciiTheme="minorHAnsi" w:eastAsia="Times New Roman" w:hAnsiTheme="minorHAnsi" w:cstheme="minorHAnsi"/>
          <w:sz w:val="22"/>
          <w:szCs w:val="22"/>
        </w:rPr>
        <w:t xml:space="preserve"> </w:t>
      </w:r>
    </w:p>
    <w:p w14:paraId="1A631A21" w14:textId="4A5F5CBF" w:rsidR="007306F6" w:rsidRPr="003779D2" w:rsidRDefault="007306F6" w:rsidP="004336D5">
      <w:pPr>
        <w:pStyle w:val="ListParagraph"/>
        <w:numPr>
          <w:ilvl w:val="0"/>
          <w:numId w:val="7"/>
        </w:numPr>
        <w:spacing w:before="240"/>
        <w:ind w:left="425" w:hanging="425"/>
        <w:contextualSpacing w:val="0"/>
        <w:rPr>
          <w:rFonts w:asciiTheme="minorHAnsi" w:eastAsia="Times New Roman" w:hAnsiTheme="minorHAnsi" w:cstheme="minorHAnsi"/>
          <w:b/>
          <w:bCs/>
          <w:sz w:val="22"/>
        </w:rPr>
      </w:pPr>
      <w:r>
        <w:rPr>
          <w:rFonts w:asciiTheme="minorHAnsi" w:eastAsia="Times New Roman" w:hAnsiTheme="minorHAnsi" w:cstheme="minorHAnsi"/>
          <w:b/>
          <w:bCs/>
          <w:sz w:val="22"/>
        </w:rPr>
        <w:t xml:space="preserve">Clear and consistent regulatory activities </w:t>
      </w:r>
    </w:p>
    <w:tbl>
      <w:tblPr>
        <w:tblStyle w:val="TableGrid"/>
        <w:tblW w:w="9634" w:type="dxa"/>
        <w:tblLook w:val="04A0" w:firstRow="1" w:lastRow="0" w:firstColumn="1" w:lastColumn="0" w:noHBand="0" w:noVBand="1"/>
      </w:tblPr>
      <w:tblGrid>
        <w:gridCol w:w="9634"/>
      </w:tblGrid>
      <w:tr w:rsidR="007306F6" w:rsidRPr="005A4D08" w14:paraId="59C1827A" w14:textId="77777777" w:rsidTr="00C950BD">
        <w:tc>
          <w:tcPr>
            <w:tcW w:w="9634" w:type="dxa"/>
            <w:shd w:val="clear" w:color="auto" w:fill="407798" w:themeFill="text2"/>
            <w:vAlign w:val="center"/>
          </w:tcPr>
          <w:p w14:paraId="66EE29AB" w14:textId="77777777" w:rsidR="007306F6" w:rsidRPr="00BF427B" w:rsidRDefault="007306F6" w:rsidP="00C950BD">
            <w:pPr>
              <w:spacing w:after="120"/>
              <w:rPr>
                <w:rFonts w:asciiTheme="minorHAnsi" w:eastAsia="Times New Roman" w:hAnsiTheme="minorHAnsi" w:cstheme="minorHAnsi"/>
                <w:b/>
                <w:bCs/>
                <w:color w:val="FFFFFF" w:themeColor="background1"/>
                <w:sz w:val="22"/>
                <w:szCs w:val="22"/>
                <w:lang w:eastAsia="en-US"/>
              </w:rPr>
            </w:pPr>
            <w:r w:rsidRPr="00BF427B">
              <w:rPr>
                <w:rFonts w:asciiTheme="minorHAnsi" w:eastAsia="Times New Roman" w:hAnsiTheme="minorHAnsi" w:cstheme="minorHAnsi"/>
                <w:b/>
                <w:bCs/>
                <w:color w:val="FFFFFF" w:themeColor="background1"/>
                <w:sz w:val="22"/>
                <w:szCs w:val="22"/>
                <w:lang w:eastAsia="en-US"/>
              </w:rPr>
              <w:t>Ministerial Expectation</w:t>
            </w:r>
          </w:p>
        </w:tc>
      </w:tr>
      <w:tr w:rsidR="007306F6" w:rsidRPr="005A4D08" w14:paraId="3AB4CC37" w14:textId="77777777" w:rsidTr="00C950BD">
        <w:tc>
          <w:tcPr>
            <w:tcW w:w="9634" w:type="dxa"/>
          </w:tcPr>
          <w:p w14:paraId="526347AF" w14:textId="0A126A52" w:rsidR="007306F6" w:rsidRPr="00BB1E71" w:rsidRDefault="00202511" w:rsidP="00C950BD">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Continue to review and refine approaches to deliver efficient and effective risk-based regulatory outcomes.  In particular, the VFA should apply the minimum level of regulatory intervention to achieve the outcome sought.</w:t>
            </w:r>
          </w:p>
          <w:p w14:paraId="45C1E681" w14:textId="6B55177D" w:rsidR="007306F6" w:rsidRPr="000D26F0" w:rsidRDefault="00202511" w:rsidP="00C950BD">
            <w:pPr>
              <w:pStyle w:val="ListParagraph"/>
              <w:numPr>
                <w:ilvl w:val="0"/>
                <w:numId w:val="8"/>
              </w:numPr>
              <w:spacing w:before="120"/>
              <w:ind w:left="317" w:hanging="284"/>
              <w:contextualSpacing w:val="0"/>
              <w:jc w:val="left"/>
              <w:rPr>
                <w:rFonts w:asciiTheme="minorHAnsi" w:hAnsiTheme="minorHAnsi" w:cstheme="minorHAnsi"/>
                <w:sz w:val="22"/>
              </w:rPr>
            </w:pPr>
            <w:r>
              <w:rPr>
                <w:rFonts w:asciiTheme="minorHAnsi" w:hAnsiTheme="minorHAnsi" w:cstheme="minorHAnsi"/>
                <w:sz w:val="22"/>
              </w:rPr>
              <w:t>Design and roll-out an annual education and enforcement strategic plan.</w:t>
            </w:r>
          </w:p>
        </w:tc>
      </w:tr>
      <w:tr w:rsidR="007306F6" w:rsidRPr="00ED7DC7" w14:paraId="56493991" w14:textId="77777777" w:rsidTr="00C950BD">
        <w:tc>
          <w:tcPr>
            <w:tcW w:w="9634" w:type="dxa"/>
            <w:shd w:val="clear" w:color="auto" w:fill="D5E4ED" w:themeFill="text2" w:themeFillTint="33"/>
          </w:tcPr>
          <w:p w14:paraId="450B1C4B" w14:textId="77777777" w:rsidR="007306F6" w:rsidRPr="00ED7DC7" w:rsidRDefault="007306F6" w:rsidP="00C950BD">
            <w:pPr>
              <w:spacing w:after="120"/>
              <w:rPr>
                <w:rFonts w:asciiTheme="minorHAnsi" w:eastAsia="Times New Roman" w:hAnsiTheme="minorHAnsi" w:cstheme="minorHAnsi"/>
                <w:b/>
                <w:bCs/>
                <w:sz w:val="22"/>
                <w:szCs w:val="22"/>
                <w:lang w:eastAsia="en-US"/>
              </w:rPr>
            </w:pPr>
            <w:r w:rsidRPr="00ED7DC7">
              <w:rPr>
                <w:rFonts w:asciiTheme="minorHAnsi" w:eastAsia="Times New Roman" w:hAnsiTheme="minorHAnsi" w:cstheme="minorHAnsi"/>
                <w:b/>
                <w:bCs/>
                <w:sz w:val="22"/>
                <w:szCs w:val="22"/>
                <w:lang w:eastAsia="en-US"/>
              </w:rPr>
              <w:t>VFA Improvement Response</w:t>
            </w:r>
          </w:p>
        </w:tc>
      </w:tr>
      <w:tr w:rsidR="007306F6" w:rsidRPr="005A4D08" w14:paraId="50AEE733" w14:textId="77777777" w:rsidTr="00C950BD">
        <w:tc>
          <w:tcPr>
            <w:tcW w:w="9634" w:type="dxa"/>
          </w:tcPr>
          <w:p w14:paraId="52326516" w14:textId="55D7834C" w:rsidR="007306F6" w:rsidRPr="002813C6" w:rsidRDefault="00A10A07" w:rsidP="00C950BD">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hAnsiTheme="minorHAnsi" w:cstheme="minorHAnsi"/>
                <w:sz w:val="22"/>
              </w:rPr>
              <w:t>Deliver an education and enforcement plan.</w:t>
            </w:r>
          </w:p>
          <w:p w14:paraId="401715DF" w14:textId="4A9E03B7" w:rsidR="007306F6" w:rsidRPr="00A10A07" w:rsidRDefault="00A10A07" w:rsidP="00A10A07">
            <w:pPr>
              <w:pStyle w:val="ListParagraph"/>
              <w:numPr>
                <w:ilvl w:val="0"/>
                <w:numId w:val="8"/>
              </w:numPr>
              <w:spacing w:before="120"/>
              <w:ind w:left="317" w:hanging="284"/>
              <w:contextualSpacing w:val="0"/>
              <w:jc w:val="left"/>
              <w:rPr>
                <w:rFonts w:asciiTheme="minorHAnsi" w:eastAsia="Times New Roman" w:hAnsiTheme="minorHAnsi" w:cstheme="minorHAnsi"/>
                <w:sz w:val="22"/>
              </w:rPr>
            </w:pPr>
            <w:r>
              <w:rPr>
                <w:rFonts w:asciiTheme="minorHAnsi" w:eastAsia="Times New Roman" w:hAnsiTheme="minorHAnsi" w:cstheme="minorHAnsi"/>
                <w:sz w:val="22"/>
              </w:rPr>
              <w:t>Meet with the Red Tape Commissioner to discuss SOE progress and identify improvement opportunities.</w:t>
            </w:r>
          </w:p>
        </w:tc>
      </w:tr>
    </w:tbl>
    <w:p w14:paraId="39EB33BC" w14:textId="1F4ED3DE" w:rsidR="00D26C66" w:rsidRDefault="00D26C66" w:rsidP="00BE6542">
      <w:p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An aim of reviewing the </w:t>
      </w:r>
      <w:r w:rsidRPr="00470C94">
        <w:rPr>
          <w:rFonts w:asciiTheme="minorHAnsi" w:eastAsia="Times New Roman" w:hAnsiTheme="minorHAnsi" w:cstheme="minorHAnsi"/>
          <w:i/>
          <w:iCs/>
          <w:sz w:val="22"/>
          <w:szCs w:val="22"/>
        </w:rPr>
        <w:t>Fisheries Regulations 2009</w:t>
      </w:r>
      <w:r>
        <w:rPr>
          <w:rFonts w:asciiTheme="minorHAnsi" w:eastAsia="Times New Roman" w:hAnsiTheme="minorHAnsi" w:cstheme="minorHAnsi"/>
          <w:sz w:val="22"/>
          <w:szCs w:val="22"/>
        </w:rPr>
        <w:t xml:space="preserve"> was to identify opportunities to refine the VFA’s delivery of efficient and effective regulation</w:t>
      </w:r>
      <w:r w:rsidR="00470C94">
        <w:rPr>
          <w:rFonts w:asciiTheme="minorHAnsi" w:eastAsia="Times New Roman" w:hAnsiTheme="minorHAnsi" w:cstheme="minorHAnsi"/>
          <w:sz w:val="22"/>
          <w:szCs w:val="22"/>
        </w:rPr>
        <w:t xml:space="preserve"> and to set criteria for regulatory intervention.  Risk assessments are conducted annually to determine the focus for enforcement activity</w:t>
      </w:r>
      <w:r w:rsidR="003173DC">
        <w:rPr>
          <w:rFonts w:asciiTheme="minorHAnsi" w:eastAsia="Times New Roman" w:hAnsiTheme="minorHAnsi" w:cstheme="minorHAnsi"/>
          <w:sz w:val="22"/>
          <w:szCs w:val="22"/>
        </w:rPr>
        <w:t>; the results of which are</w:t>
      </w:r>
      <w:r w:rsidR="00470C94">
        <w:rPr>
          <w:rFonts w:asciiTheme="minorHAnsi" w:eastAsia="Times New Roman" w:hAnsiTheme="minorHAnsi" w:cstheme="minorHAnsi"/>
          <w:sz w:val="22"/>
          <w:szCs w:val="22"/>
        </w:rPr>
        <w:t xml:space="preserve"> captured in the </w:t>
      </w:r>
      <w:r w:rsidR="003173DC">
        <w:rPr>
          <w:rFonts w:asciiTheme="minorHAnsi" w:eastAsia="Times New Roman" w:hAnsiTheme="minorHAnsi" w:cstheme="minorHAnsi"/>
          <w:sz w:val="22"/>
          <w:szCs w:val="22"/>
        </w:rPr>
        <w:t xml:space="preserve">strategic </w:t>
      </w:r>
      <w:r w:rsidR="00470C94">
        <w:rPr>
          <w:rFonts w:asciiTheme="minorHAnsi" w:eastAsia="Times New Roman" w:hAnsiTheme="minorHAnsi" w:cstheme="minorHAnsi"/>
          <w:sz w:val="22"/>
          <w:szCs w:val="22"/>
        </w:rPr>
        <w:t xml:space="preserve">planning </w:t>
      </w:r>
      <w:r w:rsidR="003173DC">
        <w:rPr>
          <w:rFonts w:asciiTheme="minorHAnsi" w:eastAsia="Times New Roman" w:hAnsiTheme="minorHAnsi" w:cstheme="minorHAnsi"/>
          <w:sz w:val="22"/>
          <w:szCs w:val="22"/>
        </w:rPr>
        <w:t>of the VFA’s E</w:t>
      </w:r>
      <w:r w:rsidR="00470C94">
        <w:rPr>
          <w:rFonts w:asciiTheme="minorHAnsi" w:eastAsia="Times New Roman" w:hAnsiTheme="minorHAnsi" w:cstheme="minorHAnsi"/>
          <w:sz w:val="22"/>
          <w:szCs w:val="22"/>
        </w:rPr>
        <w:t xml:space="preserve">ducation and </w:t>
      </w:r>
      <w:r w:rsidR="003173DC">
        <w:rPr>
          <w:rFonts w:asciiTheme="minorHAnsi" w:eastAsia="Times New Roman" w:hAnsiTheme="minorHAnsi" w:cstheme="minorHAnsi"/>
          <w:sz w:val="22"/>
          <w:szCs w:val="22"/>
        </w:rPr>
        <w:t>E</w:t>
      </w:r>
      <w:r w:rsidR="00470C94">
        <w:rPr>
          <w:rFonts w:asciiTheme="minorHAnsi" w:eastAsia="Times New Roman" w:hAnsiTheme="minorHAnsi" w:cstheme="minorHAnsi"/>
          <w:sz w:val="22"/>
          <w:szCs w:val="22"/>
        </w:rPr>
        <w:t xml:space="preserve">nforcement </w:t>
      </w:r>
      <w:r w:rsidR="003173DC">
        <w:rPr>
          <w:rFonts w:asciiTheme="minorHAnsi" w:eastAsia="Times New Roman" w:hAnsiTheme="minorHAnsi" w:cstheme="minorHAnsi"/>
          <w:sz w:val="22"/>
          <w:szCs w:val="22"/>
        </w:rPr>
        <w:t xml:space="preserve">branch.  To underpin the </w:t>
      </w:r>
      <w:r w:rsidR="003173DC">
        <w:rPr>
          <w:rFonts w:asciiTheme="minorHAnsi" w:eastAsia="Times New Roman" w:hAnsiTheme="minorHAnsi" w:cstheme="minorHAnsi"/>
          <w:sz w:val="22"/>
          <w:szCs w:val="22"/>
        </w:rPr>
        <w:lastRenderedPageBreak/>
        <w:t xml:space="preserve">annual education and enforcement plan and ensure a cohesive approach, the VFA has developed a high-level multi-year education and enforcement strategic plan.  </w:t>
      </w:r>
    </w:p>
    <w:p w14:paraId="6995B050" w14:textId="6049AD28" w:rsidR="007306F6" w:rsidRDefault="00CF7AFA" w:rsidP="00BE6542">
      <w:pPr>
        <w:rPr>
          <w:rFonts w:asciiTheme="minorHAnsi" w:eastAsia="Times New Roman" w:hAnsiTheme="minorHAnsi" w:cstheme="minorHAnsi"/>
          <w:sz w:val="22"/>
          <w:szCs w:val="22"/>
        </w:rPr>
      </w:pPr>
      <w:r>
        <w:rPr>
          <w:rFonts w:asciiTheme="minorHAnsi" w:eastAsia="Times New Roman" w:hAnsiTheme="minorHAnsi" w:cstheme="minorHAnsi"/>
          <w:sz w:val="22"/>
          <w:szCs w:val="22"/>
        </w:rPr>
        <w:t>As required under the SOE, the VFA Chief Executive Officer has had regular meetings with the Red Tape Commissioner to discuss the VFA’s implementation of the SOE.</w:t>
      </w:r>
    </w:p>
    <w:p w14:paraId="693D9920" w14:textId="7B2859DB" w:rsidR="00202511" w:rsidRDefault="00202511" w:rsidP="00BE6542">
      <w:pPr>
        <w:rPr>
          <w:rFonts w:asciiTheme="minorHAnsi" w:eastAsia="Times New Roman" w:hAnsiTheme="minorHAnsi" w:cstheme="minorHAnsi"/>
          <w:sz w:val="22"/>
          <w:szCs w:val="22"/>
        </w:rPr>
      </w:pPr>
    </w:p>
    <w:p w14:paraId="55A27CC1" w14:textId="20B2F48D" w:rsidR="00202511" w:rsidRPr="003173DC" w:rsidRDefault="00202511" w:rsidP="00BE6542">
      <w:pPr>
        <w:rPr>
          <w:rFonts w:asciiTheme="minorHAnsi" w:eastAsia="Times New Roman" w:hAnsiTheme="minorHAnsi" w:cstheme="minorHAnsi"/>
          <w:b/>
          <w:bCs/>
          <w:sz w:val="22"/>
          <w:szCs w:val="22"/>
        </w:rPr>
      </w:pPr>
      <w:r w:rsidRPr="003173DC">
        <w:rPr>
          <w:rFonts w:asciiTheme="minorHAnsi" w:eastAsia="Times New Roman" w:hAnsiTheme="minorHAnsi" w:cstheme="minorHAnsi"/>
          <w:b/>
          <w:bCs/>
          <w:sz w:val="22"/>
          <w:szCs w:val="22"/>
        </w:rPr>
        <w:t>Reporting and evaluation</w:t>
      </w:r>
    </w:p>
    <w:p w14:paraId="03EC3E71" w14:textId="538E64BC" w:rsidR="00B9046D" w:rsidRDefault="00B9046D" w:rsidP="00BE6542">
      <w:pPr>
        <w:rPr>
          <w:rFonts w:asciiTheme="minorHAnsi" w:eastAsia="Times New Roman" w:hAnsiTheme="minorHAnsi" w:cstheme="minorHAnsi"/>
          <w:sz w:val="22"/>
          <w:szCs w:val="22"/>
        </w:rPr>
      </w:pPr>
      <w:r>
        <w:rPr>
          <w:rFonts w:asciiTheme="minorHAnsi" w:eastAsia="Times New Roman" w:hAnsiTheme="minorHAnsi" w:cstheme="minorHAnsi"/>
          <w:sz w:val="22"/>
          <w:szCs w:val="22"/>
        </w:rPr>
        <w:t>As required in t</w:t>
      </w:r>
      <w:r w:rsidR="00F7053E">
        <w:rPr>
          <w:rFonts w:asciiTheme="minorHAnsi" w:eastAsia="Times New Roman" w:hAnsiTheme="minorHAnsi" w:cstheme="minorHAnsi"/>
          <w:sz w:val="22"/>
          <w:szCs w:val="22"/>
        </w:rPr>
        <w:t>he SOE</w:t>
      </w:r>
      <w:r>
        <w:rPr>
          <w:rFonts w:asciiTheme="minorHAnsi" w:eastAsia="Times New Roman" w:hAnsiTheme="minorHAnsi" w:cstheme="minorHAnsi"/>
          <w:sz w:val="22"/>
          <w:szCs w:val="22"/>
        </w:rPr>
        <w:t xml:space="preserve">, the VFA has incorporated the SOE </w:t>
      </w:r>
      <w:r w:rsidR="00C950BD">
        <w:rPr>
          <w:rFonts w:asciiTheme="minorHAnsi" w:eastAsia="Times New Roman" w:hAnsiTheme="minorHAnsi" w:cstheme="minorHAnsi"/>
          <w:sz w:val="22"/>
          <w:szCs w:val="22"/>
        </w:rPr>
        <w:t>improvement</w:t>
      </w:r>
      <w:r>
        <w:rPr>
          <w:rFonts w:asciiTheme="minorHAnsi" w:eastAsia="Times New Roman" w:hAnsiTheme="minorHAnsi" w:cstheme="minorHAnsi"/>
          <w:sz w:val="22"/>
          <w:szCs w:val="22"/>
        </w:rPr>
        <w:t xml:space="preserve"> targets in the annual business plans and reported progress against the performance improvement expectations in its annual report. </w:t>
      </w:r>
    </w:p>
    <w:p w14:paraId="2EEA146F" w14:textId="40A13251" w:rsidR="009A7DB4" w:rsidRPr="00207F60" w:rsidRDefault="00DA3200" w:rsidP="00207F60">
      <w:pPr>
        <w:pStyle w:val="VFAHeading1"/>
        <w:spacing w:after="240"/>
      </w:pPr>
      <w:bookmarkStart w:id="12" w:name="_Toc48750129"/>
      <w:r w:rsidRPr="00207F60">
        <w:t>Conclusion</w:t>
      </w:r>
      <w:bookmarkEnd w:id="12"/>
    </w:p>
    <w:p w14:paraId="34AD5C1F" w14:textId="2DE5E2C6" w:rsidR="00CC6A56" w:rsidRDefault="00D62883" w:rsidP="00BE6542">
      <w:pPr>
        <w:rPr>
          <w:rFonts w:asciiTheme="minorHAnsi" w:hAnsiTheme="minorHAnsi" w:cstheme="minorHAnsi"/>
          <w:sz w:val="22"/>
          <w:szCs w:val="22"/>
        </w:rPr>
      </w:pPr>
      <w:r>
        <w:rPr>
          <w:rFonts w:asciiTheme="minorHAnsi" w:hAnsiTheme="minorHAnsi" w:cstheme="minorHAnsi"/>
          <w:sz w:val="22"/>
          <w:szCs w:val="22"/>
        </w:rPr>
        <w:t>The</w:t>
      </w:r>
      <w:r w:rsidR="00030F63">
        <w:rPr>
          <w:rFonts w:asciiTheme="minorHAnsi" w:hAnsiTheme="minorHAnsi" w:cstheme="minorHAnsi"/>
          <w:sz w:val="22"/>
          <w:szCs w:val="22"/>
        </w:rPr>
        <w:t xml:space="preserve"> VFA was created </w:t>
      </w:r>
      <w:r>
        <w:rPr>
          <w:rFonts w:asciiTheme="minorHAnsi" w:hAnsiTheme="minorHAnsi" w:cstheme="minorHAnsi"/>
          <w:sz w:val="22"/>
          <w:szCs w:val="22"/>
        </w:rPr>
        <w:t>in mid-201</w:t>
      </w:r>
      <w:r w:rsidR="00030F63">
        <w:rPr>
          <w:rFonts w:asciiTheme="minorHAnsi" w:hAnsiTheme="minorHAnsi" w:cstheme="minorHAnsi"/>
          <w:sz w:val="22"/>
          <w:szCs w:val="22"/>
        </w:rPr>
        <w:t>7 by establishing the then Fisheries Victoria as a statutory authority</w:t>
      </w:r>
      <w:r w:rsidR="00CD2F91">
        <w:rPr>
          <w:rFonts w:asciiTheme="minorHAnsi" w:hAnsiTheme="minorHAnsi" w:cstheme="minorHAnsi"/>
          <w:sz w:val="22"/>
          <w:szCs w:val="22"/>
        </w:rPr>
        <w:t xml:space="preserve">, consequently much of the SOE was focussed on the VFA growing its role as a stand-alone authority able to meet the expectations of government and the community. </w:t>
      </w:r>
      <w:r>
        <w:rPr>
          <w:rFonts w:asciiTheme="minorHAnsi" w:hAnsiTheme="minorHAnsi" w:cstheme="minorHAnsi"/>
          <w:sz w:val="22"/>
          <w:szCs w:val="22"/>
        </w:rPr>
        <w:t xml:space="preserve"> T</w:t>
      </w:r>
      <w:r w:rsidR="00CC6A56">
        <w:rPr>
          <w:rFonts w:asciiTheme="minorHAnsi" w:hAnsiTheme="minorHAnsi" w:cstheme="minorHAnsi"/>
          <w:sz w:val="22"/>
          <w:szCs w:val="22"/>
        </w:rPr>
        <w:t>he foundation Fisheries Victoria had in place</w:t>
      </w:r>
      <w:r w:rsidR="00EB5A6A">
        <w:rPr>
          <w:rFonts w:asciiTheme="minorHAnsi" w:hAnsiTheme="minorHAnsi" w:cstheme="minorHAnsi"/>
          <w:sz w:val="22"/>
          <w:szCs w:val="22"/>
        </w:rPr>
        <w:t xml:space="preserve"> enabled</w:t>
      </w:r>
      <w:r w:rsidR="00CC6A56">
        <w:rPr>
          <w:rFonts w:asciiTheme="minorHAnsi" w:hAnsiTheme="minorHAnsi" w:cstheme="minorHAnsi"/>
          <w:sz w:val="22"/>
          <w:szCs w:val="22"/>
        </w:rPr>
        <w:t xml:space="preserve"> the </w:t>
      </w:r>
      <w:r w:rsidR="00C70853">
        <w:rPr>
          <w:rFonts w:asciiTheme="minorHAnsi" w:hAnsiTheme="minorHAnsi" w:cstheme="minorHAnsi"/>
          <w:sz w:val="22"/>
          <w:szCs w:val="22"/>
        </w:rPr>
        <w:t xml:space="preserve">efficient </w:t>
      </w:r>
      <w:r w:rsidR="00CC6A56">
        <w:rPr>
          <w:rFonts w:asciiTheme="minorHAnsi" w:hAnsiTheme="minorHAnsi" w:cstheme="minorHAnsi"/>
          <w:sz w:val="22"/>
          <w:szCs w:val="22"/>
        </w:rPr>
        <w:t xml:space="preserve">transition to an effective statutory authority </w:t>
      </w:r>
      <w:r w:rsidR="00EB5A6A">
        <w:rPr>
          <w:rFonts w:asciiTheme="minorHAnsi" w:hAnsiTheme="minorHAnsi" w:cstheme="minorHAnsi"/>
          <w:sz w:val="22"/>
          <w:szCs w:val="22"/>
        </w:rPr>
        <w:t xml:space="preserve">and the SOE guided the VFA’s response to </w:t>
      </w:r>
      <w:r w:rsidR="00C70853">
        <w:rPr>
          <w:rFonts w:asciiTheme="minorHAnsi" w:hAnsiTheme="minorHAnsi" w:cstheme="minorHAnsi"/>
          <w:sz w:val="22"/>
          <w:szCs w:val="22"/>
        </w:rPr>
        <w:t>an enhanced regulatory environment.</w:t>
      </w:r>
    </w:p>
    <w:p w14:paraId="67399D5E" w14:textId="7D00A220" w:rsidR="00C950BD" w:rsidRDefault="00C950BD" w:rsidP="00BE6542">
      <w:pPr>
        <w:rPr>
          <w:rFonts w:asciiTheme="minorHAnsi" w:hAnsiTheme="minorHAnsi" w:cstheme="minorHAnsi"/>
          <w:sz w:val="22"/>
          <w:szCs w:val="22"/>
        </w:rPr>
      </w:pPr>
      <w:r>
        <w:rPr>
          <w:rFonts w:asciiTheme="minorHAnsi" w:hAnsiTheme="minorHAnsi" w:cstheme="minorHAnsi"/>
          <w:sz w:val="22"/>
          <w:szCs w:val="22"/>
        </w:rPr>
        <w:t xml:space="preserve">The VFA has achieved </w:t>
      </w:r>
      <w:r w:rsidR="005E1633">
        <w:rPr>
          <w:rFonts w:asciiTheme="minorHAnsi" w:hAnsiTheme="minorHAnsi" w:cstheme="minorHAnsi"/>
          <w:sz w:val="22"/>
          <w:szCs w:val="22"/>
        </w:rPr>
        <w:t>each</w:t>
      </w:r>
      <w:r>
        <w:rPr>
          <w:rFonts w:asciiTheme="minorHAnsi" w:hAnsiTheme="minorHAnsi" w:cstheme="minorHAnsi"/>
          <w:sz w:val="22"/>
          <w:szCs w:val="22"/>
        </w:rPr>
        <w:t xml:space="preserve"> of the improvement targets in the SOE.  The findings of the Process Evaluation indicate that the developmental process of the SOE was satisfactory for the VFA.  The findings of the Performance Evaluation confirm that the VFA addressed the improvement targets and met the expectations set out by the Minister.</w:t>
      </w:r>
    </w:p>
    <w:p w14:paraId="1C589DF6" w14:textId="2A8BE7C9" w:rsidR="007945E7" w:rsidRDefault="00B638CF" w:rsidP="00BE6542">
      <w:pPr>
        <w:rPr>
          <w:rFonts w:asciiTheme="minorHAnsi" w:hAnsiTheme="minorHAnsi" w:cstheme="minorHAnsi"/>
          <w:sz w:val="22"/>
          <w:szCs w:val="22"/>
        </w:rPr>
      </w:pPr>
      <w:r>
        <w:rPr>
          <w:rFonts w:asciiTheme="minorHAnsi" w:hAnsiTheme="minorHAnsi" w:cstheme="minorHAnsi"/>
          <w:sz w:val="22"/>
          <w:szCs w:val="22"/>
        </w:rPr>
        <w:t>With the achievements outlined above</w:t>
      </w:r>
      <w:r w:rsidR="00AB05AE">
        <w:rPr>
          <w:rFonts w:asciiTheme="minorHAnsi" w:hAnsiTheme="minorHAnsi" w:cstheme="minorHAnsi"/>
          <w:sz w:val="22"/>
          <w:szCs w:val="22"/>
        </w:rPr>
        <w:t xml:space="preserve">, </w:t>
      </w:r>
      <w:r w:rsidR="006B0431">
        <w:rPr>
          <w:rFonts w:asciiTheme="minorHAnsi" w:hAnsiTheme="minorHAnsi" w:cstheme="minorHAnsi"/>
          <w:sz w:val="22"/>
          <w:szCs w:val="22"/>
        </w:rPr>
        <w:t>t</w:t>
      </w:r>
      <w:r w:rsidR="00E03AA5">
        <w:rPr>
          <w:rFonts w:asciiTheme="minorHAnsi" w:hAnsiTheme="minorHAnsi" w:cstheme="minorHAnsi"/>
          <w:sz w:val="22"/>
          <w:szCs w:val="22"/>
        </w:rPr>
        <w:t>he VFA is well placed to continue</w:t>
      </w:r>
      <w:r w:rsidR="00414D54">
        <w:rPr>
          <w:rFonts w:asciiTheme="minorHAnsi" w:hAnsiTheme="minorHAnsi" w:cstheme="minorHAnsi"/>
          <w:sz w:val="22"/>
          <w:szCs w:val="22"/>
        </w:rPr>
        <w:t xml:space="preserve"> to build </w:t>
      </w:r>
      <w:r w:rsidR="002E083B">
        <w:rPr>
          <w:rFonts w:asciiTheme="minorHAnsi" w:hAnsiTheme="minorHAnsi" w:cstheme="minorHAnsi"/>
          <w:sz w:val="22"/>
          <w:szCs w:val="22"/>
        </w:rPr>
        <w:t>an authority that stri</w:t>
      </w:r>
      <w:r w:rsidR="000E48F4">
        <w:rPr>
          <w:rFonts w:asciiTheme="minorHAnsi" w:hAnsiTheme="minorHAnsi" w:cstheme="minorHAnsi"/>
          <w:sz w:val="22"/>
          <w:szCs w:val="22"/>
        </w:rPr>
        <w:t>v</w:t>
      </w:r>
      <w:r w:rsidR="002E083B">
        <w:rPr>
          <w:rFonts w:asciiTheme="minorHAnsi" w:hAnsiTheme="minorHAnsi" w:cstheme="minorHAnsi"/>
          <w:sz w:val="22"/>
          <w:szCs w:val="22"/>
        </w:rPr>
        <w:t>es for con</w:t>
      </w:r>
      <w:r w:rsidR="00CD5D5A">
        <w:rPr>
          <w:rFonts w:asciiTheme="minorHAnsi" w:hAnsiTheme="minorHAnsi" w:cstheme="minorHAnsi"/>
          <w:sz w:val="22"/>
          <w:szCs w:val="22"/>
        </w:rPr>
        <w:t>t</w:t>
      </w:r>
      <w:r w:rsidR="002E083B">
        <w:rPr>
          <w:rFonts w:asciiTheme="minorHAnsi" w:hAnsiTheme="minorHAnsi" w:cstheme="minorHAnsi"/>
          <w:sz w:val="22"/>
          <w:szCs w:val="22"/>
        </w:rPr>
        <w:t>i</w:t>
      </w:r>
      <w:r w:rsidR="00CD5D5A">
        <w:rPr>
          <w:rFonts w:asciiTheme="minorHAnsi" w:hAnsiTheme="minorHAnsi" w:cstheme="minorHAnsi"/>
          <w:sz w:val="22"/>
          <w:szCs w:val="22"/>
        </w:rPr>
        <w:t>n</w:t>
      </w:r>
      <w:r w:rsidR="002E083B">
        <w:rPr>
          <w:rFonts w:asciiTheme="minorHAnsi" w:hAnsiTheme="minorHAnsi" w:cstheme="minorHAnsi"/>
          <w:sz w:val="22"/>
          <w:szCs w:val="22"/>
        </w:rPr>
        <w:t xml:space="preserve">uous improvement </w:t>
      </w:r>
      <w:r w:rsidR="00D13516">
        <w:rPr>
          <w:rFonts w:asciiTheme="minorHAnsi" w:hAnsiTheme="minorHAnsi" w:cstheme="minorHAnsi"/>
          <w:sz w:val="22"/>
          <w:szCs w:val="22"/>
        </w:rPr>
        <w:t xml:space="preserve">in the </w:t>
      </w:r>
      <w:r w:rsidR="000E48F4">
        <w:rPr>
          <w:rFonts w:asciiTheme="minorHAnsi" w:hAnsiTheme="minorHAnsi" w:cstheme="minorHAnsi"/>
          <w:sz w:val="22"/>
          <w:szCs w:val="22"/>
        </w:rPr>
        <w:t>efficiency</w:t>
      </w:r>
      <w:r w:rsidR="00D13516">
        <w:rPr>
          <w:rFonts w:asciiTheme="minorHAnsi" w:hAnsiTheme="minorHAnsi" w:cstheme="minorHAnsi"/>
          <w:sz w:val="22"/>
          <w:szCs w:val="22"/>
        </w:rPr>
        <w:t xml:space="preserve"> and effectiveness of its administration and enforcement </w:t>
      </w:r>
      <w:r w:rsidR="000E48F4">
        <w:rPr>
          <w:rFonts w:asciiTheme="minorHAnsi" w:hAnsiTheme="minorHAnsi" w:cstheme="minorHAnsi"/>
          <w:sz w:val="22"/>
          <w:szCs w:val="22"/>
        </w:rPr>
        <w:t>activities</w:t>
      </w:r>
      <w:r w:rsidR="00D13516">
        <w:rPr>
          <w:rFonts w:asciiTheme="minorHAnsi" w:hAnsiTheme="minorHAnsi" w:cstheme="minorHAnsi"/>
          <w:sz w:val="22"/>
          <w:szCs w:val="22"/>
        </w:rPr>
        <w:t xml:space="preserve">. </w:t>
      </w:r>
      <w:r w:rsidR="004D1E97">
        <w:rPr>
          <w:rFonts w:asciiTheme="minorHAnsi" w:hAnsiTheme="minorHAnsi" w:cstheme="minorHAnsi"/>
          <w:sz w:val="22"/>
          <w:szCs w:val="22"/>
        </w:rPr>
        <w:t xml:space="preserve">The </w:t>
      </w:r>
      <w:r w:rsidR="008A3C0A">
        <w:rPr>
          <w:rFonts w:asciiTheme="minorHAnsi" w:hAnsiTheme="minorHAnsi" w:cstheme="minorHAnsi"/>
          <w:sz w:val="22"/>
          <w:szCs w:val="22"/>
        </w:rPr>
        <w:t xml:space="preserve">SOE together with the VFA’s </w:t>
      </w:r>
      <w:r w:rsidR="00E50BEC">
        <w:rPr>
          <w:rFonts w:asciiTheme="minorHAnsi" w:hAnsiTheme="minorHAnsi" w:cstheme="minorHAnsi"/>
          <w:sz w:val="22"/>
          <w:szCs w:val="22"/>
        </w:rPr>
        <w:t>Strategic Plan 2019 – 2024 has built</w:t>
      </w:r>
      <w:r w:rsidR="00327D2C">
        <w:rPr>
          <w:rFonts w:asciiTheme="minorHAnsi" w:hAnsiTheme="minorHAnsi" w:cstheme="minorHAnsi"/>
          <w:sz w:val="22"/>
          <w:szCs w:val="22"/>
        </w:rPr>
        <w:t xml:space="preserve"> a foundation with a clear focus on being an efficient and effective authority </w:t>
      </w:r>
      <w:r w:rsidR="00F5215C">
        <w:rPr>
          <w:rFonts w:asciiTheme="minorHAnsi" w:hAnsiTheme="minorHAnsi" w:cstheme="minorHAnsi"/>
          <w:sz w:val="22"/>
          <w:szCs w:val="22"/>
        </w:rPr>
        <w:t>providing healthy, sustainable fisheries for all Victorians</w:t>
      </w:r>
    </w:p>
    <w:p w14:paraId="3788F7A6" w14:textId="1C917E5D" w:rsidR="00D62883" w:rsidRDefault="00D62883" w:rsidP="001F3CA9">
      <w:pPr>
        <w:pStyle w:val="VFANormal"/>
        <w:rPr>
          <w:sz w:val="20"/>
          <w:szCs w:val="20"/>
        </w:rPr>
      </w:pPr>
    </w:p>
    <w:p w14:paraId="14A96E36" w14:textId="42F5B87A" w:rsidR="00D62883" w:rsidRDefault="00D62883" w:rsidP="001F3CA9">
      <w:pPr>
        <w:pStyle w:val="VFANormal"/>
        <w:rPr>
          <w:sz w:val="20"/>
          <w:szCs w:val="20"/>
        </w:rPr>
      </w:pPr>
    </w:p>
    <w:p w14:paraId="6F54B9C0" w14:textId="2066DBDC" w:rsidR="00D62883" w:rsidRDefault="00D62883" w:rsidP="001F3CA9">
      <w:pPr>
        <w:pStyle w:val="VFANormal"/>
        <w:rPr>
          <w:sz w:val="20"/>
          <w:szCs w:val="20"/>
        </w:rPr>
      </w:pPr>
    </w:p>
    <w:p w14:paraId="5AA4BE37" w14:textId="77777777" w:rsidR="00D62883" w:rsidRPr="00141941" w:rsidRDefault="00D62883" w:rsidP="001F3CA9">
      <w:pPr>
        <w:pStyle w:val="VFANormal"/>
        <w:rPr>
          <w:sz w:val="20"/>
          <w:szCs w:val="20"/>
        </w:rPr>
      </w:pPr>
    </w:p>
    <w:p w14:paraId="32AA7EEA" w14:textId="77777777" w:rsidR="003D12CE" w:rsidRDefault="003D12CE" w:rsidP="001F3CA9">
      <w:pPr>
        <w:pStyle w:val="VFANormal"/>
        <w:sectPr w:rsidR="003D12CE" w:rsidSect="00CB46AA">
          <w:headerReference w:type="default" r:id="rId22"/>
          <w:pgSz w:w="11900" w:h="16840"/>
          <w:pgMar w:top="1276" w:right="1127" w:bottom="993" w:left="1134" w:header="709" w:footer="709" w:gutter="0"/>
          <w:cols w:space="708"/>
        </w:sectPr>
      </w:pPr>
    </w:p>
    <w:p w14:paraId="3E66675C" w14:textId="77777777" w:rsidR="00B91795" w:rsidRDefault="00B91795">
      <w:pPr>
        <w:spacing w:before="0"/>
      </w:pPr>
    </w:p>
    <w:p w14:paraId="7997FDD9" w14:textId="77777777" w:rsidR="007C0F04" w:rsidRPr="00F009C1" w:rsidRDefault="007C0F04" w:rsidP="00A357F4">
      <w:pPr>
        <w:pStyle w:val="VFANormal"/>
      </w:pPr>
    </w:p>
    <w:sectPr w:rsidR="007C0F04" w:rsidRPr="00F009C1" w:rsidSect="00FA3E94">
      <w:headerReference w:type="default" r:id="rId23"/>
      <w:footerReference w:type="default" r:id="rId24"/>
      <w:pgSz w:w="11900" w:h="16840"/>
      <w:pgMar w:top="1701" w:right="851" w:bottom="1701" w:left="85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FFF29" w14:textId="77777777" w:rsidR="005A21BE" w:rsidRDefault="005A21BE">
      <w:r>
        <w:separator/>
      </w:r>
    </w:p>
    <w:p w14:paraId="79FC9930" w14:textId="77777777" w:rsidR="005A21BE" w:rsidRDefault="005A21BE"/>
  </w:endnote>
  <w:endnote w:type="continuationSeparator" w:id="0">
    <w:p w14:paraId="5C802DF2" w14:textId="77777777" w:rsidR="005A21BE" w:rsidRDefault="005A21BE">
      <w:r>
        <w:continuationSeparator/>
      </w:r>
    </w:p>
    <w:p w14:paraId="3C6F8D28" w14:textId="77777777" w:rsidR="005A21BE" w:rsidRDefault="005A21BE"/>
  </w:endnote>
  <w:endnote w:type="continuationNotice" w:id="1">
    <w:p w14:paraId="3F41F4B8" w14:textId="77777777" w:rsidR="005A21BE" w:rsidRDefault="005A21B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auto"/>
    <w:pitch w:val="variable"/>
    <w:sig w:usb0="00000003" w:usb1="00000000" w:usb2="00000000" w:usb3="00000000" w:csb0="00000001"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36BF7" w14:textId="77777777" w:rsidR="00C950BD" w:rsidRDefault="00C950BD">
    <w:pP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36993" w14:textId="77777777" w:rsidR="00C950BD" w:rsidRDefault="00C950BD">
    <w:pP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961F6" w14:textId="77777777" w:rsidR="00C950BD" w:rsidRPr="00B251F5" w:rsidRDefault="00C950BD" w:rsidP="00C74806">
    <w:pPr>
      <w:pStyle w:val="VFA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DAA49" w14:textId="77777777" w:rsidR="00C950BD" w:rsidRPr="00B251F5" w:rsidRDefault="00C950BD" w:rsidP="00A357F4">
    <w:pPr>
      <w:pStyle w:val="VFAFooter"/>
    </w:pPr>
    <w:r w:rsidRPr="00A5563F">
      <w:rPr>
        <w:rStyle w:val="PageNumber"/>
      </w:rPr>
      <w:fldChar w:fldCharType="begin"/>
    </w:r>
    <w:r w:rsidRPr="00A5563F">
      <w:rPr>
        <w:rStyle w:val="PageNumber"/>
      </w:rPr>
      <w:instrText xml:space="preserve"> PAGE </w:instrText>
    </w:r>
    <w:r w:rsidRPr="00A5563F">
      <w:rPr>
        <w:rStyle w:val="PageNumber"/>
      </w:rPr>
      <w:fldChar w:fldCharType="separate"/>
    </w:r>
    <w:r w:rsidRPr="00A5563F">
      <w:rPr>
        <w:rStyle w:val="PageNumber"/>
      </w:rPr>
      <w:t>1</w:t>
    </w:r>
    <w:r w:rsidRPr="00A5563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C4631" w14:textId="77777777" w:rsidR="00C950BD" w:rsidRPr="00B251F5" w:rsidRDefault="00C950BD" w:rsidP="00A357F4">
    <w:pPr>
      <w:pStyle w:val="VFANorm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3CCEC" w14:textId="77777777" w:rsidR="005A21BE" w:rsidRDefault="005A21BE">
      <w:r>
        <w:separator/>
      </w:r>
    </w:p>
    <w:p w14:paraId="60E94197" w14:textId="77777777" w:rsidR="005A21BE" w:rsidRDefault="005A21BE"/>
  </w:footnote>
  <w:footnote w:type="continuationSeparator" w:id="0">
    <w:p w14:paraId="07646C89" w14:textId="77777777" w:rsidR="005A21BE" w:rsidRDefault="005A21BE">
      <w:r>
        <w:continuationSeparator/>
      </w:r>
    </w:p>
    <w:p w14:paraId="32A484E2" w14:textId="77777777" w:rsidR="005A21BE" w:rsidRDefault="005A21BE"/>
  </w:footnote>
  <w:footnote w:type="continuationNotice" w:id="1">
    <w:p w14:paraId="1E0FF871" w14:textId="77777777" w:rsidR="005A21BE" w:rsidRDefault="005A21B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3E0DB" w14:textId="77777777" w:rsidR="00C950BD" w:rsidRDefault="00C950BD">
    <w:pP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3EC35" w14:textId="77777777" w:rsidR="00C950BD" w:rsidRPr="00045D58" w:rsidRDefault="00C950BD" w:rsidP="007C0F04">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3</w:t>
    </w:r>
    <w:r w:rsidRPr="00040791">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7C5C0" w14:textId="77777777" w:rsidR="00C950BD" w:rsidRDefault="00C950BD" w:rsidP="009D2E41">
    <w:pPr>
      <w:pStyle w:val="Header"/>
      <w:pBdr>
        <w:bottom w:val="none" w:sz="0" w:space="0" w:color="auto"/>
      </w:pBdr>
    </w:pPr>
    <w:r>
      <w:rPr>
        <w:noProof/>
      </w:rPr>
      <w:drawing>
        <wp:anchor distT="0" distB="0" distL="114300" distR="114300" simplePos="0" relativeHeight="251658240" behindDoc="1" locked="0" layoutInCell="1" allowOverlap="1" wp14:anchorId="7FBD4306" wp14:editId="1AC13F8F">
          <wp:simplePos x="0" y="0"/>
          <wp:positionH relativeFrom="margin">
            <wp:posOffset>-540385</wp:posOffset>
          </wp:positionH>
          <wp:positionV relativeFrom="margin">
            <wp:posOffset>-1079951</wp:posOffset>
          </wp:positionV>
          <wp:extent cx="7559675" cy="1069112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riffin Graphics\VFA\ReportFront.jpg"/>
                  <pic:cNvPicPr>
                    <a:picLocks noChangeAspect="1" noChangeArrowheads="1"/>
                  </pic:cNvPicPr>
                </pic:nvPicPr>
                <pic:blipFill>
                  <a:blip r:embed="rId1"/>
                  <a:stretch>
                    <a:fillRect/>
                  </a:stretch>
                </pic:blipFill>
                <pic:spPr bwMode="auto">
                  <a:xfrm>
                    <a:off x="0" y="0"/>
                    <a:ext cx="7559675" cy="10691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F47FA" w14:textId="629F1E17" w:rsidR="00C950BD" w:rsidRPr="00C74806" w:rsidRDefault="00C950BD" w:rsidP="00C74806">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1556A" w14:textId="7085836C" w:rsidR="00C950BD" w:rsidRPr="00EB7538" w:rsidRDefault="00C950BD" w:rsidP="00EB7538">
    <w:pPr>
      <w:pStyle w:val="VFAHeader"/>
    </w:pPr>
    <w:r>
      <w:t xml:space="preserve">Evaluation </w:t>
    </w:r>
    <w:r w:rsidR="00B34745">
      <w:t>Report – the VFA’s performance against</w:t>
    </w:r>
    <w:r>
      <w:t xml:space="preserve"> </w:t>
    </w:r>
    <w:r w:rsidR="00B34745">
      <w:t xml:space="preserve">the </w:t>
    </w:r>
    <w:r>
      <w:t>Statement of Expectations 1 July 2018 – 30 June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06CF" w14:textId="02DC9079" w:rsidR="00C950BD" w:rsidRPr="00C74806" w:rsidRDefault="00C950BD" w:rsidP="00C74806">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71301" w14:textId="6FB2FB2A" w:rsidR="00C950BD" w:rsidRDefault="00C950BD" w:rsidP="00A357F4">
    <w:pPr>
      <w:pStyle w:val="VFAHeader"/>
    </w:pPr>
    <w:bookmarkStart w:id="13" w:name="_Hlk10805383"/>
    <w:bookmarkStart w:id="14" w:name="_Hlk10805384"/>
    <w:r>
      <w:t xml:space="preserve">Evaluation of the Victorian Fisheries Authority </w:t>
    </w:r>
    <w:bookmarkEnd w:id="13"/>
    <w:bookmarkEnd w:id="14"/>
    <w:r>
      <w:t>Statement of Expectations 1 July 2018 – 30 June 2020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400C0" w14:textId="77777777" w:rsidR="00C950BD" w:rsidRPr="00B91795" w:rsidRDefault="00C950BD" w:rsidP="00A357F4">
    <w:pPr>
      <w:pStyle w:val="VFANormal"/>
    </w:pPr>
    <w:r>
      <w:rPr>
        <w:noProof/>
      </w:rPr>
      <w:drawing>
        <wp:anchor distT="0" distB="0" distL="114300" distR="114300" simplePos="0" relativeHeight="251658241" behindDoc="1" locked="0" layoutInCell="1" allowOverlap="1" wp14:anchorId="02B00687" wp14:editId="35F717A6">
          <wp:simplePos x="0" y="0"/>
          <wp:positionH relativeFrom="column">
            <wp:posOffset>-540385</wp:posOffset>
          </wp:positionH>
          <wp:positionV relativeFrom="paragraph">
            <wp:posOffset>-450020</wp:posOffset>
          </wp:positionV>
          <wp:extent cx="7560000" cy="1069158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60000" cy="106915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57ED"/>
    <w:multiLevelType w:val="hybridMultilevel"/>
    <w:tmpl w:val="DE40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265C4"/>
    <w:multiLevelType w:val="hybridMultilevel"/>
    <w:tmpl w:val="9EE427A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11594395"/>
    <w:multiLevelType w:val="hybridMultilevel"/>
    <w:tmpl w:val="0180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7D7316"/>
    <w:multiLevelType w:val="hybridMultilevel"/>
    <w:tmpl w:val="FD38E0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EF6BCA"/>
    <w:multiLevelType w:val="multilevel"/>
    <w:tmpl w:val="4370B4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8506171"/>
    <w:multiLevelType w:val="hybridMultilevel"/>
    <w:tmpl w:val="0D245D2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C64647"/>
    <w:multiLevelType w:val="hybridMultilevel"/>
    <w:tmpl w:val="B73C16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5E506E1"/>
    <w:multiLevelType w:val="hybridMultilevel"/>
    <w:tmpl w:val="2648F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9C654C"/>
    <w:multiLevelType w:val="hybridMultilevel"/>
    <w:tmpl w:val="BA587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A37B97"/>
    <w:multiLevelType w:val="hybridMultilevel"/>
    <w:tmpl w:val="5E208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042040"/>
    <w:multiLevelType w:val="hybridMultilevel"/>
    <w:tmpl w:val="E14A52AA"/>
    <w:lvl w:ilvl="0" w:tplc="0C090001">
      <w:start w:val="1"/>
      <w:numFmt w:val="bullet"/>
      <w:lvlText w:val=""/>
      <w:lvlJc w:val="left"/>
      <w:pPr>
        <w:ind w:left="1434" w:hanging="360"/>
      </w:pPr>
      <w:rPr>
        <w:rFonts w:ascii="Symbol" w:hAnsi="Symbol" w:hint="default"/>
      </w:rPr>
    </w:lvl>
    <w:lvl w:ilvl="1" w:tplc="0C09001B">
      <w:start w:val="1"/>
      <w:numFmt w:val="lowerRoman"/>
      <w:lvlText w:val="%2."/>
      <w:lvlJc w:val="right"/>
      <w:pPr>
        <w:ind w:left="2154" w:hanging="360"/>
      </w:pPr>
      <w:rPr>
        <w:rFonts w:hint="default"/>
      </w:rPr>
    </w:lvl>
    <w:lvl w:ilvl="2" w:tplc="0C090005">
      <w:start w:val="1"/>
      <w:numFmt w:val="bullet"/>
      <w:lvlText w:val=""/>
      <w:lvlJc w:val="left"/>
      <w:pPr>
        <w:ind w:left="2874" w:hanging="360"/>
      </w:pPr>
      <w:rPr>
        <w:rFonts w:ascii="Wingdings" w:hAnsi="Wingdings" w:hint="default"/>
      </w:rPr>
    </w:lvl>
    <w:lvl w:ilvl="3" w:tplc="0C090001">
      <w:start w:val="1"/>
      <w:numFmt w:val="bullet"/>
      <w:lvlText w:val=""/>
      <w:lvlJc w:val="left"/>
      <w:pPr>
        <w:ind w:left="3594" w:hanging="360"/>
      </w:pPr>
      <w:rPr>
        <w:rFonts w:ascii="Symbol" w:hAnsi="Symbol" w:hint="default"/>
      </w:rPr>
    </w:lvl>
    <w:lvl w:ilvl="4" w:tplc="0C090003">
      <w:start w:val="1"/>
      <w:numFmt w:val="bullet"/>
      <w:lvlText w:val="o"/>
      <w:lvlJc w:val="left"/>
      <w:pPr>
        <w:ind w:left="4314" w:hanging="360"/>
      </w:pPr>
      <w:rPr>
        <w:rFonts w:ascii="Courier New" w:hAnsi="Courier New" w:cs="Courier New" w:hint="default"/>
      </w:rPr>
    </w:lvl>
    <w:lvl w:ilvl="5" w:tplc="0C090005">
      <w:start w:val="1"/>
      <w:numFmt w:val="bullet"/>
      <w:lvlText w:val=""/>
      <w:lvlJc w:val="left"/>
      <w:pPr>
        <w:ind w:left="5034" w:hanging="360"/>
      </w:pPr>
      <w:rPr>
        <w:rFonts w:ascii="Wingdings" w:hAnsi="Wingdings" w:hint="default"/>
      </w:rPr>
    </w:lvl>
    <w:lvl w:ilvl="6" w:tplc="0C090001">
      <w:start w:val="1"/>
      <w:numFmt w:val="bullet"/>
      <w:lvlText w:val=""/>
      <w:lvlJc w:val="left"/>
      <w:pPr>
        <w:ind w:left="5754" w:hanging="360"/>
      </w:pPr>
      <w:rPr>
        <w:rFonts w:ascii="Symbol" w:hAnsi="Symbol" w:hint="default"/>
      </w:rPr>
    </w:lvl>
    <w:lvl w:ilvl="7" w:tplc="0C090003">
      <w:start w:val="1"/>
      <w:numFmt w:val="bullet"/>
      <w:lvlText w:val="o"/>
      <w:lvlJc w:val="left"/>
      <w:pPr>
        <w:ind w:left="6474" w:hanging="360"/>
      </w:pPr>
      <w:rPr>
        <w:rFonts w:ascii="Courier New" w:hAnsi="Courier New" w:cs="Courier New" w:hint="default"/>
      </w:rPr>
    </w:lvl>
    <w:lvl w:ilvl="8" w:tplc="0C090005">
      <w:start w:val="1"/>
      <w:numFmt w:val="bullet"/>
      <w:lvlText w:val=""/>
      <w:lvlJc w:val="left"/>
      <w:pPr>
        <w:ind w:left="7194" w:hanging="360"/>
      </w:pPr>
      <w:rPr>
        <w:rFonts w:ascii="Wingdings" w:hAnsi="Wingdings" w:hint="default"/>
      </w:rPr>
    </w:lvl>
  </w:abstractNum>
  <w:abstractNum w:abstractNumId="11" w15:restartNumberingAfterBreak="0">
    <w:nsid w:val="3BBC51A2"/>
    <w:multiLevelType w:val="hybridMultilevel"/>
    <w:tmpl w:val="179C3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DE4BBD"/>
    <w:multiLevelType w:val="hybridMultilevel"/>
    <w:tmpl w:val="9502D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944882"/>
    <w:multiLevelType w:val="hybridMultilevel"/>
    <w:tmpl w:val="B5121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996369"/>
    <w:multiLevelType w:val="hybridMultilevel"/>
    <w:tmpl w:val="14009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9270AE"/>
    <w:multiLevelType w:val="hybridMultilevel"/>
    <w:tmpl w:val="1C52DF28"/>
    <w:lvl w:ilvl="0" w:tplc="0C090003">
      <w:start w:val="1"/>
      <w:numFmt w:val="bullet"/>
      <w:lvlText w:val="o"/>
      <w:lvlJc w:val="left"/>
      <w:pPr>
        <w:ind w:left="1080" w:hanging="360"/>
      </w:pPr>
      <w:rPr>
        <w:rFonts w:ascii="Courier New" w:hAnsi="Courier New" w:cs="Courier New"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506380B"/>
    <w:multiLevelType w:val="hybridMultilevel"/>
    <w:tmpl w:val="7B1A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9D41A2"/>
    <w:multiLevelType w:val="hybridMultilevel"/>
    <w:tmpl w:val="8C5C250C"/>
    <w:lvl w:ilvl="0" w:tplc="221CD352">
      <w:start w:val="18"/>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B5778"/>
    <w:multiLevelType w:val="hybridMultilevel"/>
    <w:tmpl w:val="D7323F96"/>
    <w:lvl w:ilvl="0" w:tplc="0C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9" w15:restartNumberingAfterBreak="0">
    <w:nsid w:val="507B3DE9"/>
    <w:multiLevelType w:val="hybridMultilevel"/>
    <w:tmpl w:val="1124174E"/>
    <w:lvl w:ilvl="0" w:tplc="8DA20DA8">
      <w:start w:val="1"/>
      <w:numFmt w:val="bullet"/>
      <w:pStyle w:val="VFABullets"/>
      <w:lvlText w:val=""/>
      <w:lvlJc w:val="left"/>
      <w:pPr>
        <w:ind w:left="928" w:hanging="360"/>
      </w:pPr>
      <w:rPr>
        <w:rFonts w:ascii="Symbol" w:hAnsi="Symbol"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0" w15:restartNumberingAfterBreak="0">
    <w:nsid w:val="50E22768"/>
    <w:multiLevelType w:val="hybridMultilevel"/>
    <w:tmpl w:val="F30CDE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BA48F0"/>
    <w:multiLevelType w:val="hybridMultilevel"/>
    <w:tmpl w:val="673CE66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B20DF4"/>
    <w:multiLevelType w:val="hybridMultilevel"/>
    <w:tmpl w:val="F4C4B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AC754A"/>
    <w:multiLevelType w:val="hybridMultilevel"/>
    <w:tmpl w:val="B9B2505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A84543D"/>
    <w:multiLevelType w:val="hybridMultilevel"/>
    <w:tmpl w:val="F754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A333AE"/>
    <w:multiLevelType w:val="hybridMultilevel"/>
    <w:tmpl w:val="933A8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646C4"/>
    <w:multiLevelType w:val="hybridMultilevel"/>
    <w:tmpl w:val="4BBE39AA"/>
    <w:lvl w:ilvl="0" w:tplc="C77EB274">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C001A4"/>
    <w:multiLevelType w:val="multilevel"/>
    <w:tmpl w:val="35682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04460D9"/>
    <w:multiLevelType w:val="hybridMultilevel"/>
    <w:tmpl w:val="083421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DA609E"/>
    <w:multiLevelType w:val="hybridMultilevel"/>
    <w:tmpl w:val="C5525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0338D1"/>
    <w:multiLevelType w:val="hybridMultilevel"/>
    <w:tmpl w:val="F7D68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EB0B0D"/>
    <w:multiLevelType w:val="hybridMultilevel"/>
    <w:tmpl w:val="BE1E1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C7425F"/>
    <w:multiLevelType w:val="hybridMultilevel"/>
    <w:tmpl w:val="D8C48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551ED"/>
    <w:multiLevelType w:val="hybridMultilevel"/>
    <w:tmpl w:val="1F1A8E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C92292"/>
    <w:multiLevelType w:val="hybridMultilevel"/>
    <w:tmpl w:val="1E32A7B4"/>
    <w:lvl w:ilvl="0" w:tplc="5DF0349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44FA7"/>
    <w:multiLevelType w:val="hybridMultilevel"/>
    <w:tmpl w:val="1CE85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E52307"/>
    <w:multiLevelType w:val="hybridMultilevel"/>
    <w:tmpl w:val="083421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425EA8"/>
    <w:multiLevelType w:val="hybridMultilevel"/>
    <w:tmpl w:val="5F2483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6C30F6"/>
    <w:multiLevelType w:val="hybridMultilevel"/>
    <w:tmpl w:val="673CE66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904555"/>
    <w:multiLevelType w:val="hybridMultilevel"/>
    <w:tmpl w:val="444C8F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4DF69D0"/>
    <w:multiLevelType w:val="hybridMultilevel"/>
    <w:tmpl w:val="3146B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CD1190"/>
    <w:multiLevelType w:val="hybridMultilevel"/>
    <w:tmpl w:val="CC2E8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D44514"/>
    <w:multiLevelType w:val="multilevel"/>
    <w:tmpl w:val="35847112"/>
    <w:lvl w:ilvl="0">
      <w:start w:val="1"/>
      <w:numFmt w:val="lowerLetter"/>
      <w:pStyle w:val="Listnum"/>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9"/>
  </w:num>
  <w:num w:numId="2">
    <w:abstractNumId w:val="36"/>
  </w:num>
  <w:num w:numId="3">
    <w:abstractNumId w:val="42"/>
  </w:num>
  <w:num w:numId="4">
    <w:abstractNumId w:val="21"/>
  </w:num>
  <w:num w:numId="5">
    <w:abstractNumId w:val="2"/>
  </w:num>
  <w:num w:numId="6">
    <w:abstractNumId w:val="0"/>
  </w:num>
  <w:num w:numId="7">
    <w:abstractNumId w:val="31"/>
  </w:num>
  <w:num w:numId="8">
    <w:abstractNumId w:val="33"/>
  </w:num>
  <w:num w:numId="9">
    <w:abstractNumId w:val="12"/>
  </w:num>
  <w:num w:numId="10">
    <w:abstractNumId w:val="16"/>
  </w:num>
  <w:num w:numId="11">
    <w:abstractNumId w:val="32"/>
  </w:num>
  <w:num w:numId="12">
    <w:abstractNumId w:val="3"/>
  </w:num>
  <w:num w:numId="13">
    <w:abstractNumId w:val="22"/>
  </w:num>
  <w:num w:numId="14">
    <w:abstractNumId w:val="1"/>
  </w:num>
  <w:num w:numId="15">
    <w:abstractNumId w:val="25"/>
  </w:num>
  <w:num w:numId="16">
    <w:abstractNumId w:val="34"/>
  </w:num>
  <w:num w:numId="17">
    <w:abstractNumId w:val="29"/>
  </w:num>
  <w:num w:numId="18">
    <w:abstractNumId w:val="10"/>
  </w:num>
  <w:num w:numId="19">
    <w:abstractNumId w:val="15"/>
  </w:num>
  <w:num w:numId="20">
    <w:abstractNumId w:val="6"/>
  </w:num>
  <w:num w:numId="21">
    <w:abstractNumId w:val="40"/>
  </w:num>
  <w:num w:numId="22">
    <w:abstractNumId w:val="14"/>
  </w:num>
  <w:num w:numId="23">
    <w:abstractNumId w:val="18"/>
  </w:num>
  <w:num w:numId="24">
    <w:abstractNumId w:val="17"/>
  </w:num>
  <w:num w:numId="25">
    <w:abstractNumId w:val="30"/>
  </w:num>
  <w:num w:numId="26">
    <w:abstractNumId w:val="11"/>
  </w:num>
  <w:num w:numId="27">
    <w:abstractNumId w:val="41"/>
  </w:num>
  <w:num w:numId="28">
    <w:abstractNumId w:val="8"/>
  </w:num>
  <w:num w:numId="29">
    <w:abstractNumId w:val="39"/>
  </w:num>
  <w:num w:numId="30">
    <w:abstractNumId w:val="23"/>
  </w:num>
  <w:num w:numId="31">
    <w:abstractNumId w:val="13"/>
  </w:num>
  <w:num w:numId="32">
    <w:abstractNumId w:val="7"/>
  </w:num>
  <w:num w:numId="33">
    <w:abstractNumId w:val="20"/>
  </w:num>
  <w:num w:numId="34">
    <w:abstractNumId w:val="35"/>
  </w:num>
  <w:num w:numId="35">
    <w:abstractNumId w:val="37"/>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7"/>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8"/>
  </w:num>
  <w:num w:numId="42">
    <w:abstractNumId w:val="5"/>
  </w:num>
  <w:num w:numId="43">
    <w:abstractNumId w:val="24"/>
  </w:num>
  <w:num w:numId="44">
    <w:abstractNumId w:val="26"/>
  </w:num>
  <w:num w:numId="4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2D6"/>
    <w:rsid w:val="00003ADB"/>
    <w:rsid w:val="00004480"/>
    <w:rsid w:val="000054D0"/>
    <w:rsid w:val="00005AFB"/>
    <w:rsid w:val="00010F81"/>
    <w:rsid w:val="00012C40"/>
    <w:rsid w:val="00015905"/>
    <w:rsid w:val="000167B1"/>
    <w:rsid w:val="00024C27"/>
    <w:rsid w:val="00025055"/>
    <w:rsid w:val="00030A46"/>
    <w:rsid w:val="00030F63"/>
    <w:rsid w:val="00032057"/>
    <w:rsid w:val="00035D6D"/>
    <w:rsid w:val="000431F9"/>
    <w:rsid w:val="0004402D"/>
    <w:rsid w:val="000441A7"/>
    <w:rsid w:val="00044CEE"/>
    <w:rsid w:val="0004609F"/>
    <w:rsid w:val="00047DB9"/>
    <w:rsid w:val="000507E5"/>
    <w:rsid w:val="00051567"/>
    <w:rsid w:val="00052320"/>
    <w:rsid w:val="0005440F"/>
    <w:rsid w:val="00055A85"/>
    <w:rsid w:val="00057104"/>
    <w:rsid w:val="000611B5"/>
    <w:rsid w:val="00070725"/>
    <w:rsid w:val="00070994"/>
    <w:rsid w:val="00074314"/>
    <w:rsid w:val="000771F8"/>
    <w:rsid w:val="00080872"/>
    <w:rsid w:val="00082A4D"/>
    <w:rsid w:val="00082FB5"/>
    <w:rsid w:val="00085BA4"/>
    <w:rsid w:val="00086807"/>
    <w:rsid w:val="000944C0"/>
    <w:rsid w:val="00095295"/>
    <w:rsid w:val="000954F4"/>
    <w:rsid w:val="00095711"/>
    <w:rsid w:val="00096B32"/>
    <w:rsid w:val="000A0B14"/>
    <w:rsid w:val="000B24C7"/>
    <w:rsid w:val="000B278D"/>
    <w:rsid w:val="000B2947"/>
    <w:rsid w:val="000B3188"/>
    <w:rsid w:val="000B3D35"/>
    <w:rsid w:val="000C19B6"/>
    <w:rsid w:val="000C1FA4"/>
    <w:rsid w:val="000C41DE"/>
    <w:rsid w:val="000D00F5"/>
    <w:rsid w:val="000D26F0"/>
    <w:rsid w:val="000D27E9"/>
    <w:rsid w:val="000D3DAE"/>
    <w:rsid w:val="000E1398"/>
    <w:rsid w:val="000E225B"/>
    <w:rsid w:val="000E48F4"/>
    <w:rsid w:val="000E6C88"/>
    <w:rsid w:val="000E714E"/>
    <w:rsid w:val="000F41AA"/>
    <w:rsid w:val="000F7C9E"/>
    <w:rsid w:val="00100B5F"/>
    <w:rsid w:val="00107D78"/>
    <w:rsid w:val="00110607"/>
    <w:rsid w:val="00112E7C"/>
    <w:rsid w:val="00112EF9"/>
    <w:rsid w:val="00120265"/>
    <w:rsid w:val="001249AE"/>
    <w:rsid w:val="001273D8"/>
    <w:rsid w:val="00133796"/>
    <w:rsid w:val="00135DA8"/>
    <w:rsid w:val="00136F37"/>
    <w:rsid w:val="00141941"/>
    <w:rsid w:val="001444F2"/>
    <w:rsid w:val="001523AA"/>
    <w:rsid w:val="001554C5"/>
    <w:rsid w:val="001655D9"/>
    <w:rsid w:val="00171FEA"/>
    <w:rsid w:val="0017709A"/>
    <w:rsid w:val="00181C76"/>
    <w:rsid w:val="001838EA"/>
    <w:rsid w:val="00187AC3"/>
    <w:rsid w:val="00190058"/>
    <w:rsid w:val="00194596"/>
    <w:rsid w:val="00194BA6"/>
    <w:rsid w:val="001954DB"/>
    <w:rsid w:val="00196E92"/>
    <w:rsid w:val="00197DC7"/>
    <w:rsid w:val="001A2D04"/>
    <w:rsid w:val="001A54F1"/>
    <w:rsid w:val="001A5FF1"/>
    <w:rsid w:val="001A6191"/>
    <w:rsid w:val="001B169A"/>
    <w:rsid w:val="001B4AE7"/>
    <w:rsid w:val="001B55E2"/>
    <w:rsid w:val="001B5943"/>
    <w:rsid w:val="001B6620"/>
    <w:rsid w:val="001C1810"/>
    <w:rsid w:val="001D07D7"/>
    <w:rsid w:val="001D07E5"/>
    <w:rsid w:val="001D2779"/>
    <w:rsid w:val="001D3D6F"/>
    <w:rsid w:val="001D6170"/>
    <w:rsid w:val="001D7226"/>
    <w:rsid w:val="001E0EE9"/>
    <w:rsid w:val="001E2AE1"/>
    <w:rsid w:val="001E45F8"/>
    <w:rsid w:val="001E69B3"/>
    <w:rsid w:val="001F2188"/>
    <w:rsid w:val="001F3CA9"/>
    <w:rsid w:val="001F4714"/>
    <w:rsid w:val="001F5716"/>
    <w:rsid w:val="001F6E35"/>
    <w:rsid w:val="00200CEE"/>
    <w:rsid w:val="00202511"/>
    <w:rsid w:val="002033E6"/>
    <w:rsid w:val="00204257"/>
    <w:rsid w:val="00207F60"/>
    <w:rsid w:val="00211239"/>
    <w:rsid w:val="00211C98"/>
    <w:rsid w:val="00213068"/>
    <w:rsid w:val="002147AF"/>
    <w:rsid w:val="00215809"/>
    <w:rsid w:val="0021636B"/>
    <w:rsid w:val="0021725D"/>
    <w:rsid w:val="00224848"/>
    <w:rsid w:val="002258D4"/>
    <w:rsid w:val="00226315"/>
    <w:rsid w:val="00227FF2"/>
    <w:rsid w:val="00230C84"/>
    <w:rsid w:val="002344A2"/>
    <w:rsid w:val="002450F1"/>
    <w:rsid w:val="00247376"/>
    <w:rsid w:val="00253190"/>
    <w:rsid w:val="00254FDB"/>
    <w:rsid w:val="0025593C"/>
    <w:rsid w:val="00256BEE"/>
    <w:rsid w:val="00260812"/>
    <w:rsid w:val="00260D2B"/>
    <w:rsid w:val="00263C32"/>
    <w:rsid w:val="0026570C"/>
    <w:rsid w:val="00265E73"/>
    <w:rsid w:val="0027035E"/>
    <w:rsid w:val="002704DD"/>
    <w:rsid w:val="00270B83"/>
    <w:rsid w:val="00272543"/>
    <w:rsid w:val="00273214"/>
    <w:rsid w:val="002813C6"/>
    <w:rsid w:val="00281815"/>
    <w:rsid w:val="0028285C"/>
    <w:rsid w:val="00283630"/>
    <w:rsid w:val="0028393F"/>
    <w:rsid w:val="0028511A"/>
    <w:rsid w:val="00291D41"/>
    <w:rsid w:val="00292C02"/>
    <w:rsid w:val="002A0385"/>
    <w:rsid w:val="002A134E"/>
    <w:rsid w:val="002A325D"/>
    <w:rsid w:val="002B110A"/>
    <w:rsid w:val="002B18FE"/>
    <w:rsid w:val="002B2854"/>
    <w:rsid w:val="002B307D"/>
    <w:rsid w:val="002B6418"/>
    <w:rsid w:val="002C066F"/>
    <w:rsid w:val="002C08D9"/>
    <w:rsid w:val="002C2615"/>
    <w:rsid w:val="002C6ED0"/>
    <w:rsid w:val="002C7D48"/>
    <w:rsid w:val="002D39E9"/>
    <w:rsid w:val="002D7E77"/>
    <w:rsid w:val="002E083B"/>
    <w:rsid w:val="002E08FB"/>
    <w:rsid w:val="002E2021"/>
    <w:rsid w:val="002E42E5"/>
    <w:rsid w:val="002E53D2"/>
    <w:rsid w:val="002E5C50"/>
    <w:rsid w:val="002E706A"/>
    <w:rsid w:val="002F079A"/>
    <w:rsid w:val="002F1E0E"/>
    <w:rsid w:val="002F7ECB"/>
    <w:rsid w:val="002F7FD7"/>
    <w:rsid w:val="00300BBC"/>
    <w:rsid w:val="00303B9C"/>
    <w:rsid w:val="00306752"/>
    <w:rsid w:val="003068EF"/>
    <w:rsid w:val="00314D89"/>
    <w:rsid w:val="00315AE5"/>
    <w:rsid w:val="003160E1"/>
    <w:rsid w:val="003173DC"/>
    <w:rsid w:val="003175BD"/>
    <w:rsid w:val="003203A7"/>
    <w:rsid w:val="003221BB"/>
    <w:rsid w:val="003227C0"/>
    <w:rsid w:val="003262F5"/>
    <w:rsid w:val="00327D2C"/>
    <w:rsid w:val="00331562"/>
    <w:rsid w:val="003320F3"/>
    <w:rsid w:val="00333D55"/>
    <w:rsid w:val="003358B1"/>
    <w:rsid w:val="003369F4"/>
    <w:rsid w:val="0034128C"/>
    <w:rsid w:val="00341692"/>
    <w:rsid w:val="00341BC1"/>
    <w:rsid w:val="00345F4D"/>
    <w:rsid w:val="0035290D"/>
    <w:rsid w:val="0035313D"/>
    <w:rsid w:val="00355AD2"/>
    <w:rsid w:val="00357B4A"/>
    <w:rsid w:val="003603B4"/>
    <w:rsid w:val="00360900"/>
    <w:rsid w:val="00363766"/>
    <w:rsid w:val="00363D24"/>
    <w:rsid w:val="003755D4"/>
    <w:rsid w:val="0037577A"/>
    <w:rsid w:val="00377273"/>
    <w:rsid w:val="003779D2"/>
    <w:rsid w:val="0038054E"/>
    <w:rsid w:val="003819F3"/>
    <w:rsid w:val="00381AE6"/>
    <w:rsid w:val="00381D8D"/>
    <w:rsid w:val="00385BBE"/>
    <w:rsid w:val="00390BA8"/>
    <w:rsid w:val="0039395E"/>
    <w:rsid w:val="00395048"/>
    <w:rsid w:val="00395C34"/>
    <w:rsid w:val="003A42E0"/>
    <w:rsid w:val="003A499A"/>
    <w:rsid w:val="003B2857"/>
    <w:rsid w:val="003B4706"/>
    <w:rsid w:val="003B5F20"/>
    <w:rsid w:val="003B6285"/>
    <w:rsid w:val="003B7467"/>
    <w:rsid w:val="003C0059"/>
    <w:rsid w:val="003C2EB9"/>
    <w:rsid w:val="003C37C9"/>
    <w:rsid w:val="003C6174"/>
    <w:rsid w:val="003D03EF"/>
    <w:rsid w:val="003D12CE"/>
    <w:rsid w:val="003D3017"/>
    <w:rsid w:val="003D5C48"/>
    <w:rsid w:val="003D62FA"/>
    <w:rsid w:val="003D6349"/>
    <w:rsid w:val="003D7592"/>
    <w:rsid w:val="004026F9"/>
    <w:rsid w:val="00403FBA"/>
    <w:rsid w:val="0040672D"/>
    <w:rsid w:val="00412632"/>
    <w:rsid w:val="00414927"/>
    <w:rsid w:val="00414D54"/>
    <w:rsid w:val="00415440"/>
    <w:rsid w:val="00415A98"/>
    <w:rsid w:val="004203C3"/>
    <w:rsid w:val="004203E9"/>
    <w:rsid w:val="00422B10"/>
    <w:rsid w:val="00423843"/>
    <w:rsid w:val="004305DA"/>
    <w:rsid w:val="004336D5"/>
    <w:rsid w:val="004355B7"/>
    <w:rsid w:val="00442ACC"/>
    <w:rsid w:val="00443802"/>
    <w:rsid w:val="00444611"/>
    <w:rsid w:val="0045696D"/>
    <w:rsid w:val="00457D6F"/>
    <w:rsid w:val="00461A8D"/>
    <w:rsid w:val="004631C8"/>
    <w:rsid w:val="004676AA"/>
    <w:rsid w:val="004709CD"/>
    <w:rsid w:val="00470C94"/>
    <w:rsid w:val="004710A8"/>
    <w:rsid w:val="004734A2"/>
    <w:rsid w:val="004748DC"/>
    <w:rsid w:val="004751FF"/>
    <w:rsid w:val="00480A04"/>
    <w:rsid w:val="0048234C"/>
    <w:rsid w:val="00484912"/>
    <w:rsid w:val="004870DC"/>
    <w:rsid w:val="00490EFF"/>
    <w:rsid w:val="00492FD8"/>
    <w:rsid w:val="004943E4"/>
    <w:rsid w:val="00495D34"/>
    <w:rsid w:val="00497C25"/>
    <w:rsid w:val="004A010E"/>
    <w:rsid w:val="004A1584"/>
    <w:rsid w:val="004B11A1"/>
    <w:rsid w:val="004C0293"/>
    <w:rsid w:val="004C6105"/>
    <w:rsid w:val="004C7969"/>
    <w:rsid w:val="004D1E97"/>
    <w:rsid w:val="004D2382"/>
    <w:rsid w:val="004D4D54"/>
    <w:rsid w:val="004D6AED"/>
    <w:rsid w:val="004E07B1"/>
    <w:rsid w:val="004E07E4"/>
    <w:rsid w:val="004E0A9C"/>
    <w:rsid w:val="004E28E7"/>
    <w:rsid w:val="004E56AA"/>
    <w:rsid w:val="004E5C41"/>
    <w:rsid w:val="004E7D9B"/>
    <w:rsid w:val="004F117D"/>
    <w:rsid w:val="004F1941"/>
    <w:rsid w:val="004F1969"/>
    <w:rsid w:val="004F6FAE"/>
    <w:rsid w:val="00512C61"/>
    <w:rsid w:val="00517D71"/>
    <w:rsid w:val="005203AA"/>
    <w:rsid w:val="00524C45"/>
    <w:rsid w:val="0052644E"/>
    <w:rsid w:val="00533853"/>
    <w:rsid w:val="005362FC"/>
    <w:rsid w:val="005430C7"/>
    <w:rsid w:val="00543376"/>
    <w:rsid w:val="005524B0"/>
    <w:rsid w:val="00552AB5"/>
    <w:rsid w:val="005540BF"/>
    <w:rsid w:val="00555EE0"/>
    <w:rsid w:val="00563E40"/>
    <w:rsid w:val="00564E75"/>
    <w:rsid w:val="005727B0"/>
    <w:rsid w:val="00574B08"/>
    <w:rsid w:val="005771C1"/>
    <w:rsid w:val="00582004"/>
    <w:rsid w:val="0058597C"/>
    <w:rsid w:val="00586BBB"/>
    <w:rsid w:val="00586CD1"/>
    <w:rsid w:val="00592D07"/>
    <w:rsid w:val="00594180"/>
    <w:rsid w:val="005944D7"/>
    <w:rsid w:val="00597707"/>
    <w:rsid w:val="005A167B"/>
    <w:rsid w:val="005A21BE"/>
    <w:rsid w:val="005A2E78"/>
    <w:rsid w:val="005A4944"/>
    <w:rsid w:val="005A4D08"/>
    <w:rsid w:val="005A5986"/>
    <w:rsid w:val="005B0655"/>
    <w:rsid w:val="005B1017"/>
    <w:rsid w:val="005B2F98"/>
    <w:rsid w:val="005B330A"/>
    <w:rsid w:val="005B33EB"/>
    <w:rsid w:val="005B50F4"/>
    <w:rsid w:val="005B6C82"/>
    <w:rsid w:val="005C1A98"/>
    <w:rsid w:val="005C6C02"/>
    <w:rsid w:val="005D0B2A"/>
    <w:rsid w:val="005D2B03"/>
    <w:rsid w:val="005D7F84"/>
    <w:rsid w:val="005E1633"/>
    <w:rsid w:val="005E3413"/>
    <w:rsid w:val="005E48B2"/>
    <w:rsid w:val="005E55E1"/>
    <w:rsid w:val="005E594B"/>
    <w:rsid w:val="005E7432"/>
    <w:rsid w:val="005E7F6C"/>
    <w:rsid w:val="005F2475"/>
    <w:rsid w:val="005F51E7"/>
    <w:rsid w:val="005F6F8B"/>
    <w:rsid w:val="006026DE"/>
    <w:rsid w:val="0060467C"/>
    <w:rsid w:val="006050B3"/>
    <w:rsid w:val="00606322"/>
    <w:rsid w:val="00606A9E"/>
    <w:rsid w:val="00610D96"/>
    <w:rsid w:val="00615701"/>
    <w:rsid w:val="0062004F"/>
    <w:rsid w:val="00620466"/>
    <w:rsid w:val="00621E1C"/>
    <w:rsid w:val="00633E77"/>
    <w:rsid w:val="0063684E"/>
    <w:rsid w:val="00640C46"/>
    <w:rsid w:val="00641284"/>
    <w:rsid w:val="00645C8C"/>
    <w:rsid w:val="00651632"/>
    <w:rsid w:val="00653552"/>
    <w:rsid w:val="006541AC"/>
    <w:rsid w:val="006556DB"/>
    <w:rsid w:val="0067129B"/>
    <w:rsid w:val="00671CB0"/>
    <w:rsid w:val="00675586"/>
    <w:rsid w:val="006776C0"/>
    <w:rsid w:val="00677B5F"/>
    <w:rsid w:val="0068117F"/>
    <w:rsid w:val="00682274"/>
    <w:rsid w:val="00682950"/>
    <w:rsid w:val="00683C4A"/>
    <w:rsid w:val="00684572"/>
    <w:rsid w:val="0068692D"/>
    <w:rsid w:val="006879EC"/>
    <w:rsid w:val="0069278A"/>
    <w:rsid w:val="00692DA8"/>
    <w:rsid w:val="006967DF"/>
    <w:rsid w:val="006A0796"/>
    <w:rsid w:val="006A1626"/>
    <w:rsid w:val="006A34A1"/>
    <w:rsid w:val="006A3D33"/>
    <w:rsid w:val="006A7E3E"/>
    <w:rsid w:val="006B0431"/>
    <w:rsid w:val="006B4C9C"/>
    <w:rsid w:val="006B5928"/>
    <w:rsid w:val="006B7A9A"/>
    <w:rsid w:val="006C0930"/>
    <w:rsid w:val="006C3EA3"/>
    <w:rsid w:val="006C65E3"/>
    <w:rsid w:val="006C6C85"/>
    <w:rsid w:val="006D03A5"/>
    <w:rsid w:val="006E11F0"/>
    <w:rsid w:val="006E220B"/>
    <w:rsid w:val="006E7463"/>
    <w:rsid w:val="006E7A5D"/>
    <w:rsid w:val="006F1F0B"/>
    <w:rsid w:val="006F2255"/>
    <w:rsid w:val="006F2956"/>
    <w:rsid w:val="006F3852"/>
    <w:rsid w:val="006F40BF"/>
    <w:rsid w:val="006F45EF"/>
    <w:rsid w:val="006F54AC"/>
    <w:rsid w:val="006F5D74"/>
    <w:rsid w:val="006F76FD"/>
    <w:rsid w:val="007015B7"/>
    <w:rsid w:val="00702A89"/>
    <w:rsid w:val="0070428E"/>
    <w:rsid w:val="00706319"/>
    <w:rsid w:val="007105BE"/>
    <w:rsid w:val="00712015"/>
    <w:rsid w:val="00715DED"/>
    <w:rsid w:val="0072152E"/>
    <w:rsid w:val="00721988"/>
    <w:rsid w:val="00724959"/>
    <w:rsid w:val="00724DB8"/>
    <w:rsid w:val="00725954"/>
    <w:rsid w:val="00726716"/>
    <w:rsid w:val="007301D3"/>
    <w:rsid w:val="007306F6"/>
    <w:rsid w:val="00731658"/>
    <w:rsid w:val="00732FAF"/>
    <w:rsid w:val="00735E66"/>
    <w:rsid w:val="00736F99"/>
    <w:rsid w:val="007371E2"/>
    <w:rsid w:val="00743E8D"/>
    <w:rsid w:val="007453AB"/>
    <w:rsid w:val="00745FC2"/>
    <w:rsid w:val="0075072F"/>
    <w:rsid w:val="00755DEE"/>
    <w:rsid w:val="00756615"/>
    <w:rsid w:val="0076020E"/>
    <w:rsid w:val="00765B28"/>
    <w:rsid w:val="00766C30"/>
    <w:rsid w:val="00773785"/>
    <w:rsid w:val="007748FA"/>
    <w:rsid w:val="00777821"/>
    <w:rsid w:val="007802DB"/>
    <w:rsid w:val="007808D4"/>
    <w:rsid w:val="00783C02"/>
    <w:rsid w:val="00784602"/>
    <w:rsid w:val="007867ED"/>
    <w:rsid w:val="0079078B"/>
    <w:rsid w:val="007945E7"/>
    <w:rsid w:val="007955DC"/>
    <w:rsid w:val="007A4E4A"/>
    <w:rsid w:val="007A54FC"/>
    <w:rsid w:val="007A699E"/>
    <w:rsid w:val="007B10CA"/>
    <w:rsid w:val="007B4C9E"/>
    <w:rsid w:val="007B5358"/>
    <w:rsid w:val="007C0BE0"/>
    <w:rsid w:val="007C0F04"/>
    <w:rsid w:val="007C169B"/>
    <w:rsid w:val="007D7090"/>
    <w:rsid w:val="007E08AA"/>
    <w:rsid w:val="007E2BC9"/>
    <w:rsid w:val="007F0BB0"/>
    <w:rsid w:val="007F2DEE"/>
    <w:rsid w:val="007F4AE6"/>
    <w:rsid w:val="007F4D10"/>
    <w:rsid w:val="007F5274"/>
    <w:rsid w:val="007F53C4"/>
    <w:rsid w:val="007F5A1A"/>
    <w:rsid w:val="007F6006"/>
    <w:rsid w:val="00802555"/>
    <w:rsid w:val="008035A9"/>
    <w:rsid w:val="008065D1"/>
    <w:rsid w:val="00810C98"/>
    <w:rsid w:val="00813A65"/>
    <w:rsid w:val="00815FD4"/>
    <w:rsid w:val="00816019"/>
    <w:rsid w:val="00816B9B"/>
    <w:rsid w:val="00820B98"/>
    <w:rsid w:val="00821C35"/>
    <w:rsid w:val="0082419F"/>
    <w:rsid w:val="00824B02"/>
    <w:rsid w:val="00824E10"/>
    <w:rsid w:val="008267ED"/>
    <w:rsid w:val="00833378"/>
    <w:rsid w:val="00836F1B"/>
    <w:rsid w:val="00840930"/>
    <w:rsid w:val="008416DE"/>
    <w:rsid w:val="00843993"/>
    <w:rsid w:val="00843BB1"/>
    <w:rsid w:val="0084477C"/>
    <w:rsid w:val="00844E9F"/>
    <w:rsid w:val="00846D2C"/>
    <w:rsid w:val="008501C0"/>
    <w:rsid w:val="0085024E"/>
    <w:rsid w:val="00850D1D"/>
    <w:rsid w:val="008575FA"/>
    <w:rsid w:val="00857BD5"/>
    <w:rsid w:val="008602B6"/>
    <w:rsid w:val="008616C0"/>
    <w:rsid w:val="0086486B"/>
    <w:rsid w:val="00866D9F"/>
    <w:rsid w:val="008706DA"/>
    <w:rsid w:val="0087071B"/>
    <w:rsid w:val="0087111B"/>
    <w:rsid w:val="008725E5"/>
    <w:rsid w:val="00873C13"/>
    <w:rsid w:val="00883807"/>
    <w:rsid w:val="008856ED"/>
    <w:rsid w:val="008872BD"/>
    <w:rsid w:val="00887FAB"/>
    <w:rsid w:val="00890D86"/>
    <w:rsid w:val="00892D5F"/>
    <w:rsid w:val="00895DCF"/>
    <w:rsid w:val="00895E3C"/>
    <w:rsid w:val="00897217"/>
    <w:rsid w:val="00897BB0"/>
    <w:rsid w:val="008A1208"/>
    <w:rsid w:val="008A2FFF"/>
    <w:rsid w:val="008A3C0A"/>
    <w:rsid w:val="008A4CFB"/>
    <w:rsid w:val="008A6AD2"/>
    <w:rsid w:val="008B2940"/>
    <w:rsid w:val="008B5315"/>
    <w:rsid w:val="008B71AF"/>
    <w:rsid w:val="008B7A10"/>
    <w:rsid w:val="008C0D5F"/>
    <w:rsid w:val="008C308A"/>
    <w:rsid w:val="008C72B6"/>
    <w:rsid w:val="008D2994"/>
    <w:rsid w:val="008D2D44"/>
    <w:rsid w:val="008D4F68"/>
    <w:rsid w:val="008D55E7"/>
    <w:rsid w:val="008D7166"/>
    <w:rsid w:val="008E3483"/>
    <w:rsid w:val="008F014C"/>
    <w:rsid w:val="008F059F"/>
    <w:rsid w:val="008F3A3B"/>
    <w:rsid w:val="008F4519"/>
    <w:rsid w:val="008F482E"/>
    <w:rsid w:val="008F7886"/>
    <w:rsid w:val="009006E5"/>
    <w:rsid w:val="0090176B"/>
    <w:rsid w:val="00901E64"/>
    <w:rsid w:val="00902B91"/>
    <w:rsid w:val="00905D81"/>
    <w:rsid w:val="009063F8"/>
    <w:rsid w:val="00910CC5"/>
    <w:rsid w:val="00911169"/>
    <w:rsid w:val="0091285E"/>
    <w:rsid w:val="00916C50"/>
    <w:rsid w:val="00917B20"/>
    <w:rsid w:val="0092007E"/>
    <w:rsid w:val="009209A6"/>
    <w:rsid w:val="0092519A"/>
    <w:rsid w:val="009275EA"/>
    <w:rsid w:val="009304B8"/>
    <w:rsid w:val="00933920"/>
    <w:rsid w:val="009342CE"/>
    <w:rsid w:val="00935646"/>
    <w:rsid w:val="009404DC"/>
    <w:rsid w:val="00950304"/>
    <w:rsid w:val="009553ED"/>
    <w:rsid w:val="00963391"/>
    <w:rsid w:val="00965179"/>
    <w:rsid w:val="00966E90"/>
    <w:rsid w:val="00975BC2"/>
    <w:rsid w:val="00977776"/>
    <w:rsid w:val="00980AB3"/>
    <w:rsid w:val="00991CEB"/>
    <w:rsid w:val="00993345"/>
    <w:rsid w:val="009A0615"/>
    <w:rsid w:val="009A0C45"/>
    <w:rsid w:val="009A3173"/>
    <w:rsid w:val="009A59B2"/>
    <w:rsid w:val="009A628E"/>
    <w:rsid w:val="009A687B"/>
    <w:rsid w:val="009A6DAA"/>
    <w:rsid w:val="009A7DB4"/>
    <w:rsid w:val="009B4FCB"/>
    <w:rsid w:val="009C092F"/>
    <w:rsid w:val="009C4520"/>
    <w:rsid w:val="009D0594"/>
    <w:rsid w:val="009D1040"/>
    <w:rsid w:val="009D2ACB"/>
    <w:rsid w:val="009D2E41"/>
    <w:rsid w:val="009D3A36"/>
    <w:rsid w:val="009D559B"/>
    <w:rsid w:val="009E25CA"/>
    <w:rsid w:val="009F00E4"/>
    <w:rsid w:val="009F156E"/>
    <w:rsid w:val="009F71E3"/>
    <w:rsid w:val="00A02BD7"/>
    <w:rsid w:val="00A03E0E"/>
    <w:rsid w:val="00A04CD0"/>
    <w:rsid w:val="00A070C5"/>
    <w:rsid w:val="00A071CD"/>
    <w:rsid w:val="00A10A07"/>
    <w:rsid w:val="00A12B01"/>
    <w:rsid w:val="00A13B24"/>
    <w:rsid w:val="00A2204A"/>
    <w:rsid w:val="00A3308B"/>
    <w:rsid w:val="00A336B6"/>
    <w:rsid w:val="00A357F4"/>
    <w:rsid w:val="00A37EE6"/>
    <w:rsid w:val="00A4161B"/>
    <w:rsid w:val="00A45034"/>
    <w:rsid w:val="00A52EE9"/>
    <w:rsid w:val="00A5563F"/>
    <w:rsid w:val="00A61357"/>
    <w:rsid w:val="00A643B3"/>
    <w:rsid w:val="00A64906"/>
    <w:rsid w:val="00A64EEC"/>
    <w:rsid w:val="00A70758"/>
    <w:rsid w:val="00A72D2C"/>
    <w:rsid w:val="00A753AE"/>
    <w:rsid w:val="00A75638"/>
    <w:rsid w:val="00A95388"/>
    <w:rsid w:val="00A9694C"/>
    <w:rsid w:val="00AA25F5"/>
    <w:rsid w:val="00AA5895"/>
    <w:rsid w:val="00AB0062"/>
    <w:rsid w:val="00AB05AE"/>
    <w:rsid w:val="00AC125C"/>
    <w:rsid w:val="00AC2C5B"/>
    <w:rsid w:val="00AC3EFA"/>
    <w:rsid w:val="00AC5344"/>
    <w:rsid w:val="00AC5B02"/>
    <w:rsid w:val="00AC661C"/>
    <w:rsid w:val="00AC7826"/>
    <w:rsid w:val="00AD50EE"/>
    <w:rsid w:val="00AE2F62"/>
    <w:rsid w:val="00AE46F6"/>
    <w:rsid w:val="00AE7E56"/>
    <w:rsid w:val="00AF0E82"/>
    <w:rsid w:val="00AF288F"/>
    <w:rsid w:val="00AF4331"/>
    <w:rsid w:val="00AF7977"/>
    <w:rsid w:val="00B04C80"/>
    <w:rsid w:val="00B17990"/>
    <w:rsid w:val="00B2409B"/>
    <w:rsid w:val="00B251F5"/>
    <w:rsid w:val="00B25281"/>
    <w:rsid w:val="00B25C99"/>
    <w:rsid w:val="00B260AC"/>
    <w:rsid w:val="00B27BD7"/>
    <w:rsid w:val="00B3067B"/>
    <w:rsid w:val="00B32132"/>
    <w:rsid w:val="00B34745"/>
    <w:rsid w:val="00B36B21"/>
    <w:rsid w:val="00B3747D"/>
    <w:rsid w:val="00B42A9E"/>
    <w:rsid w:val="00B44327"/>
    <w:rsid w:val="00B4646C"/>
    <w:rsid w:val="00B5085E"/>
    <w:rsid w:val="00B57213"/>
    <w:rsid w:val="00B62295"/>
    <w:rsid w:val="00B629BC"/>
    <w:rsid w:val="00B638CF"/>
    <w:rsid w:val="00B65EF4"/>
    <w:rsid w:val="00B66CB1"/>
    <w:rsid w:val="00B67392"/>
    <w:rsid w:val="00B677A8"/>
    <w:rsid w:val="00B715D8"/>
    <w:rsid w:val="00B72547"/>
    <w:rsid w:val="00B73402"/>
    <w:rsid w:val="00B7662F"/>
    <w:rsid w:val="00B8298F"/>
    <w:rsid w:val="00B84524"/>
    <w:rsid w:val="00B8659D"/>
    <w:rsid w:val="00B86CB3"/>
    <w:rsid w:val="00B9046D"/>
    <w:rsid w:val="00B90945"/>
    <w:rsid w:val="00B90AFF"/>
    <w:rsid w:val="00B91271"/>
    <w:rsid w:val="00B91795"/>
    <w:rsid w:val="00B9584C"/>
    <w:rsid w:val="00BA5555"/>
    <w:rsid w:val="00BA65D9"/>
    <w:rsid w:val="00BB1E71"/>
    <w:rsid w:val="00BB25AC"/>
    <w:rsid w:val="00BB679C"/>
    <w:rsid w:val="00BB6AB9"/>
    <w:rsid w:val="00BB6FBB"/>
    <w:rsid w:val="00BB7BE1"/>
    <w:rsid w:val="00BC1FB1"/>
    <w:rsid w:val="00BC62F5"/>
    <w:rsid w:val="00BC6582"/>
    <w:rsid w:val="00BC7790"/>
    <w:rsid w:val="00BD3922"/>
    <w:rsid w:val="00BD5BA6"/>
    <w:rsid w:val="00BE6542"/>
    <w:rsid w:val="00BF12B6"/>
    <w:rsid w:val="00BF381E"/>
    <w:rsid w:val="00BF427B"/>
    <w:rsid w:val="00BF78BC"/>
    <w:rsid w:val="00C0085A"/>
    <w:rsid w:val="00C05339"/>
    <w:rsid w:val="00C0561D"/>
    <w:rsid w:val="00C11A93"/>
    <w:rsid w:val="00C122FA"/>
    <w:rsid w:val="00C14760"/>
    <w:rsid w:val="00C1793A"/>
    <w:rsid w:val="00C222C6"/>
    <w:rsid w:val="00C2242F"/>
    <w:rsid w:val="00C22A92"/>
    <w:rsid w:val="00C25877"/>
    <w:rsid w:val="00C258F1"/>
    <w:rsid w:val="00C26973"/>
    <w:rsid w:val="00C2791F"/>
    <w:rsid w:val="00C32C6C"/>
    <w:rsid w:val="00C356B9"/>
    <w:rsid w:val="00C35891"/>
    <w:rsid w:val="00C37283"/>
    <w:rsid w:val="00C406AE"/>
    <w:rsid w:val="00C52B93"/>
    <w:rsid w:val="00C56060"/>
    <w:rsid w:val="00C57C62"/>
    <w:rsid w:val="00C62F9D"/>
    <w:rsid w:val="00C6430E"/>
    <w:rsid w:val="00C64A09"/>
    <w:rsid w:val="00C70853"/>
    <w:rsid w:val="00C73E56"/>
    <w:rsid w:val="00C74806"/>
    <w:rsid w:val="00C751AA"/>
    <w:rsid w:val="00C8003A"/>
    <w:rsid w:val="00C83CFF"/>
    <w:rsid w:val="00C868A1"/>
    <w:rsid w:val="00C86FA2"/>
    <w:rsid w:val="00C950BD"/>
    <w:rsid w:val="00C9538F"/>
    <w:rsid w:val="00C95A50"/>
    <w:rsid w:val="00C96E2F"/>
    <w:rsid w:val="00C96F2E"/>
    <w:rsid w:val="00CA1621"/>
    <w:rsid w:val="00CA3327"/>
    <w:rsid w:val="00CA3B2C"/>
    <w:rsid w:val="00CA4069"/>
    <w:rsid w:val="00CA5413"/>
    <w:rsid w:val="00CA5FB7"/>
    <w:rsid w:val="00CA7FBA"/>
    <w:rsid w:val="00CB0A69"/>
    <w:rsid w:val="00CB15FB"/>
    <w:rsid w:val="00CB46AA"/>
    <w:rsid w:val="00CB532B"/>
    <w:rsid w:val="00CB5F08"/>
    <w:rsid w:val="00CC6A56"/>
    <w:rsid w:val="00CC7160"/>
    <w:rsid w:val="00CD0B1D"/>
    <w:rsid w:val="00CD1148"/>
    <w:rsid w:val="00CD2F91"/>
    <w:rsid w:val="00CD32AF"/>
    <w:rsid w:val="00CD424A"/>
    <w:rsid w:val="00CD5D5A"/>
    <w:rsid w:val="00CE1AE1"/>
    <w:rsid w:val="00CE20E7"/>
    <w:rsid w:val="00CE531E"/>
    <w:rsid w:val="00CE5C08"/>
    <w:rsid w:val="00CE651D"/>
    <w:rsid w:val="00CE68A9"/>
    <w:rsid w:val="00CE6BF8"/>
    <w:rsid w:val="00CE6ECC"/>
    <w:rsid w:val="00CF028D"/>
    <w:rsid w:val="00CF0846"/>
    <w:rsid w:val="00CF41E8"/>
    <w:rsid w:val="00CF5252"/>
    <w:rsid w:val="00CF73D5"/>
    <w:rsid w:val="00CF7AFA"/>
    <w:rsid w:val="00D04596"/>
    <w:rsid w:val="00D05597"/>
    <w:rsid w:val="00D13516"/>
    <w:rsid w:val="00D14519"/>
    <w:rsid w:val="00D14C88"/>
    <w:rsid w:val="00D209D9"/>
    <w:rsid w:val="00D223FC"/>
    <w:rsid w:val="00D26C66"/>
    <w:rsid w:val="00D31305"/>
    <w:rsid w:val="00D31709"/>
    <w:rsid w:val="00D31EF4"/>
    <w:rsid w:val="00D33406"/>
    <w:rsid w:val="00D34B16"/>
    <w:rsid w:val="00D34B43"/>
    <w:rsid w:val="00D34F35"/>
    <w:rsid w:val="00D40407"/>
    <w:rsid w:val="00D40D9E"/>
    <w:rsid w:val="00D435F3"/>
    <w:rsid w:val="00D46DBD"/>
    <w:rsid w:val="00D4782B"/>
    <w:rsid w:val="00D47FD7"/>
    <w:rsid w:val="00D50116"/>
    <w:rsid w:val="00D53196"/>
    <w:rsid w:val="00D556E0"/>
    <w:rsid w:val="00D557E2"/>
    <w:rsid w:val="00D5589B"/>
    <w:rsid w:val="00D56B21"/>
    <w:rsid w:val="00D57343"/>
    <w:rsid w:val="00D611F3"/>
    <w:rsid w:val="00D61F1A"/>
    <w:rsid w:val="00D62883"/>
    <w:rsid w:val="00D63341"/>
    <w:rsid w:val="00D66D82"/>
    <w:rsid w:val="00D74F8A"/>
    <w:rsid w:val="00D777FA"/>
    <w:rsid w:val="00D806CB"/>
    <w:rsid w:val="00D8169C"/>
    <w:rsid w:val="00D8331C"/>
    <w:rsid w:val="00D857C9"/>
    <w:rsid w:val="00D85C61"/>
    <w:rsid w:val="00D85D27"/>
    <w:rsid w:val="00D86D25"/>
    <w:rsid w:val="00D9023E"/>
    <w:rsid w:val="00D9091C"/>
    <w:rsid w:val="00D90B55"/>
    <w:rsid w:val="00D92374"/>
    <w:rsid w:val="00D9463A"/>
    <w:rsid w:val="00D964F3"/>
    <w:rsid w:val="00DA3200"/>
    <w:rsid w:val="00DA42BC"/>
    <w:rsid w:val="00DA643D"/>
    <w:rsid w:val="00DC108A"/>
    <w:rsid w:val="00DC1C6D"/>
    <w:rsid w:val="00DE0D4F"/>
    <w:rsid w:val="00DE35FE"/>
    <w:rsid w:val="00DE5B92"/>
    <w:rsid w:val="00DF0A1C"/>
    <w:rsid w:val="00DF0DF7"/>
    <w:rsid w:val="00DF2DEE"/>
    <w:rsid w:val="00DF376F"/>
    <w:rsid w:val="00DF4809"/>
    <w:rsid w:val="00DF4839"/>
    <w:rsid w:val="00E03AA5"/>
    <w:rsid w:val="00E03ABD"/>
    <w:rsid w:val="00E063A2"/>
    <w:rsid w:val="00E06541"/>
    <w:rsid w:val="00E067BE"/>
    <w:rsid w:val="00E07CE2"/>
    <w:rsid w:val="00E15598"/>
    <w:rsid w:val="00E1789F"/>
    <w:rsid w:val="00E20B53"/>
    <w:rsid w:val="00E25927"/>
    <w:rsid w:val="00E26085"/>
    <w:rsid w:val="00E26B68"/>
    <w:rsid w:val="00E303C5"/>
    <w:rsid w:val="00E3068A"/>
    <w:rsid w:val="00E31754"/>
    <w:rsid w:val="00E33851"/>
    <w:rsid w:val="00E36EF8"/>
    <w:rsid w:val="00E40046"/>
    <w:rsid w:val="00E453EB"/>
    <w:rsid w:val="00E4661D"/>
    <w:rsid w:val="00E47769"/>
    <w:rsid w:val="00E50BEC"/>
    <w:rsid w:val="00E51B0E"/>
    <w:rsid w:val="00E5411B"/>
    <w:rsid w:val="00E55BCF"/>
    <w:rsid w:val="00E56191"/>
    <w:rsid w:val="00E56FDF"/>
    <w:rsid w:val="00E574C4"/>
    <w:rsid w:val="00E57F7A"/>
    <w:rsid w:val="00E67D76"/>
    <w:rsid w:val="00E70AEF"/>
    <w:rsid w:val="00E71658"/>
    <w:rsid w:val="00E72122"/>
    <w:rsid w:val="00E74360"/>
    <w:rsid w:val="00E745BA"/>
    <w:rsid w:val="00E76110"/>
    <w:rsid w:val="00E80C70"/>
    <w:rsid w:val="00E82BD0"/>
    <w:rsid w:val="00E832D6"/>
    <w:rsid w:val="00E85DE1"/>
    <w:rsid w:val="00E87BF1"/>
    <w:rsid w:val="00E926BE"/>
    <w:rsid w:val="00E93F21"/>
    <w:rsid w:val="00E95415"/>
    <w:rsid w:val="00EA54D5"/>
    <w:rsid w:val="00EB1206"/>
    <w:rsid w:val="00EB36D2"/>
    <w:rsid w:val="00EB433E"/>
    <w:rsid w:val="00EB4586"/>
    <w:rsid w:val="00EB5A6A"/>
    <w:rsid w:val="00EB7337"/>
    <w:rsid w:val="00EB7538"/>
    <w:rsid w:val="00EC1674"/>
    <w:rsid w:val="00EC4411"/>
    <w:rsid w:val="00EC55A7"/>
    <w:rsid w:val="00ED4197"/>
    <w:rsid w:val="00ED6B57"/>
    <w:rsid w:val="00ED7DC7"/>
    <w:rsid w:val="00ED7DD6"/>
    <w:rsid w:val="00EE0245"/>
    <w:rsid w:val="00EE1757"/>
    <w:rsid w:val="00EE199E"/>
    <w:rsid w:val="00EE1ED0"/>
    <w:rsid w:val="00EE34A3"/>
    <w:rsid w:val="00EE407D"/>
    <w:rsid w:val="00EE49AC"/>
    <w:rsid w:val="00EE623A"/>
    <w:rsid w:val="00EF1E9C"/>
    <w:rsid w:val="00EF5E97"/>
    <w:rsid w:val="00EF6C06"/>
    <w:rsid w:val="00EF7C57"/>
    <w:rsid w:val="00F03E6B"/>
    <w:rsid w:val="00F04848"/>
    <w:rsid w:val="00F04A4A"/>
    <w:rsid w:val="00F05246"/>
    <w:rsid w:val="00F052B3"/>
    <w:rsid w:val="00F05979"/>
    <w:rsid w:val="00F061E6"/>
    <w:rsid w:val="00F069AD"/>
    <w:rsid w:val="00F11A43"/>
    <w:rsid w:val="00F12F9D"/>
    <w:rsid w:val="00F14F11"/>
    <w:rsid w:val="00F160AD"/>
    <w:rsid w:val="00F17FBE"/>
    <w:rsid w:val="00F218D6"/>
    <w:rsid w:val="00F22E9E"/>
    <w:rsid w:val="00F275C8"/>
    <w:rsid w:val="00F323B9"/>
    <w:rsid w:val="00F32C07"/>
    <w:rsid w:val="00F34094"/>
    <w:rsid w:val="00F34253"/>
    <w:rsid w:val="00F3689A"/>
    <w:rsid w:val="00F4288D"/>
    <w:rsid w:val="00F43311"/>
    <w:rsid w:val="00F44E89"/>
    <w:rsid w:val="00F45948"/>
    <w:rsid w:val="00F463D3"/>
    <w:rsid w:val="00F47B3F"/>
    <w:rsid w:val="00F512FD"/>
    <w:rsid w:val="00F515C7"/>
    <w:rsid w:val="00F5215C"/>
    <w:rsid w:val="00F53B7F"/>
    <w:rsid w:val="00F5775A"/>
    <w:rsid w:val="00F66CE8"/>
    <w:rsid w:val="00F70107"/>
    <w:rsid w:val="00F7053E"/>
    <w:rsid w:val="00F70A49"/>
    <w:rsid w:val="00F712F7"/>
    <w:rsid w:val="00F72CF8"/>
    <w:rsid w:val="00F72F35"/>
    <w:rsid w:val="00F806A2"/>
    <w:rsid w:val="00F81F15"/>
    <w:rsid w:val="00F82034"/>
    <w:rsid w:val="00F83300"/>
    <w:rsid w:val="00F8400D"/>
    <w:rsid w:val="00F84C50"/>
    <w:rsid w:val="00F869D9"/>
    <w:rsid w:val="00F9002B"/>
    <w:rsid w:val="00F92ED7"/>
    <w:rsid w:val="00F95643"/>
    <w:rsid w:val="00F96FA4"/>
    <w:rsid w:val="00FA0625"/>
    <w:rsid w:val="00FA0682"/>
    <w:rsid w:val="00FA3E94"/>
    <w:rsid w:val="00FA4B47"/>
    <w:rsid w:val="00FA7F69"/>
    <w:rsid w:val="00FB742D"/>
    <w:rsid w:val="00FC0117"/>
    <w:rsid w:val="00FC02C5"/>
    <w:rsid w:val="00FC3D77"/>
    <w:rsid w:val="00FC53DD"/>
    <w:rsid w:val="00FD7880"/>
    <w:rsid w:val="00FE6738"/>
    <w:rsid w:val="00FE74AE"/>
    <w:rsid w:val="00FE78AD"/>
    <w:rsid w:val="00FF457F"/>
    <w:rsid w:val="00FF722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055D1E6"/>
  <w15:chartTrackingRefBased/>
  <w15:docId w15:val="{C8BD7656-E24C-4CA6-B1BD-7F1CD325C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mbria" w:hAnsi="Arial" w:cs="Times New Roman"/>
        <w:sz w:val="18"/>
        <w:szCs w:val="18"/>
        <w:lang w:val="en-AU" w:eastAsia="ja-JP" w:bidi="ar-SA"/>
      </w:rPr>
    </w:rPrDefault>
    <w:pPrDefault/>
  </w:docDefaults>
  <w:latentStyles w:defLockedState="1" w:defUIPriority="0" w:defSemiHidden="0" w:defUnhideWhenUsed="0" w:defQFormat="0" w:count="376">
    <w:lsdException w:name="Normal" w:locked="0" w:uiPriority="99"/>
    <w:lsdException w:name="heading 1" w:uiPriority="99"/>
    <w:lsdException w:name="heading 2" w:qFormat="1"/>
    <w:lsdException w:name="heading 3" w:uiPriority="99"/>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semiHidden="1" w:uiPriority="9" w:unhideWhenUsed="1" w:qFormat="1"/>
    <w:lsdException w:name="footnote text" w:semiHidden="1" w:uiPriority="99" w:unhideWhenUsed="1"/>
    <w:lsdException w:name="annotation text" w:semiHidden="1" w:uiPriority="99" w:unhideWhenUsed="1"/>
    <w:lsdException w:name="header" w:uiPriority="99"/>
    <w:lsdException w:name="footer" w:uiPriority="99"/>
    <w:lsdException w:name="index heading" w:semiHidden="1" w:uiPriority="99" w:unhideWhenUsed="1"/>
    <w:lsdException w:name="caption" w:uiPriority="99"/>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uiPriority="99"/>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locked="0" w:uiPriority="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unhideWhenUs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uiPriority="99"/>
    <w:lsdException w:name="FollowedHyperlink" w:semiHidden="1" w:uiPriority="99" w:unhideWhenUsed="1"/>
    <w:lsdException w:name="Strong" w:semiHidden="1" w:uiPriority="99" w:unhideWhenUsed="1" w:qFormat="1"/>
    <w:lsdException w:name="Emphasis" w:semiHidden="1" w:uiPriority="99" w:unhideWhenUsed="1" w:qFormat="1"/>
    <w:lsdException w:name="Document Map" w:semiHidden="1" w:uiPriority="99" w:unhideWhenUsed="1"/>
    <w:lsdException w:name="Plain Text" w:semiHidden="1" w:uiPriority="99" w:unhideWhenUsed="1"/>
    <w:lsdException w:name="E-mail Signature" w:semiHidden="1" w:uiPriority="99" w:unhideWhenUsed="1"/>
    <w:lsdException w:name="HTML Top of Form" w:locked="0"/>
    <w:lsdException w:name="HTML Bottom of Form" w:locked="0"/>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nhideWhenUsed="1"/>
    <w:lsdException w:name="annotation subject" w:semiHidden="1" w:uiPriority="99" w:unhideWhenUsed="1"/>
    <w:lsdException w:name="No List" w:locked="0"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lsdException w:name="List Paragraph" w:semiHidden="1" w:uiPriority="34" w:unhideWhenUsed="1" w:qFormat="1"/>
    <w:lsdException w:name="Quote" w:semiHidden="1" w:uiPriority="99" w:unhideWhenUsed="1" w:qFormat="1"/>
    <w:lsdException w:name="Intense Quote" w:semiHidden="1" w:uiPriority="99" w:unhideWhenUsed="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99" w:unhideWhenUsed="1" w:qFormat="1"/>
    <w:lsdException w:name="Intense Emphasis" w:semiHidden="1" w:uiPriority="99" w:unhideWhenUsed="1" w:qFormat="1"/>
    <w:lsdException w:name="Subtle Reference" w:semiHidden="1" w:uiPriority="99" w:unhideWhenUsed="1" w:qFormat="1"/>
    <w:lsdException w:name="Intense Reference" w:semiHidden="1" w:uiPriority="99" w:unhideWhenUsed="1" w:qFormat="1"/>
    <w:lsdException w:name="Book Title" w:semiHidden="1" w:uiPriority="99" w:unhideWhenUsed="1" w:qFormat="1"/>
    <w:lsdException w:name="Bibliography" w:semiHidden="1" w:uiPriority="99" w:unhideWhenUsed="1"/>
    <w:lsdException w:name="TOC Heading" w:semiHidden="1" w:uiPriority="9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locked="0" w:semiHidden="1" w:uiPriority="99" w:unhideWhenUsed="1"/>
  </w:latentStyles>
  <w:style w:type="paragraph" w:default="1" w:styleId="Normal">
    <w:name w:val="Normal"/>
    <w:uiPriority w:val="99"/>
    <w:unhideWhenUsed/>
    <w:rsid w:val="00756615"/>
    <w:pPr>
      <w:spacing w:before="120"/>
    </w:pPr>
  </w:style>
  <w:style w:type="paragraph" w:styleId="Heading1">
    <w:name w:val="heading 1"/>
    <w:basedOn w:val="VFAHeading1"/>
    <w:next w:val="Normal"/>
    <w:link w:val="Heading1Char"/>
    <w:uiPriority w:val="99"/>
    <w:unhideWhenUsed/>
    <w:locked/>
    <w:rsid w:val="00A357F4"/>
    <w:pPr>
      <w:outlineLvl w:val="0"/>
    </w:pPr>
  </w:style>
  <w:style w:type="paragraph" w:styleId="Heading2">
    <w:name w:val="heading 2"/>
    <w:basedOn w:val="Normal"/>
    <w:next w:val="Normal"/>
    <w:link w:val="Heading2Char"/>
    <w:unhideWhenUsed/>
    <w:qFormat/>
    <w:locked/>
    <w:rsid w:val="00A357F4"/>
    <w:pPr>
      <w:keepNext/>
      <w:spacing w:before="240" w:after="120"/>
      <w:outlineLvl w:val="1"/>
    </w:pPr>
    <w:rPr>
      <w:rFonts w:eastAsia="Times New Roman"/>
      <w:b/>
      <w:bCs/>
      <w:iCs/>
      <w:color w:val="004976" w:themeColor="accent1"/>
      <w:sz w:val="24"/>
      <w:szCs w:val="28"/>
    </w:rPr>
  </w:style>
  <w:style w:type="paragraph" w:styleId="Heading3">
    <w:name w:val="heading 3"/>
    <w:basedOn w:val="Normal"/>
    <w:next w:val="Normal"/>
    <w:link w:val="Heading3Char"/>
    <w:uiPriority w:val="99"/>
    <w:unhideWhenUsed/>
    <w:locked/>
    <w:rsid w:val="00CA3327"/>
    <w:pPr>
      <w:keepNext/>
      <w:outlineLvl w:val="2"/>
    </w:pPr>
    <w:rPr>
      <w:rFonts w:eastAsia="Times New Roman"/>
      <w:b/>
      <w:bCs/>
      <w:color w:val="40C4CB" w:themeColor="accent4"/>
      <w:szCs w:val="26"/>
    </w:rPr>
  </w:style>
  <w:style w:type="paragraph" w:styleId="Heading4">
    <w:name w:val="heading 4"/>
    <w:basedOn w:val="Normal"/>
    <w:next w:val="Normal"/>
    <w:link w:val="Heading4Char"/>
    <w:uiPriority w:val="99"/>
    <w:semiHidden/>
    <w:unhideWhenUsed/>
    <w:qFormat/>
    <w:locked/>
    <w:rsid w:val="007F4D10"/>
    <w:pPr>
      <w:keepNext/>
      <w:keepLines/>
      <w:spacing w:before="40"/>
      <w:outlineLvl w:val="3"/>
    </w:pPr>
    <w:rPr>
      <w:rFonts w:asciiTheme="majorHAnsi" w:eastAsiaTheme="majorEastAsia" w:hAnsiTheme="majorHAnsi" w:cstheme="majorBidi"/>
      <w:i/>
      <w:iCs/>
      <w:color w:val="003658" w:themeColor="accent1" w:themeShade="BF"/>
    </w:rPr>
  </w:style>
  <w:style w:type="paragraph" w:styleId="Heading5">
    <w:name w:val="heading 5"/>
    <w:basedOn w:val="Normal"/>
    <w:next w:val="Normal"/>
    <w:link w:val="Heading5Char"/>
    <w:uiPriority w:val="99"/>
    <w:semiHidden/>
    <w:unhideWhenUsed/>
    <w:qFormat/>
    <w:locked/>
    <w:rsid w:val="007F4D10"/>
    <w:pPr>
      <w:keepNext/>
      <w:keepLines/>
      <w:spacing w:before="40"/>
      <w:outlineLvl w:val="4"/>
    </w:pPr>
    <w:rPr>
      <w:rFonts w:asciiTheme="majorHAnsi" w:eastAsiaTheme="majorEastAsia" w:hAnsiTheme="majorHAnsi" w:cstheme="majorBidi"/>
      <w:color w:val="003658" w:themeColor="accent1" w:themeShade="BF"/>
    </w:rPr>
  </w:style>
  <w:style w:type="paragraph" w:styleId="Heading6">
    <w:name w:val="heading 6"/>
    <w:basedOn w:val="Normal"/>
    <w:next w:val="Normal"/>
    <w:link w:val="Heading6Char"/>
    <w:uiPriority w:val="99"/>
    <w:semiHidden/>
    <w:unhideWhenUsed/>
    <w:qFormat/>
    <w:locked/>
    <w:rsid w:val="007F4D10"/>
    <w:pPr>
      <w:keepNext/>
      <w:keepLines/>
      <w:spacing w:before="40"/>
      <w:outlineLvl w:val="5"/>
    </w:pPr>
    <w:rPr>
      <w:rFonts w:asciiTheme="majorHAnsi" w:eastAsiaTheme="majorEastAsia" w:hAnsiTheme="majorHAnsi" w:cstheme="majorBidi"/>
      <w:color w:val="00243A" w:themeColor="accent1" w:themeShade="7F"/>
    </w:rPr>
  </w:style>
  <w:style w:type="paragraph" w:styleId="Heading7">
    <w:name w:val="heading 7"/>
    <w:basedOn w:val="Normal"/>
    <w:next w:val="Normal"/>
    <w:link w:val="Heading7Char"/>
    <w:uiPriority w:val="99"/>
    <w:semiHidden/>
    <w:unhideWhenUsed/>
    <w:qFormat/>
    <w:locked/>
    <w:rsid w:val="007F4D10"/>
    <w:pPr>
      <w:keepNext/>
      <w:keepLines/>
      <w:spacing w:before="40"/>
      <w:outlineLvl w:val="6"/>
    </w:pPr>
    <w:rPr>
      <w:rFonts w:asciiTheme="majorHAnsi" w:eastAsiaTheme="majorEastAsia" w:hAnsiTheme="majorHAnsi" w:cstheme="majorBidi"/>
      <w:i/>
      <w:iCs/>
      <w:color w:val="00243A" w:themeColor="accent1" w:themeShade="7F"/>
    </w:rPr>
  </w:style>
  <w:style w:type="paragraph" w:styleId="Heading8">
    <w:name w:val="heading 8"/>
    <w:basedOn w:val="Normal"/>
    <w:next w:val="Normal"/>
    <w:link w:val="Heading8Char"/>
    <w:uiPriority w:val="99"/>
    <w:semiHidden/>
    <w:unhideWhenUsed/>
    <w:qFormat/>
    <w:locked/>
    <w:rsid w:val="007F4D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locked/>
    <w:rsid w:val="007F4D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locked/>
    <w:rsid w:val="008A2FFF"/>
    <w:pPr>
      <w:tabs>
        <w:tab w:val="right" w:leader="dot" w:pos="10773"/>
      </w:tabs>
      <w:spacing w:before="360" w:after="120"/>
    </w:pPr>
    <w:rPr>
      <w:rFonts w:ascii="Arial Bold" w:eastAsia="Times New Roman" w:hAnsi="Arial Bold"/>
      <w:b/>
      <w:noProof/>
      <w:color w:val="00B0B9" w:themeColor="accent2"/>
      <w:sz w:val="24"/>
      <w:szCs w:val="20"/>
      <w:u w:color="004876"/>
    </w:rPr>
  </w:style>
  <w:style w:type="character" w:customStyle="1" w:styleId="Heading2Char">
    <w:name w:val="Heading 2 Char"/>
    <w:basedOn w:val="DefaultParagraphFont"/>
    <w:link w:val="Heading2"/>
    <w:rsid w:val="00FA7F69"/>
    <w:rPr>
      <w:rFonts w:ascii="Arial" w:eastAsia="Times New Roman" w:hAnsi="Arial"/>
      <w:b/>
      <w:bCs/>
      <w:iCs/>
      <w:color w:val="004976" w:themeColor="accent1"/>
      <w:sz w:val="24"/>
      <w:szCs w:val="28"/>
      <w:lang w:eastAsia="en-US"/>
    </w:rPr>
  </w:style>
  <w:style w:type="paragraph" w:styleId="Header">
    <w:name w:val="header"/>
    <w:basedOn w:val="Normal"/>
    <w:link w:val="HeaderChar"/>
    <w:uiPriority w:val="99"/>
    <w:unhideWhenUsed/>
    <w:locked/>
    <w:rsid w:val="000954F4"/>
    <w:pPr>
      <w:pBdr>
        <w:bottom w:val="single" w:sz="4" w:space="6" w:color="00B0B9" w:themeColor="accent2"/>
      </w:pBdr>
      <w:tabs>
        <w:tab w:val="right" w:pos="9781"/>
      </w:tabs>
      <w:jc w:val="center"/>
    </w:pPr>
    <w:rPr>
      <w:color w:val="00B0B9" w:themeColor="accent2"/>
    </w:rPr>
  </w:style>
  <w:style w:type="character" w:customStyle="1" w:styleId="HeaderChar">
    <w:name w:val="Header Char"/>
    <w:basedOn w:val="DefaultParagraphFont"/>
    <w:link w:val="Header"/>
    <w:uiPriority w:val="99"/>
    <w:rsid w:val="00FA7F69"/>
    <w:rPr>
      <w:rFonts w:ascii="Arial" w:hAnsi="Arial"/>
      <w:color w:val="00B0B9" w:themeColor="accent2"/>
      <w:sz w:val="18"/>
      <w:szCs w:val="24"/>
      <w:lang w:eastAsia="en-US"/>
    </w:rPr>
  </w:style>
  <w:style w:type="paragraph" w:styleId="Footer">
    <w:name w:val="footer"/>
    <w:basedOn w:val="Normal"/>
    <w:link w:val="FooterChar"/>
    <w:uiPriority w:val="99"/>
    <w:unhideWhenUsed/>
    <w:locked/>
    <w:rsid w:val="00B251F5"/>
    <w:pPr>
      <w:tabs>
        <w:tab w:val="center" w:pos="4513"/>
        <w:tab w:val="right" w:pos="9026"/>
      </w:tabs>
      <w:spacing w:before="0"/>
    </w:pPr>
  </w:style>
  <w:style w:type="character" w:customStyle="1" w:styleId="FooterChar">
    <w:name w:val="Footer Char"/>
    <w:basedOn w:val="DefaultParagraphFont"/>
    <w:link w:val="Footer"/>
    <w:uiPriority w:val="99"/>
    <w:rsid w:val="00FA7F69"/>
    <w:rPr>
      <w:rFonts w:ascii="Arial" w:hAnsi="Arial"/>
      <w:sz w:val="18"/>
      <w:szCs w:val="24"/>
      <w:lang w:eastAsia="en-US"/>
    </w:rPr>
  </w:style>
  <w:style w:type="table" w:styleId="TableGrid">
    <w:name w:val="Table Grid"/>
    <w:basedOn w:val="TableNormal"/>
    <w:locked/>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uiPriority w:val="99"/>
    <w:semiHidden/>
    <w:unhideWhenUsed/>
    <w:qFormat/>
    <w:locked/>
    <w:rsid w:val="000954F4"/>
    <w:pPr>
      <w:pBdr>
        <w:top w:val="single" w:sz="48" w:space="3" w:color="00B0B9" w:themeColor="accent2"/>
      </w:pBdr>
      <w:spacing w:before="360" w:after="240"/>
      <w:ind w:right="3508"/>
    </w:pPr>
    <w:rPr>
      <w:rFonts w:ascii="Arial Bold" w:hAnsi="Arial Bold"/>
      <w:b/>
      <w:bCs/>
      <w:color w:val="004976" w:themeColor="accent1"/>
      <w:kern w:val="32"/>
      <w:sz w:val="56"/>
      <w:szCs w:val="32"/>
      <w:lang w:eastAsia="en-US"/>
    </w:rPr>
  </w:style>
  <w:style w:type="character" w:customStyle="1" w:styleId="Heading3Char">
    <w:name w:val="Heading 3 Char"/>
    <w:basedOn w:val="DefaultParagraphFont"/>
    <w:link w:val="Heading3"/>
    <w:uiPriority w:val="99"/>
    <w:rsid w:val="00FA7F69"/>
    <w:rPr>
      <w:rFonts w:ascii="Arial" w:eastAsia="Times New Roman" w:hAnsi="Arial"/>
      <w:b/>
      <w:bCs/>
      <w:color w:val="40C4CB" w:themeColor="accent4"/>
      <w:sz w:val="18"/>
      <w:szCs w:val="26"/>
      <w:lang w:eastAsia="en-US"/>
    </w:rPr>
  </w:style>
  <w:style w:type="paragraph" w:customStyle="1" w:styleId="MainHeadingVFAa">
    <w:name w:val="Main Heading VFA ƒa"/>
    <w:basedOn w:val="Normal"/>
    <w:uiPriority w:val="99"/>
    <w:unhideWhenUsed/>
    <w:locked/>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uiPriority w:val="99"/>
    <w:unhideWhenUsed/>
    <w:locked/>
    <w:rsid w:val="000954F4"/>
    <w:pPr>
      <w:spacing w:before="240" w:after="60"/>
      <w:outlineLvl w:val="0"/>
    </w:pPr>
    <w:rPr>
      <w:rFonts w:eastAsia="Times New Roman"/>
      <w:b/>
      <w:bCs/>
      <w:color w:val="004976" w:themeColor="accent1"/>
      <w:kern w:val="28"/>
      <w:sz w:val="120"/>
      <w:szCs w:val="32"/>
    </w:rPr>
  </w:style>
  <w:style w:type="character" w:customStyle="1" w:styleId="Heading1Char">
    <w:name w:val="Heading 1 Char"/>
    <w:basedOn w:val="DefaultParagraphFont"/>
    <w:link w:val="Heading1"/>
    <w:uiPriority w:val="99"/>
    <w:rsid w:val="00FA7F69"/>
    <w:rPr>
      <w:rFonts w:ascii="Arial" w:hAnsi="Arial"/>
      <w:b/>
      <w:bCs/>
      <w:color w:val="00B0B9" w:themeColor="accent2"/>
      <w:kern w:val="32"/>
      <w:sz w:val="32"/>
      <w:szCs w:val="32"/>
      <w:lang w:eastAsia="en-US"/>
    </w:rPr>
  </w:style>
  <w:style w:type="character" w:customStyle="1" w:styleId="TitleChar">
    <w:name w:val="Title Char"/>
    <w:basedOn w:val="DefaultParagraphFont"/>
    <w:link w:val="Title"/>
    <w:uiPriority w:val="99"/>
    <w:rsid w:val="00FA7F69"/>
    <w:rPr>
      <w:rFonts w:ascii="Arial" w:eastAsia="Times New Roman" w:hAnsi="Arial"/>
      <w:b/>
      <w:bCs/>
      <w:color w:val="004976" w:themeColor="accent1"/>
      <w:kern w:val="28"/>
      <w:sz w:val="120"/>
      <w:szCs w:val="32"/>
      <w:lang w:eastAsia="en-US"/>
    </w:rPr>
  </w:style>
  <w:style w:type="character" w:styleId="PageNumber">
    <w:name w:val="page number"/>
    <w:basedOn w:val="DefaultParagraphFont"/>
    <w:uiPriority w:val="99"/>
    <w:unhideWhenUsed/>
    <w:locked/>
    <w:rsid w:val="00040791"/>
  </w:style>
  <w:style w:type="paragraph" w:customStyle="1" w:styleId="BasicParagraph">
    <w:name w:val="[Basic Paragraph]"/>
    <w:basedOn w:val="Normal"/>
    <w:uiPriority w:val="99"/>
    <w:semiHidden/>
    <w:unhideWhenUsed/>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uiPriority w:val="99"/>
    <w:unhideWhenUsed/>
    <w:locked/>
    <w:rsid w:val="00CA3327"/>
    <w:rPr>
      <w:bCs/>
      <w:i/>
      <w:color w:val="000000" w:themeColor="text1"/>
      <w:szCs w:val="20"/>
    </w:rPr>
  </w:style>
  <w:style w:type="paragraph" w:styleId="TOC2">
    <w:name w:val="toc 2"/>
    <w:basedOn w:val="Normal"/>
    <w:next w:val="Normal"/>
    <w:autoRedefine/>
    <w:uiPriority w:val="39"/>
    <w:unhideWhenUsed/>
    <w:locked/>
    <w:rsid w:val="008A2FFF"/>
    <w:pPr>
      <w:tabs>
        <w:tab w:val="right" w:leader="dot" w:pos="10773"/>
      </w:tabs>
      <w:spacing w:before="240" w:after="120"/>
    </w:pPr>
    <w:rPr>
      <w:rFonts w:ascii="Arial Bold" w:eastAsia="Times New Roman" w:hAnsi="Arial Bold"/>
      <w:b/>
      <w:noProof/>
      <w:color w:val="004976" w:themeColor="accent1"/>
      <w:sz w:val="20"/>
      <w:szCs w:val="20"/>
      <w:u w:color="004876"/>
    </w:rPr>
  </w:style>
  <w:style w:type="paragraph" w:customStyle="1" w:styleId="Introductiontext">
    <w:name w:val="Introduction text"/>
    <w:uiPriority w:val="99"/>
    <w:unhideWhenUsed/>
    <w:locked/>
    <w:rsid w:val="00CA3327"/>
    <w:pPr>
      <w:widowControl w:val="0"/>
      <w:suppressAutoHyphens/>
      <w:autoSpaceDE w:val="0"/>
      <w:autoSpaceDN w:val="0"/>
      <w:adjustRightInd w:val="0"/>
      <w:spacing w:before="120" w:after="120"/>
      <w:textAlignment w:val="center"/>
    </w:pPr>
    <w:rPr>
      <w:rFonts w:cs="Avenir-Light"/>
      <w:color w:val="407798" w:themeColor="text2"/>
      <w:spacing w:val="-5"/>
      <w:szCs w:val="26"/>
      <w:lang w:val="en-US" w:eastAsia="en-US"/>
    </w:rPr>
  </w:style>
  <w:style w:type="paragraph" w:styleId="TOC3">
    <w:name w:val="toc 3"/>
    <w:basedOn w:val="Normal"/>
    <w:next w:val="Normal"/>
    <w:autoRedefine/>
    <w:uiPriority w:val="39"/>
    <w:unhideWhenUsed/>
    <w:locked/>
    <w:rsid w:val="008A2FFF"/>
    <w:pPr>
      <w:tabs>
        <w:tab w:val="right" w:leader="dot" w:pos="10773"/>
      </w:tabs>
      <w:spacing w:before="180" w:after="120"/>
    </w:pPr>
    <w:rPr>
      <w:rFonts w:ascii="Arial Bold" w:hAnsi="Arial Bold"/>
      <w:b/>
      <w:noProof/>
      <w:color w:val="407798" w:themeColor="text2"/>
      <w:u w:color="004876"/>
    </w:rPr>
  </w:style>
  <w:style w:type="paragraph" w:styleId="TOC4">
    <w:name w:val="toc 4"/>
    <w:basedOn w:val="Normal"/>
    <w:next w:val="Normal"/>
    <w:autoRedefine/>
    <w:uiPriority w:val="99"/>
    <w:semiHidden/>
    <w:unhideWhenUsed/>
    <w:locked/>
    <w:rsid w:val="008A2FFF"/>
    <w:pPr>
      <w:tabs>
        <w:tab w:val="right" w:leader="dot" w:pos="10773"/>
      </w:tabs>
      <w:spacing w:before="60" w:after="60"/>
    </w:pPr>
    <w:rPr>
      <w:noProof/>
      <w:color w:val="00B0B9" w:themeColor="accent2"/>
    </w:rPr>
  </w:style>
  <w:style w:type="paragraph" w:styleId="TOC5">
    <w:name w:val="toc 5"/>
    <w:basedOn w:val="Normal"/>
    <w:next w:val="Normal"/>
    <w:autoRedefine/>
    <w:uiPriority w:val="99"/>
    <w:unhideWhenUsed/>
    <w:locked/>
    <w:rsid w:val="00736A81"/>
    <w:pPr>
      <w:ind w:left="720"/>
    </w:pPr>
  </w:style>
  <w:style w:type="paragraph" w:styleId="TOC6">
    <w:name w:val="toc 6"/>
    <w:basedOn w:val="Normal"/>
    <w:next w:val="Normal"/>
    <w:autoRedefine/>
    <w:uiPriority w:val="99"/>
    <w:unhideWhenUsed/>
    <w:locked/>
    <w:rsid w:val="00736A81"/>
    <w:pPr>
      <w:ind w:left="900"/>
    </w:pPr>
  </w:style>
  <w:style w:type="paragraph" w:styleId="TOC7">
    <w:name w:val="toc 7"/>
    <w:basedOn w:val="Normal"/>
    <w:next w:val="Normal"/>
    <w:autoRedefine/>
    <w:uiPriority w:val="99"/>
    <w:unhideWhenUsed/>
    <w:locked/>
    <w:rsid w:val="00736A81"/>
    <w:pPr>
      <w:ind w:left="1080"/>
    </w:pPr>
  </w:style>
  <w:style w:type="paragraph" w:styleId="TOC8">
    <w:name w:val="toc 8"/>
    <w:basedOn w:val="Normal"/>
    <w:next w:val="Normal"/>
    <w:autoRedefine/>
    <w:uiPriority w:val="99"/>
    <w:unhideWhenUsed/>
    <w:locked/>
    <w:rsid w:val="00736A81"/>
    <w:pPr>
      <w:ind w:left="1260"/>
    </w:pPr>
  </w:style>
  <w:style w:type="paragraph" w:styleId="TOC9">
    <w:name w:val="toc 9"/>
    <w:basedOn w:val="Normal"/>
    <w:next w:val="Normal"/>
    <w:autoRedefine/>
    <w:uiPriority w:val="99"/>
    <w:unhideWhenUsed/>
    <w:locked/>
    <w:rsid w:val="00736A81"/>
    <w:pPr>
      <w:ind w:left="1440"/>
    </w:pPr>
  </w:style>
  <w:style w:type="character" w:styleId="Hyperlink">
    <w:name w:val="Hyperlink"/>
    <w:basedOn w:val="DefaultParagraphFont"/>
    <w:uiPriority w:val="99"/>
    <w:unhideWhenUsed/>
    <w:locked/>
    <w:rsid w:val="00E56191"/>
    <w:rPr>
      <w:color w:val="0000FF"/>
      <w:u w:val="single"/>
    </w:rPr>
  </w:style>
  <w:style w:type="paragraph" w:customStyle="1" w:styleId="Imprint">
    <w:name w:val="Imprint"/>
    <w:basedOn w:val="Normal"/>
    <w:uiPriority w:val="99"/>
    <w:unhideWhenUsed/>
    <w:locked/>
    <w:rsid w:val="00E56191"/>
    <w:pPr>
      <w:spacing w:before="0" w:after="160" w:line="240" w:lineRule="atLeast"/>
    </w:pPr>
    <w:rPr>
      <w:rFonts w:eastAsia="Times New Roman" w:cs="Arial"/>
      <w:sz w:val="16"/>
      <w:szCs w:val="16"/>
    </w:rPr>
  </w:style>
  <w:style w:type="paragraph" w:customStyle="1" w:styleId="VFATitle">
    <w:name w:val="VFA Title"/>
    <w:basedOn w:val="VFANormal"/>
    <w:qFormat/>
    <w:rsid w:val="003603B4"/>
    <w:pPr>
      <w:spacing w:after="0"/>
    </w:pPr>
    <w:rPr>
      <w:b/>
      <w:color w:val="004976" w:themeColor="accent1"/>
      <w:sz w:val="56"/>
      <w:szCs w:val="56"/>
    </w:rPr>
  </w:style>
  <w:style w:type="paragraph" w:customStyle="1" w:styleId="VFASubtitle">
    <w:name w:val="VFA Subtitle"/>
    <w:basedOn w:val="VFANormal"/>
    <w:qFormat/>
    <w:rsid w:val="00377273"/>
    <w:rPr>
      <w:color w:val="00ACBA"/>
      <w:sz w:val="44"/>
      <w:szCs w:val="44"/>
    </w:rPr>
  </w:style>
  <w:style w:type="paragraph" w:customStyle="1" w:styleId="VFAImprint">
    <w:name w:val="VFA Imprint"/>
    <w:basedOn w:val="VFANormal"/>
    <w:qFormat/>
    <w:rsid w:val="00377273"/>
    <w:pPr>
      <w:framePr w:hSpace="181" w:wrap="around" w:vAnchor="text" w:hAnchor="margin" w:x="1" w:y="6238"/>
    </w:pPr>
  </w:style>
  <w:style w:type="paragraph" w:customStyle="1" w:styleId="VFAHeader">
    <w:name w:val="VFA Header"/>
    <w:basedOn w:val="VFANormal"/>
    <w:qFormat/>
    <w:rsid w:val="00FA3E94"/>
    <w:pPr>
      <w:jc w:val="center"/>
    </w:pPr>
    <w:rPr>
      <w:color w:val="00B0B9" w:themeColor="accent2"/>
    </w:rPr>
  </w:style>
  <w:style w:type="paragraph" w:customStyle="1" w:styleId="VFAFooter">
    <w:name w:val="VFA Footer"/>
    <w:basedOn w:val="VFANormal"/>
    <w:qFormat/>
    <w:rsid w:val="00B251F5"/>
    <w:pPr>
      <w:pBdr>
        <w:top w:val="single" w:sz="4" w:space="6" w:color="00B0B9" w:themeColor="accent2"/>
      </w:pBdr>
      <w:tabs>
        <w:tab w:val="center" w:pos="4320"/>
        <w:tab w:val="right" w:pos="8640"/>
      </w:tabs>
      <w:jc w:val="center"/>
    </w:pPr>
    <w:rPr>
      <w:color w:val="00B0B9" w:themeColor="accent2"/>
    </w:rPr>
  </w:style>
  <w:style w:type="paragraph" w:customStyle="1" w:styleId="VFASectionHeading">
    <w:name w:val="VFA Section Heading"/>
    <w:basedOn w:val="VFANormal"/>
    <w:qFormat/>
    <w:rsid w:val="00F512FD"/>
    <w:pPr>
      <w:pBdr>
        <w:top w:val="single" w:sz="48" w:space="3" w:color="00B0B9" w:themeColor="accent2"/>
      </w:pBdr>
      <w:spacing w:before="360" w:after="240"/>
    </w:pPr>
    <w:rPr>
      <w:b/>
      <w:color w:val="004976" w:themeColor="accent1"/>
      <w:sz w:val="56"/>
    </w:rPr>
  </w:style>
  <w:style w:type="paragraph" w:customStyle="1" w:styleId="VFACaptionDark">
    <w:name w:val="VFA Caption Dark"/>
    <w:basedOn w:val="VFANormal"/>
    <w:qFormat/>
    <w:rsid w:val="005F51E7"/>
    <w:pPr>
      <w:spacing w:before="60" w:after="60"/>
      <w:ind w:left="113" w:right="113"/>
    </w:pPr>
    <w:rPr>
      <w:i/>
    </w:rPr>
  </w:style>
  <w:style w:type="paragraph" w:customStyle="1" w:styleId="VFACaptionLight">
    <w:name w:val="VFA Caption Light"/>
    <w:basedOn w:val="VFACaptionDark"/>
    <w:qFormat/>
    <w:rsid w:val="00A5563F"/>
    <w:rPr>
      <w:color w:val="E6EDF1" w:themeColor="background2"/>
    </w:rPr>
  </w:style>
  <w:style w:type="paragraph" w:customStyle="1" w:styleId="VFAIntroductionText">
    <w:name w:val="VFA Introduction Text"/>
    <w:basedOn w:val="VFANormal"/>
    <w:qFormat/>
    <w:rsid w:val="00F05246"/>
    <w:rPr>
      <w:color w:val="407798" w:themeColor="text2"/>
      <w:sz w:val="20"/>
    </w:rPr>
  </w:style>
  <w:style w:type="paragraph" w:customStyle="1" w:styleId="VFAHeading1">
    <w:name w:val="VFA Heading 1"/>
    <w:qFormat/>
    <w:rsid w:val="00A357F4"/>
    <w:pPr>
      <w:spacing w:before="240" w:after="120"/>
    </w:pPr>
    <w:rPr>
      <w:b/>
      <w:bCs/>
      <w:color w:val="00B0B9" w:themeColor="accent2"/>
      <w:kern w:val="32"/>
      <w:sz w:val="32"/>
      <w:szCs w:val="32"/>
      <w:lang w:eastAsia="en-US"/>
    </w:rPr>
  </w:style>
  <w:style w:type="paragraph" w:customStyle="1" w:styleId="VFAHeading2">
    <w:name w:val="VFA Heading 2"/>
    <w:basedOn w:val="VFAHeading1"/>
    <w:qFormat/>
    <w:rsid w:val="00A357F4"/>
    <w:rPr>
      <w:color w:val="004976" w:themeColor="accent1"/>
      <w:sz w:val="24"/>
    </w:rPr>
  </w:style>
  <w:style w:type="paragraph" w:customStyle="1" w:styleId="VFAHeading3">
    <w:name w:val="VFA Heading 3"/>
    <w:basedOn w:val="VFAHeading1"/>
    <w:qFormat/>
    <w:rsid w:val="00F05246"/>
    <w:pPr>
      <w:spacing w:before="120" w:after="0"/>
    </w:pPr>
    <w:rPr>
      <w:color w:val="40C4CB" w:themeColor="accent4"/>
      <w:sz w:val="18"/>
    </w:rPr>
  </w:style>
  <w:style w:type="paragraph" w:customStyle="1" w:styleId="VFANormal">
    <w:name w:val="VFA Normal"/>
    <w:basedOn w:val="Normal"/>
    <w:qFormat/>
    <w:rsid w:val="00A357F4"/>
    <w:pPr>
      <w:spacing w:before="0" w:after="120"/>
    </w:pPr>
  </w:style>
  <w:style w:type="paragraph" w:customStyle="1" w:styleId="VFABullets">
    <w:name w:val="VFA Bullets"/>
    <w:qFormat/>
    <w:rsid w:val="00F05246"/>
    <w:pPr>
      <w:numPr>
        <w:numId w:val="1"/>
      </w:numPr>
      <w:spacing w:after="60"/>
      <w:ind w:left="284" w:hanging="284"/>
    </w:pPr>
    <w:rPr>
      <w:szCs w:val="24"/>
      <w:lang w:eastAsia="en-US"/>
    </w:rPr>
  </w:style>
  <w:style w:type="paragraph" w:customStyle="1" w:styleId="VFABulletsLast">
    <w:name w:val="VFA Bullets Last"/>
    <w:basedOn w:val="VFABullets"/>
    <w:qFormat/>
    <w:rsid w:val="00A357F4"/>
    <w:pPr>
      <w:spacing w:after="120"/>
    </w:pPr>
  </w:style>
  <w:style w:type="paragraph" w:customStyle="1" w:styleId="VFASectionHeadingNoTOC">
    <w:name w:val="VFA Section Heading No TOC"/>
    <w:basedOn w:val="VFASectionHeading"/>
    <w:qFormat/>
    <w:rsid w:val="007F4D10"/>
  </w:style>
  <w:style w:type="character" w:customStyle="1" w:styleId="Heading4Char">
    <w:name w:val="Heading 4 Char"/>
    <w:basedOn w:val="DefaultParagraphFont"/>
    <w:link w:val="Heading4"/>
    <w:uiPriority w:val="99"/>
    <w:semiHidden/>
    <w:rsid w:val="007F4D10"/>
    <w:rPr>
      <w:rFonts w:asciiTheme="majorHAnsi" w:eastAsiaTheme="majorEastAsia" w:hAnsiTheme="majorHAnsi" w:cstheme="majorBidi"/>
      <w:i/>
      <w:iCs/>
      <w:color w:val="003658" w:themeColor="accent1" w:themeShade="BF"/>
      <w:sz w:val="18"/>
      <w:szCs w:val="24"/>
      <w:lang w:eastAsia="en-US"/>
    </w:rPr>
  </w:style>
  <w:style w:type="character" w:customStyle="1" w:styleId="Heading5Char">
    <w:name w:val="Heading 5 Char"/>
    <w:basedOn w:val="DefaultParagraphFont"/>
    <w:link w:val="Heading5"/>
    <w:uiPriority w:val="99"/>
    <w:semiHidden/>
    <w:rsid w:val="007F4D10"/>
    <w:rPr>
      <w:rFonts w:asciiTheme="majorHAnsi" w:eastAsiaTheme="majorEastAsia" w:hAnsiTheme="majorHAnsi" w:cstheme="majorBidi"/>
      <w:color w:val="003658" w:themeColor="accent1" w:themeShade="BF"/>
      <w:sz w:val="18"/>
      <w:szCs w:val="24"/>
      <w:lang w:eastAsia="en-US"/>
    </w:rPr>
  </w:style>
  <w:style w:type="character" w:customStyle="1" w:styleId="Heading6Char">
    <w:name w:val="Heading 6 Char"/>
    <w:basedOn w:val="DefaultParagraphFont"/>
    <w:link w:val="Heading6"/>
    <w:uiPriority w:val="99"/>
    <w:semiHidden/>
    <w:rsid w:val="007F4D10"/>
    <w:rPr>
      <w:rFonts w:asciiTheme="majorHAnsi" w:eastAsiaTheme="majorEastAsia" w:hAnsiTheme="majorHAnsi" w:cstheme="majorBidi"/>
      <w:color w:val="00243A" w:themeColor="accent1" w:themeShade="7F"/>
      <w:sz w:val="18"/>
      <w:szCs w:val="24"/>
      <w:lang w:eastAsia="en-US"/>
    </w:rPr>
  </w:style>
  <w:style w:type="character" w:customStyle="1" w:styleId="Heading7Char">
    <w:name w:val="Heading 7 Char"/>
    <w:basedOn w:val="DefaultParagraphFont"/>
    <w:link w:val="Heading7"/>
    <w:uiPriority w:val="99"/>
    <w:semiHidden/>
    <w:rsid w:val="007F4D10"/>
    <w:rPr>
      <w:rFonts w:asciiTheme="majorHAnsi" w:eastAsiaTheme="majorEastAsia" w:hAnsiTheme="majorHAnsi" w:cstheme="majorBidi"/>
      <w:i/>
      <w:iCs/>
      <w:color w:val="00243A" w:themeColor="accent1" w:themeShade="7F"/>
      <w:sz w:val="18"/>
      <w:szCs w:val="24"/>
      <w:lang w:eastAsia="en-US"/>
    </w:rPr>
  </w:style>
  <w:style w:type="character" w:customStyle="1" w:styleId="Heading8Char">
    <w:name w:val="Heading 8 Char"/>
    <w:basedOn w:val="DefaultParagraphFont"/>
    <w:link w:val="Heading8"/>
    <w:uiPriority w:val="99"/>
    <w:semiHidden/>
    <w:rsid w:val="007F4D1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semiHidden/>
    <w:rsid w:val="007F4D10"/>
    <w:rPr>
      <w:rFonts w:asciiTheme="majorHAnsi" w:eastAsiaTheme="majorEastAsia" w:hAnsiTheme="majorHAnsi" w:cstheme="majorBidi"/>
      <w:i/>
      <w:iCs/>
      <w:color w:val="272727" w:themeColor="text1" w:themeTint="D8"/>
      <w:sz w:val="21"/>
      <w:szCs w:val="21"/>
      <w:lang w:eastAsia="en-US"/>
    </w:rPr>
  </w:style>
  <w:style w:type="table" w:styleId="ListTable2-Accent4">
    <w:name w:val="List Table 2 Accent 4"/>
    <w:basedOn w:val="TableNormal"/>
    <w:uiPriority w:val="47"/>
    <w:locked/>
    <w:rsid w:val="00FD7880"/>
    <w:tblPr>
      <w:tblStyleRowBandSize w:val="1"/>
      <w:tblStyleColBandSize w:val="1"/>
      <w:tblBorders>
        <w:top w:val="single" w:sz="4" w:space="0" w:color="8CDBDF" w:themeColor="accent4" w:themeTint="99"/>
        <w:bottom w:val="single" w:sz="4" w:space="0" w:color="8CDBDF" w:themeColor="accent4" w:themeTint="99"/>
        <w:insideH w:val="single" w:sz="4" w:space="0" w:color="8CDB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4" w:themeFill="accent4" w:themeFillTint="33"/>
      </w:tcPr>
    </w:tblStylePr>
    <w:tblStylePr w:type="band1Horz">
      <w:tblPr/>
      <w:tcPr>
        <w:shd w:val="clear" w:color="auto" w:fill="D8F3F4" w:themeFill="accent4" w:themeFillTint="33"/>
      </w:tcPr>
    </w:tblStylePr>
  </w:style>
  <w:style w:type="table" w:customStyle="1" w:styleId="VFATableStyleCatHoriz1">
    <w:name w:val="VFA Table Style Cat Horiz 1"/>
    <w:basedOn w:val="TableNormal"/>
    <w:uiPriority w:val="99"/>
    <w:rsid w:val="00866D9F"/>
    <w:pPr>
      <w:spacing w:before="40" w:after="40"/>
    </w:p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866D9F"/>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69278A"/>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69278A"/>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ableHeaderDark">
    <w:name w:val="VFA Table Header Dark"/>
    <w:basedOn w:val="VFANormal"/>
    <w:qFormat/>
    <w:rsid w:val="002F7ECB"/>
    <w:pPr>
      <w:spacing w:before="40" w:after="40"/>
    </w:pPr>
    <w:rPr>
      <w:rFonts w:ascii="Arial Bold" w:hAnsi="Arial Bold"/>
      <w:b/>
      <w:color w:val="000000" w:themeColor="text1"/>
    </w:rPr>
  </w:style>
  <w:style w:type="paragraph" w:customStyle="1" w:styleId="StyleTableHeader">
    <w:name w:val="Style Table Header +"/>
    <w:basedOn w:val="VFATableHeaderDark"/>
    <w:uiPriority w:val="99"/>
    <w:unhideWhenUsed/>
    <w:rsid w:val="00866D9F"/>
    <w:rPr>
      <w:b w:val="0"/>
      <w:bCs/>
    </w:rPr>
  </w:style>
  <w:style w:type="paragraph" w:customStyle="1" w:styleId="VFATableHeaderLight">
    <w:name w:val="VFA Table Header Light"/>
    <w:basedOn w:val="VFATableHeaderDark"/>
    <w:qFormat/>
    <w:rsid w:val="002F7ECB"/>
    <w:rPr>
      <w:b w:val="0"/>
      <w:color w:val="FFFFFF" w:themeColor="background1"/>
    </w:rPr>
  </w:style>
  <w:style w:type="paragraph" w:customStyle="1" w:styleId="VFATableBody">
    <w:name w:val="VFA Table Body"/>
    <w:basedOn w:val="VFANormal"/>
    <w:qFormat/>
    <w:rsid w:val="002F7ECB"/>
    <w:pPr>
      <w:spacing w:before="40" w:after="40"/>
    </w:pPr>
  </w:style>
  <w:style w:type="paragraph" w:customStyle="1" w:styleId="VFANormalNoAfter">
    <w:name w:val="VFA Normal No After"/>
    <w:basedOn w:val="VFANormal"/>
    <w:rsid w:val="001F3CA9"/>
    <w:pPr>
      <w:spacing w:after="0"/>
    </w:pPr>
  </w:style>
  <w:style w:type="table" w:customStyle="1" w:styleId="VFAPhotowCaption">
    <w:name w:val="VFA Photo w Caption"/>
    <w:basedOn w:val="TableNormal"/>
    <w:uiPriority w:val="99"/>
    <w:rsid w:val="00B3067B"/>
    <w:pPr>
      <w:spacing w:before="40" w:after="40"/>
    </w:pPr>
    <w:rPr>
      <w:sz w:val="16"/>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E85DE1"/>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styleId="PlainTable1">
    <w:name w:val="Plain Table 1"/>
    <w:basedOn w:val="TableNormal"/>
    <w:locked/>
    <w:rsid w:val="007566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
    <w:name w:val="_Body"/>
    <w:qFormat/>
    <w:rsid w:val="00196E92"/>
    <w:pPr>
      <w:spacing w:after="113" w:line="240" w:lineRule="atLeast"/>
    </w:pPr>
    <w:rPr>
      <w:rFonts w:eastAsia="Times New Roman" w:cs="Arial"/>
      <w:szCs w:val="24"/>
      <w:lang w:eastAsia="en-US"/>
    </w:rPr>
  </w:style>
  <w:style w:type="table" w:styleId="ListTable3-Accent5">
    <w:name w:val="List Table 3 Accent 5"/>
    <w:basedOn w:val="TableNormal"/>
    <w:uiPriority w:val="48"/>
    <w:locked/>
    <w:rsid w:val="00196E92"/>
    <w:rPr>
      <w:rFonts w:ascii="Cambria" w:hAnsi="Cambria"/>
      <w:sz w:val="20"/>
      <w:szCs w:val="20"/>
      <w:lang w:eastAsia="en-AU"/>
    </w:rPr>
    <w:tblPr>
      <w:tblStyleRowBandSize w:val="1"/>
      <w:tblStyleColBandSize w:val="1"/>
      <w:tblBorders>
        <w:top w:val="single" w:sz="4" w:space="0" w:color="BFEBEE" w:themeColor="accent5"/>
        <w:left w:val="single" w:sz="4" w:space="0" w:color="BFEBEE" w:themeColor="accent5"/>
        <w:bottom w:val="single" w:sz="4" w:space="0" w:color="BFEBEE" w:themeColor="accent5"/>
        <w:right w:val="single" w:sz="4" w:space="0" w:color="BFEBEE" w:themeColor="accent5"/>
      </w:tblBorders>
    </w:tblPr>
    <w:tblStylePr w:type="firstRow">
      <w:rPr>
        <w:b/>
        <w:bCs/>
        <w:color w:val="FFFFFF" w:themeColor="background1"/>
      </w:rPr>
      <w:tblPr/>
      <w:tcPr>
        <w:shd w:val="clear" w:color="auto" w:fill="BFEBEE" w:themeFill="accent5"/>
      </w:tcPr>
    </w:tblStylePr>
    <w:tblStylePr w:type="lastRow">
      <w:rPr>
        <w:b/>
        <w:bCs/>
      </w:rPr>
      <w:tblPr/>
      <w:tcPr>
        <w:tcBorders>
          <w:top w:val="double" w:sz="4" w:space="0" w:color="BFEBE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EBEE" w:themeColor="accent5"/>
          <w:right w:val="single" w:sz="4" w:space="0" w:color="BFEBEE" w:themeColor="accent5"/>
        </w:tcBorders>
      </w:tcPr>
    </w:tblStylePr>
    <w:tblStylePr w:type="band1Horz">
      <w:tblPr/>
      <w:tcPr>
        <w:tcBorders>
          <w:top w:val="single" w:sz="4" w:space="0" w:color="BFEBEE" w:themeColor="accent5"/>
          <w:bottom w:val="single" w:sz="4" w:space="0" w:color="BFEBE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EBEE" w:themeColor="accent5"/>
          <w:left w:val="nil"/>
        </w:tcBorders>
      </w:tcPr>
    </w:tblStylePr>
    <w:tblStylePr w:type="swCell">
      <w:tblPr/>
      <w:tcPr>
        <w:tcBorders>
          <w:top w:val="double" w:sz="4" w:space="0" w:color="BFEBEE" w:themeColor="accent5"/>
          <w:right w:val="nil"/>
        </w:tcBorders>
      </w:tcPr>
    </w:tblStylePr>
  </w:style>
  <w:style w:type="character" w:customStyle="1" w:styleId="ListParagraphChar">
    <w:name w:val="List Paragraph Char"/>
    <w:aliases w:val="NFP GP Bulleted List Char,Recommendation Char,List Paragraph1 Char"/>
    <w:basedOn w:val="DefaultParagraphFont"/>
    <w:link w:val="ListParagraph"/>
    <w:uiPriority w:val="34"/>
    <w:locked/>
    <w:rsid w:val="001838EA"/>
    <w:rPr>
      <w:rFonts w:ascii="Calibri" w:eastAsia="Calibri" w:hAnsi="Calibri" w:cs="Tahoma"/>
      <w:sz w:val="24"/>
      <w:szCs w:val="22"/>
      <w:lang w:eastAsia="en-US"/>
    </w:rPr>
  </w:style>
  <w:style w:type="paragraph" w:styleId="ListParagraph">
    <w:name w:val="List Paragraph"/>
    <w:aliases w:val="NFP GP Bulleted List,Recommendation,List Paragraph1"/>
    <w:basedOn w:val="Normal"/>
    <w:link w:val="ListParagraphChar"/>
    <w:uiPriority w:val="34"/>
    <w:qFormat/>
    <w:locked/>
    <w:rsid w:val="001838EA"/>
    <w:pPr>
      <w:spacing w:before="0" w:after="120"/>
      <w:ind w:left="720"/>
      <w:contextualSpacing/>
      <w:jc w:val="both"/>
    </w:pPr>
    <w:rPr>
      <w:rFonts w:ascii="Calibri" w:eastAsia="Calibri" w:hAnsi="Calibri" w:cs="Tahoma"/>
      <w:sz w:val="24"/>
      <w:szCs w:val="22"/>
      <w:lang w:eastAsia="en-US"/>
    </w:rPr>
  </w:style>
  <w:style w:type="paragraph" w:styleId="BalloonText">
    <w:name w:val="Balloon Text"/>
    <w:basedOn w:val="Normal"/>
    <w:link w:val="BalloonTextChar"/>
    <w:uiPriority w:val="99"/>
    <w:semiHidden/>
    <w:unhideWhenUsed/>
    <w:locked/>
    <w:rsid w:val="00C74806"/>
    <w:pPr>
      <w:spacing w:before="0"/>
    </w:pPr>
    <w:rPr>
      <w:rFonts w:ascii="Segoe UI" w:hAnsi="Segoe UI" w:cs="Segoe UI"/>
    </w:rPr>
  </w:style>
  <w:style w:type="character" w:customStyle="1" w:styleId="BalloonTextChar">
    <w:name w:val="Balloon Text Char"/>
    <w:basedOn w:val="DefaultParagraphFont"/>
    <w:link w:val="BalloonText"/>
    <w:uiPriority w:val="99"/>
    <w:semiHidden/>
    <w:rsid w:val="00C74806"/>
    <w:rPr>
      <w:rFonts w:ascii="Segoe UI" w:hAnsi="Segoe UI" w:cs="Segoe UI"/>
    </w:rPr>
  </w:style>
  <w:style w:type="character" w:styleId="UnresolvedMention">
    <w:name w:val="Unresolved Mention"/>
    <w:basedOn w:val="DefaultParagraphFont"/>
    <w:uiPriority w:val="99"/>
    <w:semiHidden/>
    <w:unhideWhenUsed/>
    <w:locked/>
    <w:rsid w:val="006A34A1"/>
    <w:rPr>
      <w:color w:val="605E5C"/>
      <w:shd w:val="clear" w:color="auto" w:fill="E1DFDD"/>
    </w:rPr>
  </w:style>
  <w:style w:type="paragraph" w:styleId="PlainText">
    <w:name w:val="Plain Text"/>
    <w:basedOn w:val="Normal"/>
    <w:link w:val="PlainTextChar"/>
    <w:uiPriority w:val="99"/>
    <w:unhideWhenUsed/>
    <w:locked/>
    <w:rsid w:val="001D2779"/>
    <w:pPr>
      <w:spacing w:before="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1D2779"/>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locked/>
    <w:rsid w:val="009A0615"/>
    <w:rPr>
      <w:sz w:val="16"/>
      <w:szCs w:val="16"/>
    </w:rPr>
  </w:style>
  <w:style w:type="paragraph" w:styleId="CommentText">
    <w:name w:val="annotation text"/>
    <w:basedOn w:val="Normal"/>
    <w:link w:val="CommentTextChar"/>
    <w:uiPriority w:val="99"/>
    <w:semiHidden/>
    <w:unhideWhenUsed/>
    <w:locked/>
    <w:rsid w:val="009A0615"/>
    <w:rPr>
      <w:sz w:val="20"/>
      <w:szCs w:val="20"/>
    </w:rPr>
  </w:style>
  <w:style w:type="character" w:customStyle="1" w:styleId="CommentTextChar">
    <w:name w:val="Comment Text Char"/>
    <w:basedOn w:val="DefaultParagraphFont"/>
    <w:link w:val="CommentText"/>
    <w:uiPriority w:val="99"/>
    <w:semiHidden/>
    <w:rsid w:val="009A0615"/>
    <w:rPr>
      <w:sz w:val="20"/>
      <w:szCs w:val="20"/>
    </w:rPr>
  </w:style>
  <w:style w:type="paragraph" w:styleId="CommentSubject">
    <w:name w:val="annotation subject"/>
    <w:basedOn w:val="CommentText"/>
    <w:next w:val="CommentText"/>
    <w:link w:val="CommentSubjectChar"/>
    <w:uiPriority w:val="99"/>
    <w:semiHidden/>
    <w:unhideWhenUsed/>
    <w:locked/>
    <w:rsid w:val="009A0615"/>
    <w:rPr>
      <w:b/>
      <w:bCs/>
    </w:rPr>
  </w:style>
  <w:style w:type="character" w:customStyle="1" w:styleId="CommentSubjectChar">
    <w:name w:val="Comment Subject Char"/>
    <w:basedOn w:val="CommentTextChar"/>
    <w:link w:val="CommentSubject"/>
    <w:uiPriority w:val="99"/>
    <w:semiHidden/>
    <w:rsid w:val="009A0615"/>
    <w:rPr>
      <w:b/>
      <w:bCs/>
      <w:sz w:val="20"/>
      <w:szCs w:val="20"/>
    </w:rPr>
  </w:style>
  <w:style w:type="character" w:customStyle="1" w:styleId="apple-converted-space">
    <w:name w:val="apple-converted-space"/>
    <w:basedOn w:val="DefaultParagraphFont"/>
    <w:rsid w:val="0052644E"/>
  </w:style>
  <w:style w:type="paragraph" w:styleId="NormalWeb">
    <w:name w:val="Normal (Web)"/>
    <w:basedOn w:val="Normal"/>
    <w:uiPriority w:val="99"/>
    <w:unhideWhenUsed/>
    <w:locked/>
    <w:rsid w:val="007F5A1A"/>
    <w:pPr>
      <w:spacing w:before="100" w:beforeAutospacing="1" w:after="100" w:afterAutospacing="1"/>
    </w:pPr>
    <w:rPr>
      <w:rFonts w:ascii="Times New Roman" w:eastAsia="Times New Roman" w:hAnsi="Times New Roman"/>
      <w:sz w:val="24"/>
      <w:szCs w:val="24"/>
      <w:lang w:eastAsia="en-AU"/>
    </w:rPr>
  </w:style>
  <w:style w:type="paragraph" w:customStyle="1" w:styleId="Heading1numbered">
    <w:name w:val="Heading 1 numbered"/>
    <w:basedOn w:val="Heading1"/>
    <w:next w:val="NormalIndent"/>
    <w:uiPriority w:val="8"/>
    <w:qFormat/>
    <w:rsid w:val="006F1F0B"/>
    <w:pPr>
      <w:keepNext/>
      <w:keepLines/>
      <w:numPr>
        <w:ilvl w:val="2"/>
        <w:numId w:val="3"/>
      </w:numPr>
      <w:spacing w:before="600" w:after="240" w:line="276" w:lineRule="auto"/>
    </w:pPr>
    <w:rPr>
      <w:rFonts w:asciiTheme="majorHAnsi" w:eastAsiaTheme="majorEastAsia" w:hAnsiTheme="majorHAnsi" w:cstheme="majorBidi"/>
      <w:color w:val="201547"/>
      <w:spacing w:val="-1"/>
      <w:kern w:val="0"/>
      <w:sz w:val="36"/>
      <w:szCs w:val="28"/>
      <w:lang w:eastAsia="en-AU"/>
    </w:rPr>
  </w:style>
  <w:style w:type="paragraph" w:customStyle="1" w:styleId="Heading2numbered">
    <w:name w:val="Heading 2 numbered"/>
    <w:basedOn w:val="Heading2"/>
    <w:next w:val="NormalIndent"/>
    <w:uiPriority w:val="8"/>
    <w:qFormat/>
    <w:rsid w:val="006F1F0B"/>
    <w:pPr>
      <w:keepLines/>
      <w:numPr>
        <w:ilvl w:val="3"/>
        <w:numId w:val="3"/>
      </w:numPr>
      <w:spacing w:before="280" w:after="240" w:line="276" w:lineRule="auto"/>
    </w:pPr>
    <w:rPr>
      <w:rFonts w:asciiTheme="majorHAnsi" w:eastAsiaTheme="majorEastAsia" w:hAnsiTheme="majorHAnsi" w:cstheme="majorBidi"/>
      <w:iCs w:val="0"/>
      <w:spacing w:val="2"/>
      <w:sz w:val="28"/>
      <w:szCs w:val="26"/>
      <w:lang w:eastAsia="en-AU"/>
    </w:rPr>
  </w:style>
  <w:style w:type="paragraph" w:customStyle="1" w:styleId="Heading3numbered">
    <w:name w:val="Heading 3 numbered"/>
    <w:basedOn w:val="Heading3"/>
    <w:next w:val="NormalIndent"/>
    <w:uiPriority w:val="8"/>
    <w:qFormat/>
    <w:rsid w:val="006F1F0B"/>
    <w:pPr>
      <w:keepLines/>
      <w:numPr>
        <w:ilvl w:val="4"/>
        <w:numId w:val="3"/>
      </w:numPr>
      <w:spacing w:before="240" w:after="120" w:line="276" w:lineRule="auto"/>
    </w:pPr>
    <w:rPr>
      <w:rFonts w:asciiTheme="majorHAnsi" w:eastAsiaTheme="majorEastAsia" w:hAnsiTheme="majorHAnsi" w:cstheme="majorBidi"/>
      <w:color w:val="004976" w:themeColor="accent1"/>
      <w:spacing w:val="2"/>
      <w:sz w:val="22"/>
      <w:szCs w:val="22"/>
      <w:lang w:eastAsia="en-AU"/>
    </w:rPr>
  </w:style>
  <w:style w:type="paragraph" w:customStyle="1" w:styleId="Heading4numbered">
    <w:name w:val="Heading 4 numbered"/>
    <w:basedOn w:val="Heading4"/>
    <w:next w:val="NormalIndent"/>
    <w:uiPriority w:val="8"/>
    <w:qFormat/>
    <w:rsid w:val="006F1F0B"/>
    <w:pPr>
      <w:numPr>
        <w:ilvl w:val="5"/>
        <w:numId w:val="3"/>
      </w:numPr>
      <w:spacing w:before="200" w:line="276" w:lineRule="auto"/>
    </w:pPr>
    <w:rPr>
      <w:b/>
      <w:bCs/>
      <w:i w:val="0"/>
      <w:color w:val="53565A"/>
      <w:spacing w:val="2"/>
      <w:sz w:val="20"/>
      <w:szCs w:val="20"/>
      <w:lang w:eastAsia="en-AU"/>
    </w:rPr>
  </w:style>
  <w:style w:type="paragraph" w:styleId="NormalIndent">
    <w:name w:val="Normal Indent"/>
    <w:basedOn w:val="Normal"/>
    <w:uiPriority w:val="9"/>
    <w:qFormat/>
    <w:locked/>
    <w:rsid w:val="006F1F0B"/>
    <w:pPr>
      <w:spacing w:before="160" w:after="100" w:line="252" w:lineRule="auto"/>
      <w:ind w:left="792"/>
    </w:pPr>
    <w:rPr>
      <w:rFonts w:asciiTheme="minorHAnsi" w:eastAsiaTheme="minorEastAsia" w:hAnsiTheme="minorHAnsi" w:cstheme="minorBidi"/>
      <w:spacing w:val="2"/>
      <w:sz w:val="20"/>
      <w:szCs w:val="20"/>
      <w:lang w:eastAsia="en-AU"/>
    </w:rPr>
  </w:style>
  <w:style w:type="paragraph" w:customStyle="1" w:styleId="Listnumindent2">
    <w:name w:val="List num indent 2"/>
    <w:basedOn w:val="Normal"/>
    <w:uiPriority w:val="9"/>
    <w:qFormat/>
    <w:rsid w:val="006F1F0B"/>
    <w:pPr>
      <w:numPr>
        <w:ilvl w:val="7"/>
        <w:numId w:val="3"/>
      </w:numPr>
      <w:spacing w:before="100" w:after="100" w:line="276" w:lineRule="auto"/>
      <w:contextualSpacing/>
    </w:pPr>
    <w:rPr>
      <w:rFonts w:asciiTheme="minorHAnsi" w:eastAsiaTheme="minorEastAsia" w:hAnsiTheme="minorHAnsi" w:cstheme="minorBidi"/>
      <w:spacing w:val="2"/>
      <w:sz w:val="20"/>
      <w:szCs w:val="20"/>
      <w:lang w:eastAsia="en-AU"/>
    </w:rPr>
  </w:style>
  <w:style w:type="paragraph" w:customStyle="1" w:styleId="Listnumindent">
    <w:name w:val="List num indent"/>
    <w:basedOn w:val="Normal"/>
    <w:uiPriority w:val="9"/>
    <w:qFormat/>
    <w:rsid w:val="006F1F0B"/>
    <w:pPr>
      <w:numPr>
        <w:ilvl w:val="6"/>
        <w:numId w:val="3"/>
      </w:numPr>
      <w:spacing w:before="100" w:after="100" w:line="276" w:lineRule="auto"/>
    </w:pPr>
    <w:rPr>
      <w:rFonts w:asciiTheme="minorHAnsi" w:eastAsiaTheme="minorEastAsia" w:hAnsiTheme="minorHAnsi" w:cstheme="minorBidi"/>
      <w:spacing w:val="2"/>
      <w:sz w:val="20"/>
      <w:szCs w:val="20"/>
      <w:lang w:eastAsia="en-AU"/>
    </w:rPr>
  </w:style>
  <w:style w:type="paragraph" w:customStyle="1" w:styleId="Listnum">
    <w:name w:val="List num"/>
    <w:basedOn w:val="Normal"/>
    <w:uiPriority w:val="2"/>
    <w:qFormat/>
    <w:rsid w:val="006F1F0B"/>
    <w:pPr>
      <w:numPr>
        <w:numId w:val="3"/>
      </w:numPr>
      <w:spacing w:before="160" w:after="100" w:line="276" w:lineRule="auto"/>
    </w:pPr>
    <w:rPr>
      <w:rFonts w:asciiTheme="minorHAnsi" w:eastAsiaTheme="minorEastAsia" w:hAnsiTheme="minorHAnsi" w:cstheme="minorBidi"/>
      <w:spacing w:val="2"/>
      <w:sz w:val="20"/>
      <w:szCs w:val="20"/>
      <w:lang w:eastAsia="en-AU"/>
    </w:rPr>
  </w:style>
  <w:style w:type="paragraph" w:customStyle="1" w:styleId="Numparaindent">
    <w:name w:val="Num para indent"/>
    <w:basedOn w:val="Normal"/>
    <w:uiPriority w:val="9"/>
    <w:qFormat/>
    <w:rsid w:val="006F1F0B"/>
    <w:pPr>
      <w:numPr>
        <w:ilvl w:val="8"/>
        <w:numId w:val="3"/>
      </w:numPr>
      <w:spacing w:before="160" w:after="100" w:line="276" w:lineRule="auto"/>
    </w:pPr>
    <w:rPr>
      <w:rFonts w:asciiTheme="minorHAnsi" w:eastAsiaTheme="minorEastAsia" w:hAnsiTheme="minorHAnsi" w:cstheme="minorBidi"/>
      <w:spacing w:val="2"/>
      <w:sz w:val="20"/>
      <w:szCs w:val="20"/>
      <w:lang w:eastAsia="en-AU"/>
    </w:rPr>
  </w:style>
  <w:style w:type="paragraph" w:customStyle="1" w:styleId="Listnum2">
    <w:name w:val="List num 2"/>
    <w:basedOn w:val="Normal"/>
    <w:uiPriority w:val="2"/>
    <w:qFormat/>
    <w:rsid w:val="00355AD2"/>
    <w:pPr>
      <w:tabs>
        <w:tab w:val="num" w:pos="864"/>
      </w:tabs>
      <w:spacing w:before="160" w:after="100" w:line="276" w:lineRule="auto"/>
      <w:ind w:left="720" w:hanging="360"/>
    </w:pPr>
    <w:rPr>
      <w:rFonts w:asciiTheme="minorHAnsi" w:eastAsiaTheme="minorEastAsia" w:hAnsiTheme="minorHAnsi" w:cstheme="minorBidi"/>
      <w:spacing w:val="2"/>
      <w:sz w:val="20"/>
      <w:szCs w:val="20"/>
      <w:lang w:eastAsia="en-AU"/>
    </w:rPr>
  </w:style>
  <w:style w:type="table" w:customStyle="1" w:styleId="VFATableStyleCatVert11">
    <w:name w:val="VFA Table Style Cat Vert 11"/>
    <w:basedOn w:val="VFATableStyleCatHoriz1"/>
    <w:uiPriority w:val="99"/>
    <w:rsid w:val="00010F81"/>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paragraph" w:customStyle="1" w:styleId="Pa8">
    <w:name w:val="Pa8"/>
    <w:basedOn w:val="Normal"/>
    <w:next w:val="Normal"/>
    <w:uiPriority w:val="99"/>
    <w:rsid w:val="0062004F"/>
    <w:pPr>
      <w:autoSpaceDE w:val="0"/>
      <w:autoSpaceDN w:val="0"/>
      <w:adjustRightInd w:val="0"/>
      <w:spacing w:before="0" w:line="201" w:lineRule="atLeast"/>
    </w:pPr>
    <w:rPr>
      <w:rFonts w:ascii="Avenir LT Std 35 Light" w:hAnsi="Avenir LT Std 35 Light"/>
      <w:sz w:val="24"/>
      <w:szCs w:val="24"/>
    </w:rPr>
  </w:style>
  <w:style w:type="paragraph" w:customStyle="1" w:styleId="Default">
    <w:name w:val="Default"/>
    <w:rsid w:val="0062004F"/>
    <w:pPr>
      <w:autoSpaceDE w:val="0"/>
      <w:autoSpaceDN w:val="0"/>
      <w:adjustRightInd w:val="0"/>
    </w:pPr>
    <w:rPr>
      <w:rFonts w:ascii="Avenir LT Std 35 Light" w:hAnsi="Avenir LT Std 35 Light" w:cs="Avenir LT Std 35 Light"/>
      <w:color w:val="000000"/>
      <w:sz w:val="24"/>
      <w:szCs w:val="24"/>
    </w:rPr>
  </w:style>
  <w:style w:type="paragraph" w:styleId="NoSpacing">
    <w:name w:val="No Spacing"/>
    <w:link w:val="NoSpacingChar"/>
    <w:uiPriority w:val="1"/>
    <w:qFormat/>
    <w:locked/>
    <w:rsid w:val="0062004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2004F"/>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5342">
      <w:bodyDiv w:val="1"/>
      <w:marLeft w:val="0"/>
      <w:marRight w:val="0"/>
      <w:marTop w:val="0"/>
      <w:marBottom w:val="0"/>
      <w:divBdr>
        <w:top w:val="none" w:sz="0" w:space="0" w:color="auto"/>
        <w:left w:val="none" w:sz="0" w:space="0" w:color="auto"/>
        <w:bottom w:val="none" w:sz="0" w:space="0" w:color="auto"/>
        <w:right w:val="none" w:sz="0" w:space="0" w:color="auto"/>
      </w:divBdr>
    </w:div>
    <w:div w:id="251471754">
      <w:bodyDiv w:val="1"/>
      <w:marLeft w:val="0"/>
      <w:marRight w:val="0"/>
      <w:marTop w:val="0"/>
      <w:marBottom w:val="0"/>
      <w:divBdr>
        <w:top w:val="none" w:sz="0" w:space="0" w:color="auto"/>
        <w:left w:val="none" w:sz="0" w:space="0" w:color="auto"/>
        <w:bottom w:val="none" w:sz="0" w:space="0" w:color="auto"/>
        <w:right w:val="none" w:sz="0" w:space="0" w:color="auto"/>
      </w:divBdr>
    </w:div>
    <w:div w:id="344945667">
      <w:bodyDiv w:val="1"/>
      <w:marLeft w:val="0"/>
      <w:marRight w:val="0"/>
      <w:marTop w:val="0"/>
      <w:marBottom w:val="0"/>
      <w:divBdr>
        <w:top w:val="none" w:sz="0" w:space="0" w:color="auto"/>
        <w:left w:val="none" w:sz="0" w:space="0" w:color="auto"/>
        <w:bottom w:val="none" w:sz="0" w:space="0" w:color="auto"/>
        <w:right w:val="none" w:sz="0" w:space="0" w:color="auto"/>
      </w:divBdr>
    </w:div>
    <w:div w:id="395739061">
      <w:bodyDiv w:val="1"/>
      <w:marLeft w:val="0"/>
      <w:marRight w:val="0"/>
      <w:marTop w:val="0"/>
      <w:marBottom w:val="0"/>
      <w:divBdr>
        <w:top w:val="none" w:sz="0" w:space="0" w:color="auto"/>
        <w:left w:val="none" w:sz="0" w:space="0" w:color="auto"/>
        <w:bottom w:val="none" w:sz="0" w:space="0" w:color="auto"/>
        <w:right w:val="none" w:sz="0" w:space="0" w:color="auto"/>
      </w:divBdr>
    </w:div>
    <w:div w:id="428161905">
      <w:bodyDiv w:val="1"/>
      <w:marLeft w:val="0"/>
      <w:marRight w:val="0"/>
      <w:marTop w:val="0"/>
      <w:marBottom w:val="0"/>
      <w:divBdr>
        <w:top w:val="none" w:sz="0" w:space="0" w:color="auto"/>
        <w:left w:val="none" w:sz="0" w:space="0" w:color="auto"/>
        <w:bottom w:val="none" w:sz="0" w:space="0" w:color="auto"/>
        <w:right w:val="none" w:sz="0" w:space="0" w:color="auto"/>
      </w:divBdr>
    </w:div>
    <w:div w:id="634868785">
      <w:bodyDiv w:val="1"/>
      <w:marLeft w:val="0"/>
      <w:marRight w:val="0"/>
      <w:marTop w:val="0"/>
      <w:marBottom w:val="0"/>
      <w:divBdr>
        <w:top w:val="none" w:sz="0" w:space="0" w:color="auto"/>
        <w:left w:val="none" w:sz="0" w:space="0" w:color="auto"/>
        <w:bottom w:val="none" w:sz="0" w:space="0" w:color="auto"/>
        <w:right w:val="none" w:sz="0" w:space="0" w:color="auto"/>
      </w:divBdr>
    </w:div>
    <w:div w:id="698240906">
      <w:bodyDiv w:val="1"/>
      <w:marLeft w:val="0"/>
      <w:marRight w:val="0"/>
      <w:marTop w:val="0"/>
      <w:marBottom w:val="0"/>
      <w:divBdr>
        <w:top w:val="none" w:sz="0" w:space="0" w:color="auto"/>
        <w:left w:val="none" w:sz="0" w:space="0" w:color="auto"/>
        <w:bottom w:val="none" w:sz="0" w:space="0" w:color="auto"/>
        <w:right w:val="none" w:sz="0" w:space="0" w:color="auto"/>
      </w:divBdr>
    </w:div>
    <w:div w:id="866261546">
      <w:bodyDiv w:val="1"/>
      <w:marLeft w:val="0"/>
      <w:marRight w:val="0"/>
      <w:marTop w:val="0"/>
      <w:marBottom w:val="0"/>
      <w:divBdr>
        <w:top w:val="none" w:sz="0" w:space="0" w:color="auto"/>
        <w:left w:val="none" w:sz="0" w:space="0" w:color="auto"/>
        <w:bottom w:val="none" w:sz="0" w:space="0" w:color="auto"/>
        <w:right w:val="none" w:sz="0" w:space="0" w:color="auto"/>
      </w:divBdr>
    </w:div>
    <w:div w:id="970206757">
      <w:bodyDiv w:val="1"/>
      <w:marLeft w:val="0"/>
      <w:marRight w:val="0"/>
      <w:marTop w:val="0"/>
      <w:marBottom w:val="0"/>
      <w:divBdr>
        <w:top w:val="none" w:sz="0" w:space="0" w:color="auto"/>
        <w:left w:val="none" w:sz="0" w:space="0" w:color="auto"/>
        <w:bottom w:val="none" w:sz="0" w:space="0" w:color="auto"/>
        <w:right w:val="none" w:sz="0" w:space="0" w:color="auto"/>
      </w:divBdr>
    </w:div>
    <w:div w:id="1057751613">
      <w:bodyDiv w:val="1"/>
      <w:marLeft w:val="0"/>
      <w:marRight w:val="0"/>
      <w:marTop w:val="0"/>
      <w:marBottom w:val="0"/>
      <w:divBdr>
        <w:top w:val="none" w:sz="0" w:space="0" w:color="auto"/>
        <w:left w:val="none" w:sz="0" w:space="0" w:color="auto"/>
        <w:bottom w:val="none" w:sz="0" w:space="0" w:color="auto"/>
        <w:right w:val="none" w:sz="0" w:space="0" w:color="auto"/>
      </w:divBdr>
    </w:div>
    <w:div w:id="1141725005">
      <w:bodyDiv w:val="1"/>
      <w:marLeft w:val="0"/>
      <w:marRight w:val="0"/>
      <w:marTop w:val="0"/>
      <w:marBottom w:val="0"/>
      <w:divBdr>
        <w:top w:val="none" w:sz="0" w:space="0" w:color="auto"/>
        <w:left w:val="none" w:sz="0" w:space="0" w:color="auto"/>
        <w:bottom w:val="none" w:sz="0" w:space="0" w:color="auto"/>
        <w:right w:val="none" w:sz="0" w:space="0" w:color="auto"/>
      </w:divBdr>
    </w:div>
    <w:div w:id="1290820596">
      <w:bodyDiv w:val="1"/>
      <w:marLeft w:val="0"/>
      <w:marRight w:val="0"/>
      <w:marTop w:val="0"/>
      <w:marBottom w:val="0"/>
      <w:divBdr>
        <w:top w:val="none" w:sz="0" w:space="0" w:color="auto"/>
        <w:left w:val="none" w:sz="0" w:space="0" w:color="auto"/>
        <w:bottom w:val="none" w:sz="0" w:space="0" w:color="auto"/>
        <w:right w:val="none" w:sz="0" w:space="0" w:color="auto"/>
      </w:divBdr>
    </w:div>
    <w:div w:id="1596548407">
      <w:bodyDiv w:val="1"/>
      <w:marLeft w:val="0"/>
      <w:marRight w:val="0"/>
      <w:marTop w:val="0"/>
      <w:marBottom w:val="0"/>
      <w:divBdr>
        <w:top w:val="none" w:sz="0" w:space="0" w:color="auto"/>
        <w:left w:val="none" w:sz="0" w:space="0" w:color="auto"/>
        <w:bottom w:val="none" w:sz="0" w:space="0" w:color="auto"/>
        <w:right w:val="none" w:sz="0" w:space="0" w:color="auto"/>
      </w:divBdr>
    </w:div>
    <w:div w:id="1758746151">
      <w:bodyDiv w:val="1"/>
      <w:marLeft w:val="0"/>
      <w:marRight w:val="0"/>
      <w:marTop w:val="0"/>
      <w:marBottom w:val="0"/>
      <w:divBdr>
        <w:top w:val="none" w:sz="0" w:space="0" w:color="auto"/>
        <w:left w:val="none" w:sz="0" w:space="0" w:color="auto"/>
        <w:bottom w:val="none" w:sz="0" w:space="0" w:color="auto"/>
        <w:right w:val="none" w:sz="0" w:space="0" w:color="auto"/>
      </w:divBdr>
    </w:div>
    <w:div w:id="1896576122">
      <w:bodyDiv w:val="1"/>
      <w:marLeft w:val="0"/>
      <w:marRight w:val="0"/>
      <w:marTop w:val="0"/>
      <w:marBottom w:val="0"/>
      <w:divBdr>
        <w:top w:val="none" w:sz="0" w:space="0" w:color="auto"/>
        <w:left w:val="none" w:sz="0" w:space="0" w:color="auto"/>
        <w:bottom w:val="none" w:sz="0" w:space="0" w:color="auto"/>
        <w:right w:val="none" w:sz="0" w:space="0" w:color="auto"/>
      </w:divBdr>
    </w:div>
    <w:div w:id="1919705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vfa.vic.gov.au/__data/assets/pdf_file/0008/437750/Vic-Fisheries-Authority-Licence-Survey-final-report-1Oct18.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07200261181734194315AFEFAC22BBC" ma:contentTypeVersion="23" ma:contentTypeDescription="DEDJTR Document" ma:contentTypeScope="" ma:versionID="bb0cdd7df9f219dac8fe25e16081df9d">
  <xsd:schema xmlns:xsd="http://www.w3.org/2001/XMLSchema" xmlns:xs="http://www.w3.org/2001/XMLSchema" xmlns:p="http://schemas.microsoft.com/office/2006/metadata/properties" xmlns:ns2="72567383-1e26-4692-bdad-5f5be69e1590" xmlns:ns3="18e600b0-7375-4284-b6c5-bf981acb4207" xmlns:ns4="4e8126a8-101a-43ce-9b5e-946163107568" targetNamespace="http://schemas.microsoft.com/office/2006/metadata/properties" ma:root="true" ma:fieldsID="c18fa8cc7575cfd5877749b2fb02b4ce" ns2:_="" ns3:_="" ns4:_="">
    <xsd:import namespace="72567383-1e26-4692-bdad-5f5be69e1590"/>
    <xsd:import namespace="18e600b0-7375-4284-b6c5-bf981acb4207"/>
    <xsd:import namespace="4e8126a8-101a-43ce-9b5e-94616310756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e600b0-7375-4284-b6c5-bf981acb4207"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9b47d52-6172-40f5-9720-a2d9e0623764}" ma:internalName="TaxCatchAll" ma:showField="CatchAllData" ma:web="18e600b0-7375-4284-b6c5-bf981acb420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b47d52-6172-40f5-9720-a2d9e0623764}" ma:internalName="TaxCatchAllLabel" ma:readOnly="true" ma:showField="CatchAllDataLabel" ma:web="18e600b0-7375-4284-b6c5-bf981acb42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8126a8-101a-43ce-9b5e-94616310756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TaxCatchAll xmlns="18e600b0-7375-4284-b6c5-bf981acb4207">
      <Value>4</Value>
      <Value>1</Value>
    </TaxCatchAll>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d8b18ebf729c4d56932fa517449ed5cb xmlns="72567383-1e26-4692-bdad-5f5be69e1590">
      <Terms xmlns="http://schemas.microsoft.com/office/infopath/2007/PartnerControls"/>
    </d8b18ebf729c4d56932fa517449ed5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789DE1-783B-497E-9809-D855F3B5F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18e600b0-7375-4284-b6c5-bf981acb4207"/>
    <ds:schemaRef ds:uri="4e8126a8-101a-43ce-9b5e-946163107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BBD200-0817-4D42-BACA-6BC5B4699831}">
  <ds:schemaRefs>
    <ds:schemaRef ds:uri="http://schemas.openxmlformats.org/officeDocument/2006/bibliography"/>
  </ds:schemaRefs>
</ds:datastoreItem>
</file>

<file path=customXml/itemProps3.xml><?xml version="1.0" encoding="utf-8"?>
<ds:datastoreItem xmlns:ds="http://schemas.openxmlformats.org/officeDocument/2006/customXml" ds:itemID="{C4983B77-92A6-4E3A-802B-181CA1B97D3F}">
  <ds:schemaRefs>
    <ds:schemaRef ds:uri="http://purl.org/dc/elements/1.1/"/>
    <ds:schemaRef ds:uri="18e600b0-7375-4284-b6c5-bf981acb4207"/>
    <ds:schemaRef ds:uri="http://schemas.microsoft.com/office/2006/metadata/properties"/>
    <ds:schemaRef ds:uri="http://purl.org/dc/terms/"/>
    <ds:schemaRef ds:uri="4e8126a8-101a-43ce-9b5e-946163107568"/>
    <ds:schemaRef ds:uri="http://schemas.microsoft.com/office/infopath/2007/PartnerControls"/>
    <ds:schemaRef ds:uri="http://schemas.microsoft.com/office/2006/documentManagement/types"/>
    <ds:schemaRef ds:uri="http://schemas.openxmlformats.org/package/2006/metadata/core-properties"/>
    <ds:schemaRef ds:uri="72567383-1e26-4692-bdad-5f5be69e1590"/>
    <ds:schemaRef ds:uri="http://www.w3.org/XML/1998/namespace"/>
    <ds:schemaRef ds:uri="http://purl.org/dc/dcmitype/"/>
  </ds:schemaRefs>
</ds:datastoreItem>
</file>

<file path=customXml/itemProps4.xml><?xml version="1.0" encoding="utf-8"?>
<ds:datastoreItem xmlns:ds="http://schemas.openxmlformats.org/officeDocument/2006/customXml" ds:itemID="{584E651C-1E41-4452-977C-E85CF88D8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Pages>
  <Words>5730</Words>
  <Characters>34237</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39888</CharactersWithSpaces>
  <SharedDoc>false</SharedDoc>
  <HLinks>
    <vt:vector size="36" baseType="variant">
      <vt:variant>
        <vt:i4>3735575</vt:i4>
      </vt:variant>
      <vt:variant>
        <vt:i4>2250</vt:i4>
      </vt:variant>
      <vt:variant>
        <vt:i4>1025</vt:i4>
      </vt:variant>
      <vt:variant>
        <vt:i4>1</vt:i4>
      </vt:variant>
      <vt:variant>
        <vt:lpwstr>Screen Shot 2017-06-06 at 3</vt:lpwstr>
      </vt:variant>
      <vt:variant>
        <vt:lpwstr/>
      </vt:variant>
      <vt:variant>
        <vt:i4>3735575</vt:i4>
      </vt:variant>
      <vt:variant>
        <vt:i4>5211</vt:i4>
      </vt:variant>
      <vt:variant>
        <vt:i4>1026</vt:i4>
      </vt:variant>
      <vt:variant>
        <vt:i4>1</vt:i4>
      </vt:variant>
      <vt:variant>
        <vt:lpwstr>Screen Shot 2017-06-06 at 3</vt:lpwstr>
      </vt:variant>
      <vt:variant>
        <vt:lpwstr/>
      </vt:variant>
      <vt:variant>
        <vt:i4>3735575</vt:i4>
      </vt:variant>
      <vt:variant>
        <vt:i4>6281</vt:i4>
      </vt:variant>
      <vt:variant>
        <vt:i4>1027</vt:i4>
      </vt:variant>
      <vt:variant>
        <vt:i4>1</vt:i4>
      </vt:variant>
      <vt:variant>
        <vt:lpwstr>Screen Shot 2017-06-06 at 3</vt:lpwstr>
      </vt:variant>
      <vt:variant>
        <vt:lpwstr/>
      </vt:variant>
      <vt:variant>
        <vt:i4>5505123</vt:i4>
      </vt:variant>
      <vt:variant>
        <vt:i4>-1</vt:i4>
      </vt:variant>
      <vt:variant>
        <vt:i4>1032</vt:i4>
      </vt:variant>
      <vt:variant>
        <vt:i4>1</vt:i4>
      </vt:variant>
      <vt:variant>
        <vt:lpwstr>VFA0006_WordTemplate_Report_A4_footer</vt:lpwstr>
      </vt:variant>
      <vt:variant>
        <vt:lpwstr/>
      </vt:variant>
      <vt:variant>
        <vt:i4>5505123</vt:i4>
      </vt:variant>
      <vt:variant>
        <vt:i4>-1</vt:i4>
      </vt:variant>
      <vt:variant>
        <vt:i4>1037</vt:i4>
      </vt:variant>
      <vt:variant>
        <vt:i4>1</vt:i4>
      </vt:variant>
      <vt:variant>
        <vt:lpwstr>VFA0006_WordTemplate_Report_A4_footer</vt:lpwstr>
      </vt:variant>
      <vt:variant>
        <vt:lpwstr/>
      </vt:variant>
      <vt:variant>
        <vt:i4>3145731</vt:i4>
      </vt:variant>
      <vt:variant>
        <vt:i4>-1</vt:i4>
      </vt:variant>
      <vt:variant>
        <vt:i4>1038</vt:i4>
      </vt:variant>
      <vt:variant>
        <vt:i4>1</vt:i4>
      </vt:variant>
      <vt:variant>
        <vt:lpwstr>VFA0006_WordTemplate_Report_A4_coverpicture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Schubert (DEDJTR)</dc:creator>
  <cp:keywords/>
  <dc:description/>
  <cp:lastModifiedBy>Melissa Schubert (VFA)</cp:lastModifiedBy>
  <cp:revision>4</cp:revision>
  <cp:lastPrinted>2021-02-16T05:52:00Z</cp:lastPrinted>
  <dcterms:created xsi:type="dcterms:W3CDTF">2020-09-28T08:18:00Z</dcterms:created>
  <dcterms:modified xsi:type="dcterms:W3CDTF">2021-02-16T05:53:00Z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4;#Office of CEO|47924f2a-70b6-40f4-b90e-77df117ce831</vt:lpwstr>
  </property>
  <property fmtid="{D5CDD505-2E9C-101B-9397-08002B2CF9AE}" pid="3" name="ContentTypeId">
    <vt:lpwstr>0x010100611F6414DFB111E7BA88F9DF1743E31700B07200261181734194315AFEFAC22BBC</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y fmtid="{D5CDD505-2E9C-101B-9397-08002B2CF9AE}" pid="8" name="AuthorIds_UIVersion_512">
    <vt:lpwstr>147</vt:lpwstr>
  </property>
</Properties>
</file>