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F3FD0" w14:textId="50AFF29C" w:rsidR="00B34420" w:rsidRDefault="00B34420" w:rsidP="0092692C">
      <w:r>
        <w:rPr>
          <w:noProof/>
          <w:lang w:val="en-US"/>
        </w:rPr>
        <w:drawing>
          <wp:anchor distT="0" distB="0" distL="114300" distR="114300" simplePos="0" relativeHeight="251658752" behindDoc="1" locked="0" layoutInCell="1" allowOverlap="1" wp14:anchorId="1BC7B054" wp14:editId="221DFCF9">
            <wp:simplePos x="0" y="0"/>
            <wp:positionH relativeFrom="page">
              <wp:posOffset>0</wp:posOffset>
            </wp:positionH>
            <wp:positionV relativeFrom="page">
              <wp:posOffset>-42545</wp:posOffset>
            </wp:positionV>
            <wp:extent cx="7778115" cy="10744200"/>
            <wp:effectExtent l="19050" t="0" r="0" b="0"/>
            <wp:wrapNone/>
            <wp:docPr id="18" name="Picture 7" descr="01134 - 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134 - Cover2.jpg"/>
                    <pic:cNvPicPr>
                      <a:picLocks noChangeAspect="1" noChangeArrowheads="1"/>
                    </pic:cNvPicPr>
                  </pic:nvPicPr>
                  <pic:blipFill>
                    <a:blip r:embed="rId8" cstate="print"/>
                    <a:srcRect/>
                    <a:stretch>
                      <a:fillRect/>
                    </a:stretch>
                  </pic:blipFill>
                  <pic:spPr bwMode="auto">
                    <a:xfrm>
                      <a:off x="0" y="0"/>
                      <a:ext cx="7778115" cy="10744200"/>
                    </a:xfrm>
                    <a:prstGeom prst="rect">
                      <a:avLst/>
                    </a:prstGeom>
                    <a:noFill/>
                    <a:ln w="9525">
                      <a:noFill/>
                      <a:miter lim="800000"/>
                      <a:headEnd/>
                      <a:tailEnd/>
                    </a:ln>
                  </pic:spPr>
                </pic:pic>
              </a:graphicData>
            </a:graphic>
          </wp:anchor>
        </w:drawing>
      </w:r>
      <w:r w:rsidR="00962A03">
        <w:t xml:space="preserve"> </w:t>
      </w:r>
    </w:p>
    <w:p w14:paraId="4C0FCA5B" w14:textId="77777777" w:rsidR="00B34420" w:rsidRDefault="00B34420" w:rsidP="0092692C"/>
    <w:p w14:paraId="14D2DCF4" w14:textId="77777777" w:rsidR="00B34420" w:rsidRDefault="00B34420" w:rsidP="0092692C"/>
    <w:p w14:paraId="78733296" w14:textId="77777777" w:rsidR="00B34420" w:rsidRDefault="00B34420" w:rsidP="0092692C"/>
    <w:p w14:paraId="76689C4D" w14:textId="77777777" w:rsidR="00B34420" w:rsidRDefault="00B34420" w:rsidP="0092692C"/>
    <w:p w14:paraId="264120E6" w14:textId="66BE8DF6" w:rsidR="00B34420" w:rsidRDefault="00B34420" w:rsidP="0092692C"/>
    <w:p w14:paraId="2B97D2D3" w14:textId="237F8CF9" w:rsidR="00B34420" w:rsidRDefault="00B34420" w:rsidP="0092692C"/>
    <w:p w14:paraId="7A7FB620" w14:textId="10C91D7C" w:rsidR="00B34420" w:rsidRDefault="00B34420" w:rsidP="0092692C"/>
    <w:p w14:paraId="107AE2CA" w14:textId="07B4F61B" w:rsidR="00B34420" w:rsidRDefault="00B34420" w:rsidP="0092692C"/>
    <w:p w14:paraId="555B07EB" w14:textId="6EECDD4E" w:rsidR="00B34420" w:rsidRDefault="00B34420" w:rsidP="0092692C"/>
    <w:p w14:paraId="204BA67A" w14:textId="5DFFFE9D" w:rsidR="00B34420" w:rsidRDefault="00B34420" w:rsidP="0092692C"/>
    <w:p w14:paraId="113E6393" w14:textId="3B3D68C5" w:rsidR="00B34420" w:rsidRDefault="00B34420" w:rsidP="0092692C"/>
    <w:p w14:paraId="217EBC4C" w14:textId="404FB69C" w:rsidR="00B34420" w:rsidRDefault="00B34420" w:rsidP="0092692C"/>
    <w:p w14:paraId="160A6470" w14:textId="489918DD" w:rsidR="00B34420" w:rsidRDefault="009937CD" w:rsidP="009937CD">
      <w:pPr>
        <w:tabs>
          <w:tab w:val="left" w:pos="2376"/>
        </w:tabs>
      </w:pPr>
      <w:r>
        <w:tab/>
      </w:r>
    </w:p>
    <w:p w14:paraId="58A3FD4A" w14:textId="213C9CEE" w:rsidR="004821FF" w:rsidRDefault="007F0755" w:rsidP="00D11ECE">
      <w:pPr>
        <w:pStyle w:val="About"/>
        <w:pBdr>
          <w:top w:val="none" w:sz="0" w:space="0" w:color="auto"/>
          <w:left w:val="none" w:sz="0" w:space="0" w:color="auto"/>
          <w:bottom w:val="none" w:sz="0" w:space="0" w:color="auto"/>
          <w:right w:val="none" w:sz="0" w:space="0" w:color="auto"/>
        </w:pBdr>
      </w:pPr>
      <w:r>
        <w:rPr>
          <w:noProof/>
          <w:lang w:val="en-US"/>
        </w:rPr>
        <mc:AlternateContent>
          <mc:Choice Requires="wps">
            <w:drawing>
              <wp:anchor distT="0" distB="0" distL="114300" distR="114300" simplePos="0" relativeHeight="251657728" behindDoc="0" locked="0" layoutInCell="1" allowOverlap="1" wp14:anchorId="4524A694" wp14:editId="258DFAD1">
                <wp:simplePos x="0" y="0"/>
                <wp:positionH relativeFrom="column">
                  <wp:posOffset>967740</wp:posOffset>
                </wp:positionH>
                <wp:positionV relativeFrom="paragraph">
                  <wp:posOffset>805180</wp:posOffset>
                </wp:positionV>
                <wp:extent cx="5158740" cy="3238500"/>
                <wp:effectExtent l="0" t="0" r="0" b="0"/>
                <wp:wrapTight wrapText="bothSides">
                  <wp:wrapPolygon edited="0">
                    <wp:start x="160" y="381"/>
                    <wp:lineTo x="160" y="21219"/>
                    <wp:lineTo x="21297" y="21219"/>
                    <wp:lineTo x="21297" y="381"/>
                    <wp:lineTo x="160" y="381"/>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32385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817D21" w14:textId="0E257302" w:rsidR="0079261C" w:rsidRPr="009937CD" w:rsidRDefault="00F773F0" w:rsidP="0092692C">
                            <w:pPr>
                              <w:pStyle w:val="MRAGDocHeading"/>
                              <w:rPr>
                                <w:rFonts w:cs="Arial"/>
                                <w:caps/>
                                <w:sz w:val="40"/>
                                <w:szCs w:val="40"/>
                              </w:rPr>
                            </w:pPr>
                            <w:r>
                              <w:rPr>
                                <w:rFonts w:cs="Arial"/>
                                <w:caps/>
                                <w:sz w:val="40"/>
                                <w:szCs w:val="40"/>
                              </w:rPr>
                              <w:t xml:space="preserve">HARVEST STRATEGY </w:t>
                            </w:r>
                            <w:r w:rsidR="0079261C" w:rsidRPr="009937CD">
                              <w:rPr>
                                <w:rFonts w:cs="Arial"/>
                                <w:caps/>
                                <w:sz w:val="40"/>
                                <w:szCs w:val="40"/>
                              </w:rPr>
                              <w:t xml:space="preserve">FOR the </w:t>
                            </w:r>
                            <w:r w:rsidR="009D4818">
                              <w:rPr>
                                <w:rFonts w:cs="Arial"/>
                                <w:caps/>
                                <w:sz w:val="40"/>
                                <w:szCs w:val="40"/>
                              </w:rPr>
                              <w:t>central</w:t>
                            </w:r>
                            <w:r w:rsidR="0079261C" w:rsidRPr="009937CD">
                              <w:rPr>
                                <w:rFonts w:cs="Arial"/>
                                <w:caps/>
                                <w:sz w:val="40"/>
                                <w:szCs w:val="40"/>
                              </w:rPr>
                              <w:t xml:space="preserve"> zone of the victorian abalone fishery</w:t>
                            </w:r>
                          </w:p>
                          <w:p w14:paraId="4E34D89B" w14:textId="4F57E37B" w:rsidR="0079261C" w:rsidRPr="00767301" w:rsidRDefault="0079261C" w:rsidP="0092692C">
                            <w:pPr>
                              <w:pStyle w:val="MRAGDocHeading"/>
                              <w:rPr>
                                <w:rFonts w:cs="Arial"/>
                                <w:caps/>
                                <w:sz w:val="40"/>
                                <w:szCs w:val="40"/>
                              </w:rPr>
                            </w:pPr>
                            <w:r w:rsidRPr="00767301">
                              <w:rPr>
                                <w:rFonts w:cs="Arial"/>
                                <w:caps/>
                                <w:sz w:val="40"/>
                                <w:szCs w:val="40"/>
                              </w:rPr>
                              <w:t>202</w:t>
                            </w:r>
                            <w:r w:rsidR="00697D7E">
                              <w:rPr>
                                <w:rFonts w:cs="Arial"/>
                                <w:caps/>
                                <w:sz w:val="40"/>
                                <w:szCs w:val="40"/>
                              </w:rPr>
                              <w:t>5</w:t>
                            </w:r>
                          </w:p>
                          <w:p w14:paraId="344CA527" w14:textId="184A8E08" w:rsidR="0079261C" w:rsidRDefault="0079261C" w:rsidP="0092692C">
                            <w:pPr>
                              <w:pStyle w:val="MRAGDocCoverOther"/>
                            </w:pPr>
                          </w:p>
                          <w:p w14:paraId="7F378BF7" w14:textId="20A19F98" w:rsidR="0079261C" w:rsidRDefault="0079261C" w:rsidP="0092692C">
                            <w:pPr>
                              <w:pStyle w:val="MRAGDocCoverOther"/>
                            </w:pPr>
                          </w:p>
                          <w:p w14:paraId="73743C7E" w14:textId="4D41A968" w:rsidR="0079261C" w:rsidRDefault="0079261C" w:rsidP="0092692C">
                            <w:pPr>
                              <w:pStyle w:val="MRAGDocCoverOther"/>
                            </w:pPr>
                          </w:p>
                          <w:p w14:paraId="6B0CC987" w14:textId="77777777" w:rsidR="0079261C" w:rsidRDefault="0079261C" w:rsidP="0092692C">
                            <w:pPr>
                              <w:pStyle w:val="MRAGDocCoverOther"/>
                            </w:pPr>
                          </w:p>
                          <w:p w14:paraId="769048EC" w14:textId="4E98922A" w:rsidR="0079261C" w:rsidRDefault="0079261C" w:rsidP="0092692C">
                            <w:pPr>
                              <w:pStyle w:val="MRAGDocCoverOther"/>
                            </w:pPr>
                            <w:r>
                              <w:t>C. Dixon</w:t>
                            </w:r>
                            <w:r w:rsidR="00FC42DD">
                              <w:t xml:space="preserve"> and</w:t>
                            </w:r>
                            <w:r>
                              <w:t xml:space="preserve"> </w:t>
                            </w:r>
                            <w:proofErr w:type="spellStart"/>
                            <w:r w:rsidR="00272E4A">
                              <w:t>J.Lowe</w:t>
                            </w:r>
                            <w:proofErr w:type="spellEnd"/>
                          </w:p>
                          <w:p w14:paraId="2EA20520" w14:textId="77777777" w:rsidR="0079261C" w:rsidRDefault="0079261C" w:rsidP="0092692C">
                            <w:pPr>
                              <w:pStyle w:val="MRAGDocCoverOther"/>
                            </w:pPr>
                          </w:p>
                          <w:p w14:paraId="64FBED4C" w14:textId="65ED5EED" w:rsidR="0079261C" w:rsidRDefault="009D4818" w:rsidP="0092692C">
                            <w:pPr>
                              <w:pStyle w:val="MRAGDocCoverOther"/>
                            </w:pPr>
                            <w:r>
                              <w:t>Ma</w:t>
                            </w:r>
                            <w:r w:rsidR="00836EC7">
                              <w:t>y</w:t>
                            </w:r>
                            <w:r w:rsidR="0079261C">
                              <w:t xml:space="preserve"> 202</w:t>
                            </w:r>
                            <w:r w:rsidR="00697D7E">
                              <w:t>5</w:t>
                            </w:r>
                          </w:p>
                          <w:p w14:paraId="2FCB5ADF" w14:textId="77777777" w:rsidR="0079261C" w:rsidRDefault="0079261C" w:rsidP="0092692C">
                            <w:pPr>
                              <w:pStyle w:val="MRAGDocCoverOther"/>
                            </w:pPr>
                          </w:p>
                          <w:p w14:paraId="2769E3D2" w14:textId="39323CD1" w:rsidR="0079261C" w:rsidRPr="005D3BF3" w:rsidRDefault="0079261C" w:rsidP="0092692C">
                            <w:pPr>
                              <w:pStyle w:val="MRAGDocCoverOth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4A694" id="_x0000_t202" coordsize="21600,21600" o:spt="202" path="m,l,21600r21600,l21600,xe">
                <v:stroke joinstyle="miter"/>
                <v:path gradientshapeok="t" o:connecttype="rect"/>
              </v:shapetype>
              <v:shape id="Text Box 2" o:spid="_x0000_s1026" type="#_x0000_t202" style="position:absolute;margin-left:76.2pt;margin-top:63.4pt;width:406.2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" filled="f" stroked="f">
                <v:textbox inset=",7.2pt,,7.2pt">
                  <w:txbxContent>
                    <w:p w14:paraId="57817D21" w14:textId="0E257302" w:rsidR="0079261C" w:rsidRPr="009937CD" w:rsidRDefault="00F773F0" w:rsidP="0092692C">
                      <w:pPr>
                        <w:pStyle w:val="MRAGDocHeading"/>
                        <w:rPr>
                          <w:rFonts w:cs="Arial"/>
                          <w:caps/>
                          <w:sz w:val="40"/>
                          <w:szCs w:val="40"/>
                        </w:rPr>
                      </w:pPr>
                      <w:r>
                        <w:rPr>
                          <w:rFonts w:cs="Arial"/>
                          <w:caps/>
                          <w:sz w:val="40"/>
                          <w:szCs w:val="40"/>
                        </w:rPr>
                        <w:t xml:space="preserve">HARVEST STRATEGY </w:t>
                      </w:r>
                      <w:r w:rsidR="0079261C" w:rsidRPr="009937CD">
                        <w:rPr>
                          <w:rFonts w:cs="Arial"/>
                          <w:caps/>
                          <w:sz w:val="40"/>
                          <w:szCs w:val="40"/>
                        </w:rPr>
                        <w:t xml:space="preserve">FOR the </w:t>
                      </w:r>
                      <w:r w:rsidR="009D4818">
                        <w:rPr>
                          <w:rFonts w:cs="Arial"/>
                          <w:caps/>
                          <w:sz w:val="40"/>
                          <w:szCs w:val="40"/>
                        </w:rPr>
                        <w:t>central</w:t>
                      </w:r>
                      <w:r w:rsidR="0079261C" w:rsidRPr="009937CD">
                        <w:rPr>
                          <w:rFonts w:cs="Arial"/>
                          <w:caps/>
                          <w:sz w:val="40"/>
                          <w:szCs w:val="40"/>
                        </w:rPr>
                        <w:t xml:space="preserve"> zone of the victorian abalone fishery</w:t>
                      </w:r>
                    </w:p>
                    <w:p w14:paraId="4E34D89B" w14:textId="4F57E37B" w:rsidR="0079261C" w:rsidRPr="00767301" w:rsidRDefault="0079261C" w:rsidP="0092692C">
                      <w:pPr>
                        <w:pStyle w:val="MRAGDocHeading"/>
                        <w:rPr>
                          <w:rFonts w:cs="Arial"/>
                          <w:caps/>
                          <w:sz w:val="40"/>
                          <w:szCs w:val="40"/>
                        </w:rPr>
                      </w:pPr>
                      <w:r w:rsidRPr="00767301">
                        <w:rPr>
                          <w:rFonts w:cs="Arial"/>
                          <w:caps/>
                          <w:sz w:val="40"/>
                          <w:szCs w:val="40"/>
                        </w:rPr>
                        <w:t>202</w:t>
                      </w:r>
                      <w:r w:rsidR="00697D7E">
                        <w:rPr>
                          <w:rFonts w:cs="Arial"/>
                          <w:caps/>
                          <w:sz w:val="40"/>
                          <w:szCs w:val="40"/>
                        </w:rPr>
                        <w:t>5</w:t>
                      </w:r>
                    </w:p>
                    <w:p w14:paraId="344CA527" w14:textId="184A8E08" w:rsidR="0079261C" w:rsidRDefault="0079261C" w:rsidP="0092692C">
                      <w:pPr>
                        <w:pStyle w:val="MRAGDocCoverOther"/>
                      </w:pPr>
                    </w:p>
                    <w:p w14:paraId="7F378BF7" w14:textId="20A19F98" w:rsidR="0079261C" w:rsidRDefault="0079261C" w:rsidP="0092692C">
                      <w:pPr>
                        <w:pStyle w:val="MRAGDocCoverOther"/>
                      </w:pPr>
                    </w:p>
                    <w:p w14:paraId="73743C7E" w14:textId="4D41A968" w:rsidR="0079261C" w:rsidRDefault="0079261C" w:rsidP="0092692C">
                      <w:pPr>
                        <w:pStyle w:val="MRAGDocCoverOther"/>
                      </w:pPr>
                    </w:p>
                    <w:p w14:paraId="6B0CC987" w14:textId="77777777" w:rsidR="0079261C" w:rsidRDefault="0079261C" w:rsidP="0092692C">
                      <w:pPr>
                        <w:pStyle w:val="MRAGDocCoverOther"/>
                      </w:pPr>
                    </w:p>
                    <w:p w14:paraId="769048EC" w14:textId="4E98922A" w:rsidR="0079261C" w:rsidRDefault="0079261C" w:rsidP="0092692C">
                      <w:pPr>
                        <w:pStyle w:val="MRAGDocCoverOther"/>
                      </w:pPr>
                      <w:r>
                        <w:t>C. Dixon</w:t>
                      </w:r>
                      <w:r w:rsidR="00FC42DD">
                        <w:t xml:space="preserve"> and</w:t>
                      </w:r>
                      <w:r>
                        <w:t xml:space="preserve"> </w:t>
                      </w:r>
                      <w:proofErr w:type="spellStart"/>
                      <w:r w:rsidR="00272E4A">
                        <w:t>J.Lowe</w:t>
                      </w:r>
                      <w:proofErr w:type="spellEnd"/>
                    </w:p>
                    <w:p w14:paraId="2EA20520" w14:textId="77777777" w:rsidR="0079261C" w:rsidRDefault="0079261C" w:rsidP="0092692C">
                      <w:pPr>
                        <w:pStyle w:val="MRAGDocCoverOther"/>
                      </w:pPr>
                    </w:p>
                    <w:p w14:paraId="64FBED4C" w14:textId="65ED5EED" w:rsidR="0079261C" w:rsidRDefault="009D4818" w:rsidP="0092692C">
                      <w:pPr>
                        <w:pStyle w:val="MRAGDocCoverOther"/>
                      </w:pPr>
                      <w:r>
                        <w:t>Ma</w:t>
                      </w:r>
                      <w:r w:rsidR="00836EC7">
                        <w:t>y</w:t>
                      </w:r>
                      <w:r w:rsidR="0079261C">
                        <w:t xml:space="preserve"> 202</w:t>
                      </w:r>
                      <w:r w:rsidR="00697D7E">
                        <w:t>5</w:t>
                      </w:r>
                    </w:p>
                    <w:p w14:paraId="2FCB5ADF" w14:textId="77777777" w:rsidR="0079261C" w:rsidRDefault="0079261C" w:rsidP="0092692C">
                      <w:pPr>
                        <w:pStyle w:val="MRAGDocCoverOther"/>
                      </w:pPr>
                    </w:p>
                    <w:p w14:paraId="2769E3D2" w14:textId="39323CD1" w:rsidR="0079261C" w:rsidRPr="005D3BF3" w:rsidRDefault="0079261C" w:rsidP="0092692C">
                      <w:pPr>
                        <w:pStyle w:val="MRAGDocCoverOther"/>
                      </w:pPr>
                    </w:p>
                  </w:txbxContent>
                </v:textbox>
                <w10:wrap type="tight"/>
              </v:shape>
            </w:pict>
          </mc:Fallback>
        </mc:AlternateContent>
      </w:r>
      <w:r w:rsidR="00B34420">
        <w:rPr>
          <w:sz w:val="32"/>
        </w:rPr>
        <w:br w:type="page"/>
      </w:r>
    </w:p>
    <w:p w14:paraId="2D5D1F71" w14:textId="77777777" w:rsidR="00D11ECE" w:rsidRPr="007C2B00" w:rsidRDefault="00D11ECE" w:rsidP="00D11ECE">
      <w:pPr>
        <w:pStyle w:val="About"/>
        <w:rPr>
          <w:color w:val="auto"/>
          <w:sz w:val="24"/>
          <w:szCs w:val="24"/>
        </w:rPr>
      </w:pPr>
      <w:r w:rsidRPr="007C2B00">
        <w:rPr>
          <w:color w:val="2F5496" w:themeColor="accent5" w:themeShade="BF"/>
          <w:sz w:val="24"/>
          <w:szCs w:val="24"/>
        </w:rPr>
        <w:lastRenderedPageBreak/>
        <w:t xml:space="preserve">About MRAG </w:t>
      </w:r>
      <w:r w:rsidRPr="007C2B00">
        <w:rPr>
          <w:color w:val="2F5496"/>
          <w:sz w:val="24"/>
          <w:szCs w:val="24"/>
        </w:rPr>
        <w:t>Asia</w:t>
      </w:r>
      <w:r w:rsidRPr="007C2B00">
        <w:rPr>
          <w:color w:val="2F5496" w:themeColor="accent5" w:themeShade="BF"/>
          <w:sz w:val="24"/>
          <w:szCs w:val="24"/>
        </w:rPr>
        <w:t xml:space="preserve"> Pacific</w:t>
      </w:r>
    </w:p>
    <w:p w14:paraId="688C08BE" w14:textId="77777777" w:rsidR="00D11ECE" w:rsidRPr="0079261C" w:rsidRDefault="00D11ECE" w:rsidP="00D11ECE">
      <w:pPr>
        <w:pStyle w:val="About"/>
        <w:rPr>
          <w:b w:val="0"/>
          <w:color w:val="auto"/>
          <w:sz w:val="22"/>
          <w:szCs w:val="22"/>
        </w:rPr>
      </w:pPr>
      <w:r w:rsidRPr="0079261C">
        <w:rPr>
          <w:b w:val="0"/>
          <w:color w:val="auto"/>
          <w:sz w:val="22"/>
          <w:szCs w:val="22"/>
        </w:rPr>
        <w:t xml:space="preserve">MRAG Asia Pacific is an independent fisheries and aquatic resource consulting company dedicated to the sustainable use of natural resources through sound, integrated management practices and policies. We are part of the global MRAG group with sister companies in Europe, North America and the Asia Pacific. </w:t>
      </w:r>
    </w:p>
    <w:p w14:paraId="5F3840EE" w14:textId="599A715A" w:rsidR="00D11ECE" w:rsidRPr="0079261C" w:rsidRDefault="00D11ECE" w:rsidP="00D11ECE">
      <w:pPr>
        <w:pStyle w:val="About"/>
        <w:spacing w:before="0" w:after="0"/>
        <w:rPr>
          <w:b w:val="0"/>
          <w:color w:val="auto"/>
          <w:sz w:val="22"/>
          <w:szCs w:val="22"/>
        </w:rPr>
      </w:pPr>
      <w:r w:rsidRPr="0079261C">
        <w:rPr>
          <w:b w:val="0"/>
          <w:color w:val="auto"/>
          <w:sz w:val="22"/>
          <w:szCs w:val="22"/>
        </w:rPr>
        <w:t>2/29 Woodstock Rd</w:t>
      </w:r>
      <w:r w:rsidRPr="0079261C">
        <w:rPr>
          <w:b w:val="0"/>
          <w:color w:val="auto"/>
          <w:sz w:val="22"/>
          <w:szCs w:val="22"/>
        </w:rPr>
        <w:tab/>
      </w:r>
      <w:r w:rsidRPr="0079261C">
        <w:rPr>
          <w:b w:val="0"/>
          <w:color w:val="auto"/>
          <w:sz w:val="22"/>
          <w:szCs w:val="22"/>
        </w:rPr>
        <w:tab/>
        <w:t>PO Box 732</w:t>
      </w:r>
      <w:r w:rsidRPr="0079261C">
        <w:rPr>
          <w:b w:val="0"/>
          <w:color w:val="auto"/>
          <w:sz w:val="22"/>
          <w:szCs w:val="22"/>
        </w:rPr>
        <w:tab/>
      </w:r>
      <w:r w:rsidRPr="0079261C">
        <w:rPr>
          <w:b w:val="0"/>
          <w:color w:val="auto"/>
          <w:sz w:val="22"/>
          <w:szCs w:val="22"/>
        </w:rPr>
        <w:tab/>
      </w:r>
      <w:r w:rsidRPr="0079261C">
        <w:rPr>
          <w:b w:val="0"/>
          <w:color w:val="auto"/>
          <w:sz w:val="22"/>
          <w:szCs w:val="22"/>
        </w:rPr>
        <w:tab/>
        <w:t>P: +61 7 3371 1500</w:t>
      </w:r>
    </w:p>
    <w:p w14:paraId="0C1FD77C" w14:textId="14FB7E70" w:rsidR="00D11ECE" w:rsidRPr="0079261C" w:rsidRDefault="00D11ECE" w:rsidP="00D11ECE">
      <w:pPr>
        <w:pStyle w:val="About"/>
        <w:spacing w:before="0" w:after="0"/>
        <w:rPr>
          <w:b w:val="0"/>
          <w:color w:val="auto"/>
          <w:sz w:val="22"/>
          <w:szCs w:val="22"/>
        </w:rPr>
      </w:pPr>
      <w:r w:rsidRPr="0079261C">
        <w:rPr>
          <w:b w:val="0"/>
          <w:color w:val="auto"/>
          <w:sz w:val="22"/>
          <w:szCs w:val="22"/>
        </w:rPr>
        <w:t>Toowong Qld 4066</w:t>
      </w:r>
      <w:r w:rsidRPr="0079261C">
        <w:rPr>
          <w:b w:val="0"/>
          <w:color w:val="auto"/>
          <w:sz w:val="22"/>
          <w:szCs w:val="22"/>
        </w:rPr>
        <w:tab/>
      </w:r>
      <w:r w:rsidRPr="0079261C">
        <w:rPr>
          <w:b w:val="0"/>
          <w:color w:val="auto"/>
          <w:sz w:val="22"/>
          <w:szCs w:val="22"/>
        </w:rPr>
        <w:tab/>
        <w:t>Toowong Qld 4066</w:t>
      </w:r>
      <w:r w:rsidRPr="0079261C">
        <w:rPr>
          <w:b w:val="0"/>
          <w:color w:val="auto"/>
          <w:sz w:val="22"/>
          <w:szCs w:val="22"/>
        </w:rPr>
        <w:tab/>
      </w:r>
      <w:r w:rsidRPr="0079261C">
        <w:rPr>
          <w:b w:val="0"/>
          <w:color w:val="auto"/>
          <w:sz w:val="22"/>
          <w:szCs w:val="22"/>
        </w:rPr>
        <w:tab/>
        <w:t>F: +61 7 3100 8035</w:t>
      </w:r>
    </w:p>
    <w:p w14:paraId="3C9A6E8A" w14:textId="7CA7572F" w:rsidR="00D11ECE" w:rsidRPr="0079261C" w:rsidRDefault="00D11ECE" w:rsidP="00D11ECE">
      <w:pPr>
        <w:pStyle w:val="About"/>
        <w:spacing w:before="0"/>
        <w:rPr>
          <w:b w:val="0"/>
          <w:color w:val="auto"/>
          <w:sz w:val="22"/>
          <w:szCs w:val="22"/>
        </w:rPr>
      </w:pPr>
      <w:r w:rsidRPr="0079261C">
        <w:rPr>
          <w:b w:val="0"/>
          <w:color w:val="auto"/>
          <w:sz w:val="22"/>
          <w:szCs w:val="22"/>
        </w:rPr>
        <w:t xml:space="preserve">Australia </w:t>
      </w:r>
      <w:r w:rsidRPr="0079261C">
        <w:rPr>
          <w:b w:val="0"/>
          <w:color w:val="auto"/>
          <w:sz w:val="22"/>
          <w:szCs w:val="22"/>
        </w:rPr>
        <w:tab/>
      </w:r>
      <w:r w:rsidRPr="0079261C">
        <w:rPr>
          <w:b w:val="0"/>
          <w:color w:val="auto"/>
          <w:sz w:val="22"/>
          <w:szCs w:val="22"/>
        </w:rPr>
        <w:tab/>
      </w:r>
      <w:r w:rsidRPr="0079261C">
        <w:rPr>
          <w:b w:val="0"/>
          <w:color w:val="auto"/>
          <w:sz w:val="22"/>
          <w:szCs w:val="22"/>
        </w:rPr>
        <w:tab/>
        <w:t>Australia</w:t>
      </w:r>
      <w:r w:rsidRPr="0079261C">
        <w:rPr>
          <w:b w:val="0"/>
          <w:color w:val="auto"/>
          <w:sz w:val="22"/>
          <w:szCs w:val="22"/>
        </w:rPr>
        <w:tab/>
      </w:r>
      <w:r w:rsidRPr="0079261C">
        <w:rPr>
          <w:b w:val="0"/>
          <w:color w:val="auto"/>
          <w:sz w:val="22"/>
          <w:szCs w:val="22"/>
        </w:rPr>
        <w:tab/>
      </w:r>
      <w:r w:rsidRPr="0079261C">
        <w:rPr>
          <w:b w:val="0"/>
          <w:color w:val="auto"/>
          <w:sz w:val="22"/>
          <w:szCs w:val="22"/>
        </w:rPr>
        <w:tab/>
      </w:r>
      <w:r w:rsidR="007C2B00">
        <w:rPr>
          <w:b w:val="0"/>
          <w:color w:val="auto"/>
          <w:sz w:val="22"/>
          <w:szCs w:val="22"/>
        </w:rPr>
        <w:tab/>
      </w:r>
      <w:r w:rsidRPr="0079261C">
        <w:rPr>
          <w:b w:val="0"/>
          <w:color w:val="auto"/>
          <w:sz w:val="22"/>
          <w:szCs w:val="22"/>
        </w:rPr>
        <w:t xml:space="preserve">E: </w:t>
      </w:r>
      <w:r w:rsidR="007C2B00">
        <w:rPr>
          <w:b w:val="0"/>
          <w:color w:val="auto"/>
          <w:sz w:val="22"/>
          <w:szCs w:val="22"/>
        </w:rPr>
        <w:t>i</w:t>
      </w:r>
      <w:r w:rsidRPr="0079261C">
        <w:rPr>
          <w:b w:val="0"/>
          <w:color w:val="auto"/>
          <w:sz w:val="22"/>
          <w:szCs w:val="22"/>
        </w:rPr>
        <w:t xml:space="preserve">nfo@mragasiapacific.com.au </w:t>
      </w:r>
    </w:p>
    <w:p w14:paraId="10F3ACFC" w14:textId="77777777" w:rsidR="0079261C" w:rsidRPr="007C2B00" w:rsidRDefault="0079261C" w:rsidP="007C2B00">
      <w:pPr>
        <w:rPr>
          <w:rFonts w:ascii="Arial Narrow" w:hAnsi="Arial Narrow"/>
        </w:rPr>
      </w:pPr>
    </w:p>
    <w:p w14:paraId="17EF6D04" w14:textId="22A77AF9" w:rsidR="00D11ECE" w:rsidRPr="007C2B00" w:rsidRDefault="00B46EB4" w:rsidP="00F878F5">
      <w:pPr>
        <w:spacing w:before="360"/>
        <w:rPr>
          <w:rFonts w:ascii="Arial Narrow" w:hAnsi="Arial Narrow"/>
        </w:rPr>
      </w:pPr>
      <w:r w:rsidRPr="007C2B00">
        <w:rPr>
          <w:rFonts w:ascii="Arial Narrow" w:hAnsi="Arial Narrow"/>
        </w:rPr>
        <w:t>Preferred citation: Dixon, C.D.</w:t>
      </w:r>
      <w:r w:rsidR="00767301" w:rsidRPr="007C2B00">
        <w:rPr>
          <w:rFonts w:ascii="Arial Narrow" w:hAnsi="Arial Narrow"/>
        </w:rPr>
        <w:t>,</w:t>
      </w:r>
      <w:r w:rsidR="00FC42DD">
        <w:rPr>
          <w:rFonts w:ascii="Arial Narrow" w:hAnsi="Arial Narrow"/>
        </w:rPr>
        <w:t xml:space="preserve"> and</w:t>
      </w:r>
      <w:r w:rsidR="00767301" w:rsidRPr="007C2B00">
        <w:rPr>
          <w:rFonts w:ascii="Arial Narrow" w:hAnsi="Arial Narrow"/>
        </w:rPr>
        <w:t xml:space="preserve"> </w:t>
      </w:r>
      <w:r w:rsidR="00272E4A">
        <w:rPr>
          <w:rFonts w:ascii="Arial Narrow" w:hAnsi="Arial Narrow"/>
        </w:rPr>
        <w:t>Lowe, J</w:t>
      </w:r>
      <w:r w:rsidRPr="007C2B00">
        <w:rPr>
          <w:rFonts w:ascii="Arial Narrow" w:hAnsi="Arial Narrow"/>
        </w:rPr>
        <w:t xml:space="preserve"> (202</w:t>
      </w:r>
      <w:r w:rsidR="00AD315A">
        <w:rPr>
          <w:rFonts w:ascii="Arial Narrow" w:hAnsi="Arial Narrow"/>
        </w:rPr>
        <w:t>5</w:t>
      </w:r>
      <w:r w:rsidRPr="007C2B00">
        <w:rPr>
          <w:rFonts w:ascii="Arial Narrow" w:hAnsi="Arial Narrow"/>
        </w:rPr>
        <w:t xml:space="preserve">). </w:t>
      </w:r>
      <w:r w:rsidR="00AB2178">
        <w:rPr>
          <w:rFonts w:ascii="Arial Narrow" w:hAnsi="Arial Narrow"/>
        </w:rPr>
        <w:t>Harvest Strategy</w:t>
      </w:r>
      <w:r w:rsidRPr="007C2B00">
        <w:rPr>
          <w:rFonts w:ascii="Arial Narrow" w:hAnsi="Arial Narrow"/>
        </w:rPr>
        <w:t xml:space="preserve"> for the </w:t>
      </w:r>
      <w:r w:rsidR="009D4818">
        <w:rPr>
          <w:rFonts w:ascii="Arial Narrow" w:hAnsi="Arial Narrow"/>
        </w:rPr>
        <w:t>Central</w:t>
      </w:r>
      <w:r w:rsidRPr="007C2B00">
        <w:rPr>
          <w:rFonts w:ascii="Arial Narrow" w:hAnsi="Arial Narrow"/>
        </w:rPr>
        <w:t xml:space="preserve"> Zone of the Victorian Abalone Fishery</w:t>
      </w:r>
      <w:r w:rsidR="00767301" w:rsidRPr="007C2B00">
        <w:rPr>
          <w:rFonts w:ascii="Arial Narrow" w:hAnsi="Arial Narrow"/>
        </w:rPr>
        <w:t xml:space="preserve"> 2</w:t>
      </w:r>
      <w:r w:rsidR="00AB2178">
        <w:rPr>
          <w:rFonts w:ascii="Arial Narrow" w:hAnsi="Arial Narrow"/>
        </w:rPr>
        <w:t>0</w:t>
      </w:r>
      <w:r w:rsidR="00767301" w:rsidRPr="007C2B00">
        <w:rPr>
          <w:rFonts w:ascii="Arial Narrow" w:hAnsi="Arial Narrow"/>
        </w:rPr>
        <w:t>2</w:t>
      </w:r>
      <w:r w:rsidR="00AD315A">
        <w:rPr>
          <w:rFonts w:ascii="Arial Narrow" w:hAnsi="Arial Narrow"/>
        </w:rPr>
        <w:t>5</w:t>
      </w:r>
      <w:r w:rsidRPr="007C2B00">
        <w:rPr>
          <w:rFonts w:ascii="Arial Narrow" w:hAnsi="Arial Narrow"/>
        </w:rPr>
        <w:t>. MRAG Asia Pacific</w:t>
      </w:r>
      <w:r w:rsidR="004E5989" w:rsidRPr="007C2B00">
        <w:rPr>
          <w:rFonts w:ascii="Arial Narrow" w:hAnsi="Arial Narrow"/>
        </w:rPr>
        <w:t>, Brisbane, Australia</w:t>
      </w:r>
      <w:r w:rsidRPr="007C2B00">
        <w:rPr>
          <w:rFonts w:ascii="Arial Narrow" w:hAnsi="Arial Narrow"/>
        </w:rPr>
        <w:t>.</w:t>
      </w:r>
    </w:p>
    <w:p w14:paraId="0720D367" w14:textId="77777777" w:rsidR="0079261C" w:rsidRPr="007C2B00" w:rsidRDefault="0079261C" w:rsidP="00F878F5">
      <w:pPr>
        <w:rPr>
          <w:rFonts w:ascii="Arial Narrow" w:hAnsi="Arial Narrow"/>
        </w:rPr>
      </w:pPr>
    </w:p>
    <w:p w14:paraId="2F7EC08A" w14:textId="59837189" w:rsidR="008E07D4" w:rsidRPr="00652FB5" w:rsidRDefault="008E07D4" w:rsidP="008E07D4">
      <w:pPr>
        <w:rPr>
          <w:rFonts w:ascii="Arial Narrow" w:hAnsi="Arial Narrow"/>
        </w:rPr>
      </w:pPr>
      <w:r w:rsidRPr="00652FB5">
        <w:rPr>
          <w:rFonts w:ascii="Arial Narrow" w:hAnsi="Arial Narrow"/>
        </w:rPr>
        <w:t xml:space="preserve">ISBN: </w:t>
      </w:r>
      <w:r w:rsidR="00836EC7" w:rsidRPr="00836EC7">
        <w:rPr>
          <w:rFonts w:ascii="Arial Narrow" w:hAnsi="Arial Narrow"/>
        </w:rPr>
        <w:t>978-0-6456995-0-0</w:t>
      </w:r>
    </w:p>
    <w:p w14:paraId="289F6C4B" w14:textId="77777777" w:rsidR="009D4818" w:rsidRPr="00AD315A" w:rsidRDefault="009D4818" w:rsidP="00F878F5">
      <w:pPr>
        <w:spacing w:after="240"/>
        <w:rPr>
          <w:rFonts w:ascii="Arial Narrow" w:hAnsi="Arial Narrow"/>
          <w:highlight w:val="yellow"/>
        </w:rPr>
      </w:pPr>
    </w:p>
    <w:p w14:paraId="38DFB325" w14:textId="4D27503F" w:rsidR="00B46EB4" w:rsidRPr="007C2B00" w:rsidRDefault="00767301" w:rsidP="00F878F5">
      <w:pPr>
        <w:spacing w:after="240"/>
        <w:rPr>
          <w:rFonts w:ascii="Arial Narrow" w:hAnsi="Arial Narrow"/>
        </w:rPr>
      </w:pPr>
      <w:r w:rsidRPr="00652FB5">
        <w:rPr>
          <w:rFonts w:ascii="Arial Narrow" w:hAnsi="Arial Narrow"/>
        </w:rPr>
        <w:t xml:space="preserve">Published: </w:t>
      </w:r>
      <w:r w:rsidR="00AD315A" w:rsidRPr="00652FB5">
        <w:rPr>
          <w:rFonts w:ascii="Arial Narrow" w:hAnsi="Arial Narrow"/>
        </w:rPr>
        <w:t>1</w:t>
      </w:r>
      <w:r w:rsidR="00836EC7">
        <w:rPr>
          <w:rFonts w:ascii="Arial Narrow" w:hAnsi="Arial Narrow"/>
        </w:rPr>
        <w:t>5</w:t>
      </w:r>
      <w:r w:rsidR="00AD315A" w:rsidRPr="00652FB5">
        <w:rPr>
          <w:rFonts w:ascii="Arial Narrow" w:hAnsi="Arial Narrow"/>
        </w:rPr>
        <w:t xml:space="preserve"> </w:t>
      </w:r>
      <w:r w:rsidR="009D4818" w:rsidRPr="00652FB5">
        <w:rPr>
          <w:rFonts w:ascii="Arial Narrow" w:hAnsi="Arial Narrow"/>
        </w:rPr>
        <w:t>Ma</w:t>
      </w:r>
      <w:r w:rsidR="00836EC7">
        <w:rPr>
          <w:rFonts w:ascii="Arial Narrow" w:hAnsi="Arial Narrow"/>
        </w:rPr>
        <w:t>y</w:t>
      </w:r>
      <w:r w:rsidR="009D4818" w:rsidRPr="00652FB5">
        <w:rPr>
          <w:rFonts w:ascii="Arial Narrow" w:hAnsi="Arial Narrow"/>
        </w:rPr>
        <w:t xml:space="preserve"> </w:t>
      </w:r>
      <w:r w:rsidRPr="00652FB5">
        <w:rPr>
          <w:rFonts w:ascii="Arial Narrow" w:hAnsi="Arial Narrow"/>
        </w:rPr>
        <w:t>202</w:t>
      </w:r>
      <w:r w:rsidR="00AD315A" w:rsidRPr="00652FB5">
        <w:rPr>
          <w:rFonts w:ascii="Arial Narrow" w:hAnsi="Arial Narrow"/>
        </w:rPr>
        <w:t>5</w:t>
      </w:r>
    </w:p>
    <w:p w14:paraId="393F8055" w14:textId="542B0722" w:rsidR="00C44C00" w:rsidRPr="007C2B00" w:rsidRDefault="00C44C00" w:rsidP="00F878F5">
      <w:pPr>
        <w:spacing w:after="240"/>
        <w:rPr>
          <w:rFonts w:ascii="Arial Narrow" w:hAnsi="Arial Narrow"/>
        </w:rPr>
      </w:pPr>
    </w:p>
    <w:p w14:paraId="49C873EB" w14:textId="77777777" w:rsidR="00C44C00" w:rsidRDefault="00C44C00" w:rsidP="00F878F5">
      <w:pPr>
        <w:spacing w:after="240"/>
        <w:rPr>
          <w:rFonts w:ascii="Arial Narrow" w:hAnsi="Arial Narrow"/>
          <w:sz w:val="20"/>
          <w:szCs w:val="20"/>
        </w:rPr>
      </w:pPr>
    </w:p>
    <w:p w14:paraId="506B4305" w14:textId="77777777" w:rsidR="00C44C00" w:rsidRPr="00890EF9" w:rsidRDefault="00C44C00" w:rsidP="00F878F5">
      <w:pPr>
        <w:spacing w:after="240"/>
        <w:rPr>
          <w:rFonts w:ascii="Arial Narrow" w:hAnsi="Arial Narrow"/>
          <w:sz w:val="20"/>
          <w:szCs w:val="20"/>
        </w:rPr>
      </w:pPr>
    </w:p>
    <w:p w14:paraId="1551E705" w14:textId="77777777" w:rsidR="008630E2" w:rsidRDefault="008630E2" w:rsidP="00F878F5">
      <w:pPr>
        <w:spacing w:after="240"/>
      </w:pPr>
    </w:p>
    <w:p w14:paraId="7EDAD29A" w14:textId="6E2CADCF" w:rsidR="00C44C00" w:rsidRPr="007C2B00" w:rsidRDefault="00C44C00" w:rsidP="00C44C00">
      <w:pPr>
        <w:rPr>
          <w:rStyle w:val="IntenseReference"/>
          <w:sz w:val="24"/>
          <w:szCs w:val="24"/>
        </w:rPr>
      </w:pPr>
      <w:r w:rsidRPr="007C2B00">
        <w:rPr>
          <w:rStyle w:val="IntenseReference"/>
          <w:sz w:val="24"/>
          <w:szCs w:val="24"/>
        </w:rPr>
        <w:t>Acknowledgements</w:t>
      </w:r>
    </w:p>
    <w:p w14:paraId="3971B169" w14:textId="2CBD899D" w:rsidR="00C44C00" w:rsidRPr="007C2B00" w:rsidRDefault="0079261C" w:rsidP="0079261C">
      <w:pPr>
        <w:rPr>
          <w:rFonts w:ascii="Arial Narrow" w:hAnsi="Arial Narrow"/>
        </w:rPr>
      </w:pPr>
      <w:r w:rsidRPr="007C2B00">
        <w:rPr>
          <w:rFonts w:ascii="Arial Narrow" w:hAnsi="Arial Narrow"/>
        </w:rPr>
        <w:t>Funds for this work were obtained through the Victorian Fisheries Authority (VFA), obtained through licence fees. We are grateful to Michael Cleland</w:t>
      </w:r>
      <w:r w:rsidR="00C44C00" w:rsidRPr="007C2B00">
        <w:rPr>
          <w:rFonts w:ascii="Arial Narrow" w:hAnsi="Arial Narrow"/>
        </w:rPr>
        <w:t xml:space="preserve"> </w:t>
      </w:r>
      <w:r w:rsidRPr="007C2B00">
        <w:rPr>
          <w:rFonts w:ascii="Arial Narrow" w:hAnsi="Arial Narrow"/>
        </w:rPr>
        <w:t xml:space="preserve">for assistance in the provision and interpretation of data. </w:t>
      </w:r>
      <w:r w:rsidR="00FC42DD">
        <w:rPr>
          <w:rFonts w:ascii="Arial Narrow" w:hAnsi="Arial Narrow"/>
        </w:rPr>
        <w:t>Anthony McGrath</w:t>
      </w:r>
      <w:r w:rsidR="009B74F4">
        <w:rPr>
          <w:rFonts w:ascii="Arial Narrow" w:hAnsi="Arial Narrow"/>
        </w:rPr>
        <w:t xml:space="preserve"> and </w:t>
      </w:r>
      <w:r w:rsidR="00AD315A">
        <w:rPr>
          <w:rFonts w:ascii="Arial Narrow" w:hAnsi="Arial Narrow"/>
        </w:rPr>
        <w:t>Melissa Schubert</w:t>
      </w:r>
      <w:r w:rsidR="009B74F4">
        <w:rPr>
          <w:rFonts w:ascii="Arial Narrow" w:hAnsi="Arial Narrow"/>
        </w:rPr>
        <w:t xml:space="preserve"> </w:t>
      </w:r>
      <w:r w:rsidRPr="007C2B00">
        <w:rPr>
          <w:rFonts w:ascii="Arial Narrow" w:hAnsi="Arial Narrow"/>
        </w:rPr>
        <w:t>(VFA) review</w:t>
      </w:r>
      <w:r w:rsidR="00AB2178">
        <w:rPr>
          <w:rFonts w:ascii="Arial Narrow" w:hAnsi="Arial Narrow"/>
        </w:rPr>
        <w:t>ed</w:t>
      </w:r>
      <w:r w:rsidRPr="007C2B00">
        <w:rPr>
          <w:rFonts w:ascii="Arial Narrow" w:hAnsi="Arial Narrow"/>
        </w:rPr>
        <w:t xml:space="preserve"> the document. </w:t>
      </w:r>
    </w:p>
    <w:p w14:paraId="3E95355E" w14:textId="56F78094" w:rsidR="0079261C" w:rsidRPr="007C2B00" w:rsidRDefault="0079261C" w:rsidP="0079261C"/>
    <w:p w14:paraId="150642AD" w14:textId="77777777" w:rsidR="009D4818" w:rsidRDefault="009D4818" w:rsidP="00F878F5">
      <w:pPr>
        <w:spacing w:after="240"/>
      </w:pPr>
    </w:p>
    <w:p w14:paraId="47F6B8B2" w14:textId="2982ABD1" w:rsidR="005D3E6A" w:rsidRDefault="00AC4EA8" w:rsidP="00F878F5">
      <w:pPr>
        <w:spacing w:after="240"/>
      </w:pPr>
      <w:r w:rsidRPr="004070A6">
        <w:rPr>
          <w:rStyle w:val="IntenseReference"/>
          <w:noProof/>
        </w:rPr>
        <w:drawing>
          <wp:anchor distT="0" distB="0" distL="114300" distR="114300" simplePos="0" relativeHeight="251661824" behindDoc="0" locked="0" layoutInCell="1" allowOverlap="1" wp14:anchorId="266EF005" wp14:editId="467DEAA7">
            <wp:simplePos x="0" y="0"/>
            <wp:positionH relativeFrom="margin">
              <wp:posOffset>5057775</wp:posOffset>
            </wp:positionH>
            <wp:positionV relativeFrom="paragraph">
              <wp:posOffset>241935</wp:posOffset>
            </wp:positionV>
            <wp:extent cx="664210" cy="664210"/>
            <wp:effectExtent l="0" t="0" r="254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64210" cy="664210"/>
                    </a:xfrm>
                    <a:prstGeom prst="rect">
                      <a:avLst/>
                    </a:prstGeom>
                    <a:noFill/>
                  </pic:spPr>
                </pic:pic>
              </a:graphicData>
            </a:graphic>
          </wp:anchor>
        </w:drawing>
      </w:r>
    </w:p>
    <w:p w14:paraId="4791D99C" w14:textId="2AAFF9F3" w:rsidR="005D3E6A" w:rsidRDefault="005D3E6A" w:rsidP="00F878F5">
      <w:pPr>
        <w:spacing w:after="240"/>
      </w:pPr>
    </w:p>
    <w:p w14:paraId="1AF1C50B" w14:textId="77777777" w:rsidR="005D3E6A" w:rsidRDefault="005D3E6A" w:rsidP="00F878F5">
      <w:pPr>
        <w:spacing w:after="240"/>
      </w:pPr>
    </w:p>
    <w:p w14:paraId="350050E7" w14:textId="77777777" w:rsidR="005D3E6A" w:rsidRDefault="005D3E6A" w:rsidP="00F878F5">
      <w:pPr>
        <w:spacing w:after="240"/>
      </w:pPr>
    </w:p>
    <w:tbl>
      <w:tblPr>
        <w:tblStyle w:val="TableGrid"/>
        <w:tblW w:w="0" w:type="auto"/>
        <w:tblLook w:val="04A0" w:firstRow="1" w:lastRow="0" w:firstColumn="1" w:lastColumn="0" w:noHBand="0" w:noVBand="1"/>
      </w:tblPr>
      <w:tblGrid>
        <w:gridCol w:w="9016"/>
      </w:tblGrid>
      <w:tr w:rsidR="00AC4EA8" w14:paraId="1D6F1E03" w14:textId="77777777" w:rsidTr="00AC4EA8">
        <w:tc>
          <w:tcPr>
            <w:tcW w:w="9016" w:type="dxa"/>
          </w:tcPr>
          <w:p w14:paraId="2A37100A" w14:textId="710C4E25" w:rsidR="00AC4EA8" w:rsidRPr="00AC4EA8" w:rsidRDefault="00772D7B" w:rsidP="00772D7B">
            <w:pPr>
              <w:spacing w:after="240"/>
              <w:rPr>
                <w:rFonts w:ascii="Arial Narrow" w:hAnsi="Arial Narrow" w:cstheme="majorHAnsi"/>
                <w:sz w:val="20"/>
                <w:szCs w:val="20"/>
              </w:rPr>
            </w:pPr>
            <w:r w:rsidRPr="00FF6DA6">
              <w:rPr>
                <w:rFonts w:ascii="Arial Narrow" w:hAnsi="Arial Narrow" w:cstheme="majorHAnsi"/>
              </w:rPr>
              <w:t xml:space="preserve">Disclaimer: The results and analyses contained in this Report are based on </w:t>
            </w:r>
            <w:proofErr w:type="gramStart"/>
            <w:r w:rsidRPr="00FF6DA6">
              <w:rPr>
                <w:rFonts w:ascii="Arial Narrow" w:hAnsi="Arial Narrow" w:cstheme="majorHAnsi"/>
              </w:rPr>
              <w:t>a number of</w:t>
            </w:r>
            <w:proofErr w:type="gramEnd"/>
            <w:r w:rsidRPr="00FF6DA6">
              <w:rPr>
                <w:rFonts w:ascii="Arial Narrow" w:hAnsi="Arial Narrow" w:cstheme="majorHAnsi"/>
              </w:rPr>
              <w:t xml:space="preserve"> technical or otherwise specified assumptions and parameters. The user must make their own assessment of the suitability for its use of the information or material contained in or generated from the Report.  Although all reasonable efforts have been made to ensure quality, MRAG does not warrant that the information in this report is free from errors or omissions.  To the extent permitted by law, MRAG does not accept any liability to any party for expenses, losses, damages and costs arising directly or indirectly from using this Report.</w:t>
            </w:r>
          </w:p>
        </w:tc>
      </w:tr>
    </w:tbl>
    <w:p w14:paraId="31482A35" w14:textId="7A1986BA" w:rsidR="005D3E6A" w:rsidRDefault="005D3E6A" w:rsidP="00F878F5">
      <w:pPr>
        <w:spacing w:after="240"/>
        <w:sectPr w:rsidR="005D3E6A" w:rsidSect="00B7781E">
          <w:headerReference w:type="default" r:id="rId10"/>
          <w:footerReference w:type="default" r:id="rId11"/>
          <w:headerReference w:type="first" r:id="rId12"/>
          <w:pgSz w:w="11906" w:h="16838"/>
          <w:pgMar w:top="1440" w:right="1440" w:bottom="1440" w:left="1440" w:header="708" w:footer="708" w:gutter="0"/>
          <w:pgNumType w:fmt="lowerRoman" w:start="1"/>
          <w:cols w:space="708"/>
          <w:docGrid w:linePitch="360"/>
        </w:sectPr>
      </w:pPr>
    </w:p>
    <w:sdt>
      <w:sdtPr>
        <w:rPr>
          <w:rFonts w:asciiTheme="minorHAnsi" w:eastAsiaTheme="minorHAnsi" w:hAnsiTheme="minorHAnsi" w:cstheme="minorBidi"/>
          <w:color w:val="auto"/>
          <w:sz w:val="22"/>
          <w:szCs w:val="22"/>
          <w:lang w:val="en-AU"/>
        </w:rPr>
        <w:id w:val="-1167937018"/>
        <w:docPartObj>
          <w:docPartGallery w:val="Table of Contents"/>
          <w:docPartUnique/>
        </w:docPartObj>
      </w:sdtPr>
      <w:sdtContent>
        <w:p w14:paraId="515A1D87" w14:textId="77777777" w:rsidR="005D3BD0" w:rsidRDefault="005D3BD0" w:rsidP="005D3BD0">
          <w:pPr>
            <w:pStyle w:val="TOCHeading"/>
            <w:numPr>
              <w:ilvl w:val="0"/>
              <w:numId w:val="0"/>
            </w:numPr>
          </w:pPr>
          <w:r>
            <w:t>Table of Contents</w:t>
          </w:r>
        </w:p>
        <w:p w14:paraId="12EC27CE" w14:textId="467C9753" w:rsidR="00452EBF" w:rsidRDefault="005D3BD0">
          <w:pPr>
            <w:pStyle w:val="TOC1"/>
            <w:tabs>
              <w:tab w:val="left" w:pos="440"/>
              <w:tab w:val="right" w:leader="dot" w:pos="9016"/>
            </w:tabs>
            <w:rPr>
              <w:rFonts w:eastAsiaTheme="minorEastAsia"/>
              <w:b w:val="0"/>
              <w:bCs w:val="0"/>
              <w:caps w:val="0"/>
              <w:noProof/>
              <w:kern w:val="2"/>
              <w:sz w:val="24"/>
              <w:szCs w:val="24"/>
              <w:lang w:eastAsia="en-AU"/>
              <w14:ligatures w14:val="standardContextual"/>
            </w:rPr>
          </w:pPr>
          <w:r>
            <w:fldChar w:fldCharType="begin"/>
          </w:r>
          <w:r>
            <w:instrText>TOC \o "1-5" \h \z \u</w:instrText>
          </w:r>
          <w:r>
            <w:fldChar w:fldCharType="separate"/>
          </w:r>
          <w:hyperlink w:anchor="_Toc161910811" w:history="1">
            <w:r w:rsidR="00452EBF" w:rsidRPr="00715EF3">
              <w:rPr>
                <w:rStyle w:val="Hyperlink"/>
                <w:noProof/>
              </w:rPr>
              <w:t>1.</w:t>
            </w:r>
            <w:r w:rsidR="00452EBF">
              <w:rPr>
                <w:rFonts w:eastAsiaTheme="minorEastAsia"/>
                <w:b w:val="0"/>
                <w:bCs w:val="0"/>
                <w:caps w:val="0"/>
                <w:noProof/>
                <w:kern w:val="2"/>
                <w:sz w:val="24"/>
                <w:szCs w:val="24"/>
                <w:lang w:eastAsia="en-AU"/>
                <w14:ligatures w14:val="standardContextual"/>
              </w:rPr>
              <w:tab/>
            </w:r>
            <w:r w:rsidR="00452EBF" w:rsidRPr="00715EF3">
              <w:rPr>
                <w:rStyle w:val="Hyperlink"/>
                <w:noProof/>
              </w:rPr>
              <w:t>Introduction</w:t>
            </w:r>
            <w:r w:rsidR="00452EBF">
              <w:rPr>
                <w:noProof/>
                <w:webHidden/>
              </w:rPr>
              <w:tab/>
            </w:r>
            <w:r w:rsidR="00452EBF">
              <w:rPr>
                <w:noProof/>
                <w:webHidden/>
              </w:rPr>
              <w:fldChar w:fldCharType="begin"/>
            </w:r>
            <w:r w:rsidR="00452EBF">
              <w:rPr>
                <w:noProof/>
                <w:webHidden/>
              </w:rPr>
              <w:instrText xml:space="preserve"> PAGEREF _Toc161910811 \h </w:instrText>
            </w:r>
            <w:r w:rsidR="00452EBF">
              <w:rPr>
                <w:noProof/>
                <w:webHidden/>
              </w:rPr>
            </w:r>
            <w:r w:rsidR="00452EBF">
              <w:rPr>
                <w:noProof/>
                <w:webHidden/>
              </w:rPr>
              <w:fldChar w:fldCharType="separate"/>
            </w:r>
            <w:r w:rsidR="00BE602E">
              <w:rPr>
                <w:noProof/>
                <w:webHidden/>
              </w:rPr>
              <w:t>2</w:t>
            </w:r>
            <w:r w:rsidR="00452EBF">
              <w:rPr>
                <w:noProof/>
                <w:webHidden/>
              </w:rPr>
              <w:fldChar w:fldCharType="end"/>
            </w:r>
          </w:hyperlink>
        </w:p>
        <w:p w14:paraId="08BFCB41" w14:textId="62985DD3" w:rsidR="00452EBF" w:rsidRDefault="00000000">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61910812" w:history="1">
            <w:r w:rsidR="00452EBF" w:rsidRPr="00715EF3">
              <w:rPr>
                <w:rStyle w:val="Hyperlink"/>
                <w:noProof/>
              </w:rPr>
              <w:t>2.</w:t>
            </w:r>
            <w:r w:rsidR="00452EBF">
              <w:rPr>
                <w:rFonts w:eastAsiaTheme="minorEastAsia"/>
                <w:b w:val="0"/>
                <w:bCs w:val="0"/>
                <w:caps w:val="0"/>
                <w:noProof/>
                <w:kern w:val="2"/>
                <w:sz w:val="24"/>
                <w:szCs w:val="24"/>
                <w:lang w:eastAsia="en-AU"/>
                <w14:ligatures w14:val="standardContextual"/>
              </w:rPr>
              <w:tab/>
            </w:r>
            <w:r w:rsidR="00452EBF" w:rsidRPr="00715EF3">
              <w:rPr>
                <w:rStyle w:val="Hyperlink"/>
                <w:noProof/>
              </w:rPr>
              <w:t>Results</w:t>
            </w:r>
            <w:r w:rsidR="00452EBF">
              <w:rPr>
                <w:noProof/>
                <w:webHidden/>
              </w:rPr>
              <w:tab/>
            </w:r>
            <w:r w:rsidR="00452EBF">
              <w:rPr>
                <w:noProof/>
                <w:webHidden/>
              </w:rPr>
              <w:fldChar w:fldCharType="begin"/>
            </w:r>
            <w:r w:rsidR="00452EBF">
              <w:rPr>
                <w:noProof/>
                <w:webHidden/>
              </w:rPr>
              <w:instrText xml:space="preserve"> PAGEREF _Toc161910812 \h </w:instrText>
            </w:r>
            <w:r w:rsidR="00452EBF">
              <w:rPr>
                <w:noProof/>
                <w:webHidden/>
              </w:rPr>
            </w:r>
            <w:r w:rsidR="00452EBF">
              <w:rPr>
                <w:noProof/>
                <w:webHidden/>
              </w:rPr>
              <w:fldChar w:fldCharType="separate"/>
            </w:r>
            <w:r w:rsidR="00BE602E">
              <w:rPr>
                <w:noProof/>
                <w:webHidden/>
              </w:rPr>
              <w:t>3</w:t>
            </w:r>
            <w:r w:rsidR="00452EBF">
              <w:rPr>
                <w:noProof/>
                <w:webHidden/>
              </w:rPr>
              <w:fldChar w:fldCharType="end"/>
            </w:r>
          </w:hyperlink>
        </w:p>
        <w:p w14:paraId="40E51FAE" w14:textId="6177A15E" w:rsidR="00452EBF" w:rsidRDefault="00000000">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61910813" w:history="1">
            <w:r w:rsidR="00452EBF" w:rsidRPr="00715EF3">
              <w:rPr>
                <w:rStyle w:val="Hyperlink"/>
                <w:noProof/>
              </w:rPr>
              <w:t>3.</w:t>
            </w:r>
            <w:r w:rsidR="00452EBF">
              <w:rPr>
                <w:rFonts w:eastAsiaTheme="minorEastAsia"/>
                <w:b w:val="0"/>
                <w:bCs w:val="0"/>
                <w:caps w:val="0"/>
                <w:noProof/>
                <w:kern w:val="2"/>
                <w:sz w:val="24"/>
                <w:szCs w:val="24"/>
                <w:lang w:eastAsia="en-AU"/>
                <w14:ligatures w14:val="standardContextual"/>
              </w:rPr>
              <w:tab/>
            </w:r>
            <w:r w:rsidR="00452EBF" w:rsidRPr="00715EF3">
              <w:rPr>
                <w:rStyle w:val="Hyperlink"/>
                <w:noProof/>
              </w:rPr>
              <w:t>Discussion</w:t>
            </w:r>
            <w:r w:rsidR="00452EBF">
              <w:rPr>
                <w:noProof/>
                <w:webHidden/>
              </w:rPr>
              <w:tab/>
            </w:r>
            <w:r w:rsidR="00452EBF">
              <w:rPr>
                <w:noProof/>
                <w:webHidden/>
              </w:rPr>
              <w:fldChar w:fldCharType="begin"/>
            </w:r>
            <w:r w:rsidR="00452EBF">
              <w:rPr>
                <w:noProof/>
                <w:webHidden/>
              </w:rPr>
              <w:instrText xml:space="preserve"> PAGEREF _Toc161910813 \h </w:instrText>
            </w:r>
            <w:r w:rsidR="00452EBF">
              <w:rPr>
                <w:noProof/>
                <w:webHidden/>
              </w:rPr>
            </w:r>
            <w:r w:rsidR="00452EBF">
              <w:rPr>
                <w:noProof/>
                <w:webHidden/>
              </w:rPr>
              <w:fldChar w:fldCharType="separate"/>
            </w:r>
            <w:r w:rsidR="00BE602E">
              <w:rPr>
                <w:noProof/>
                <w:webHidden/>
              </w:rPr>
              <w:t>10</w:t>
            </w:r>
            <w:r w:rsidR="00452EBF">
              <w:rPr>
                <w:noProof/>
                <w:webHidden/>
              </w:rPr>
              <w:fldChar w:fldCharType="end"/>
            </w:r>
          </w:hyperlink>
        </w:p>
        <w:p w14:paraId="30FD305A" w14:textId="408040AC" w:rsidR="00452EBF" w:rsidRDefault="00000000">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61910814" w:history="1">
            <w:r w:rsidR="00452EBF" w:rsidRPr="00715EF3">
              <w:rPr>
                <w:rStyle w:val="Hyperlink"/>
                <w:noProof/>
              </w:rPr>
              <w:t>4.</w:t>
            </w:r>
            <w:r w:rsidR="00452EBF">
              <w:rPr>
                <w:rFonts w:eastAsiaTheme="minorEastAsia"/>
                <w:b w:val="0"/>
                <w:bCs w:val="0"/>
                <w:caps w:val="0"/>
                <w:noProof/>
                <w:kern w:val="2"/>
                <w:sz w:val="24"/>
                <w:szCs w:val="24"/>
                <w:lang w:eastAsia="en-AU"/>
                <w14:ligatures w14:val="standardContextual"/>
              </w:rPr>
              <w:tab/>
            </w:r>
            <w:r w:rsidR="00452EBF" w:rsidRPr="00715EF3">
              <w:rPr>
                <w:rStyle w:val="Hyperlink"/>
                <w:noProof/>
              </w:rPr>
              <w:t>Future research</w:t>
            </w:r>
            <w:r w:rsidR="00452EBF">
              <w:rPr>
                <w:noProof/>
                <w:webHidden/>
              </w:rPr>
              <w:tab/>
            </w:r>
            <w:r w:rsidR="00452EBF">
              <w:rPr>
                <w:noProof/>
                <w:webHidden/>
              </w:rPr>
              <w:fldChar w:fldCharType="begin"/>
            </w:r>
            <w:r w:rsidR="00452EBF">
              <w:rPr>
                <w:noProof/>
                <w:webHidden/>
              </w:rPr>
              <w:instrText xml:space="preserve"> PAGEREF _Toc161910814 \h </w:instrText>
            </w:r>
            <w:r w:rsidR="00452EBF">
              <w:rPr>
                <w:noProof/>
                <w:webHidden/>
              </w:rPr>
            </w:r>
            <w:r w:rsidR="00452EBF">
              <w:rPr>
                <w:noProof/>
                <w:webHidden/>
              </w:rPr>
              <w:fldChar w:fldCharType="separate"/>
            </w:r>
            <w:r w:rsidR="00BE602E">
              <w:rPr>
                <w:b w:val="0"/>
                <w:bCs w:val="0"/>
                <w:noProof/>
                <w:webHidden/>
                <w:lang w:val="en-US"/>
              </w:rPr>
              <w:t>Error! Bookmark not defined.</w:t>
            </w:r>
            <w:r w:rsidR="00452EBF">
              <w:rPr>
                <w:noProof/>
                <w:webHidden/>
              </w:rPr>
              <w:fldChar w:fldCharType="end"/>
            </w:r>
          </w:hyperlink>
        </w:p>
        <w:p w14:paraId="7C34B3E0" w14:textId="489FB8A4" w:rsidR="00452EBF" w:rsidRDefault="00000000">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61910815" w:history="1">
            <w:r w:rsidR="00452EBF" w:rsidRPr="00715EF3">
              <w:rPr>
                <w:rStyle w:val="Hyperlink"/>
                <w:noProof/>
              </w:rPr>
              <w:t>5.</w:t>
            </w:r>
            <w:r w:rsidR="00452EBF">
              <w:rPr>
                <w:rFonts w:eastAsiaTheme="minorEastAsia"/>
                <w:b w:val="0"/>
                <w:bCs w:val="0"/>
                <w:caps w:val="0"/>
                <w:noProof/>
                <w:kern w:val="2"/>
                <w:sz w:val="24"/>
                <w:szCs w:val="24"/>
                <w:lang w:eastAsia="en-AU"/>
                <w14:ligatures w14:val="standardContextual"/>
              </w:rPr>
              <w:tab/>
            </w:r>
            <w:r w:rsidR="00452EBF" w:rsidRPr="00715EF3">
              <w:rPr>
                <w:rStyle w:val="Hyperlink"/>
                <w:noProof/>
              </w:rPr>
              <w:t>References</w:t>
            </w:r>
            <w:r w:rsidR="00452EBF">
              <w:rPr>
                <w:noProof/>
                <w:webHidden/>
              </w:rPr>
              <w:tab/>
            </w:r>
            <w:r w:rsidR="00452EBF">
              <w:rPr>
                <w:noProof/>
                <w:webHidden/>
              </w:rPr>
              <w:fldChar w:fldCharType="begin"/>
            </w:r>
            <w:r w:rsidR="00452EBF">
              <w:rPr>
                <w:noProof/>
                <w:webHidden/>
              </w:rPr>
              <w:instrText xml:space="preserve"> PAGEREF _Toc161910815 \h </w:instrText>
            </w:r>
            <w:r w:rsidR="00452EBF">
              <w:rPr>
                <w:noProof/>
                <w:webHidden/>
              </w:rPr>
            </w:r>
            <w:r w:rsidR="00452EBF">
              <w:rPr>
                <w:noProof/>
                <w:webHidden/>
              </w:rPr>
              <w:fldChar w:fldCharType="separate"/>
            </w:r>
            <w:r w:rsidR="00BE602E">
              <w:rPr>
                <w:noProof/>
                <w:webHidden/>
              </w:rPr>
              <w:t>11</w:t>
            </w:r>
            <w:r w:rsidR="00452EBF">
              <w:rPr>
                <w:noProof/>
                <w:webHidden/>
              </w:rPr>
              <w:fldChar w:fldCharType="end"/>
            </w:r>
          </w:hyperlink>
        </w:p>
        <w:p w14:paraId="0CE587A6" w14:textId="4036B39E" w:rsidR="00452EBF" w:rsidRDefault="00000000">
          <w:pPr>
            <w:pStyle w:val="TOC1"/>
            <w:tabs>
              <w:tab w:val="left" w:pos="440"/>
              <w:tab w:val="right" w:leader="dot" w:pos="9016"/>
            </w:tabs>
            <w:rPr>
              <w:rFonts w:eastAsiaTheme="minorEastAsia"/>
              <w:b w:val="0"/>
              <w:bCs w:val="0"/>
              <w:caps w:val="0"/>
              <w:noProof/>
              <w:kern w:val="2"/>
              <w:sz w:val="24"/>
              <w:szCs w:val="24"/>
              <w:lang w:eastAsia="en-AU"/>
              <w14:ligatures w14:val="standardContextual"/>
            </w:rPr>
          </w:pPr>
          <w:hyperlink w:anchor="_Toc161910816" w:history="1">
            <w:r w:rsidR="00452EBF" w:rsidRPr="00715EF3">
              <w:rPr>
                <w:rStyle w:val="Hyperlink"/>
                <w:noProof/>
              </w:rPr>
              <w:t>6.</w:t>
            </w:r>
            <w:r w:rsidR="00452EBF">
              <w:rPr>
                <w:rFonts w:eastAsiaTheme="minorEastAsia"/>
                <w:b w:val="0"/>
                <w:bCs w:val="0"/>
                <w:caps w:val="0"/>
                <w:noProof/>
                <w:kern w:val="2"/>
                <w:sz w:val="24"/>
                <w:szCs w:val="24"/>
                <w:lang w:eastAsia="en-AU"/>
                <w14:ligatures w14:val="standardContextual"/>
              </w:rPr>
              <w:tab/>
            </w:r>
            <w:r w:rsidR="00452EBF" w:rsidRPr="00715EF3">
              <w:rPr>
                <w:rStyle w:val="Hyperlink"/>
                <w:noProof/>
              </w:rPr>
              <w:t>Appendix 1</w:t>
            </w:r>
            <w:r w:rsidR="00452EBF">
              <w:rPr>
                <w:noProof/>
                <w:webHidden/>
              </w:rPr>
              <w:tab/>
            </w:r>
            <w:r w:rsidR="00452EBF">
              <w:rPr>
                <w:noProof/>
                <w:webHidden/>
              </w:rPr>
              <w:fldChar w:fldCharType="begin"/>
            </w:r>
            <w:r w:rsidR="00452EBF">
              <w:rPr>
                <w:noProof/>
                <w:webHidden/>
              </w:rPr>
              <w:instrText xml:space="preserve"> PAGEREF _Toc161910816 \h </w:instrText>
            </w:r>
            <w:r w:rsidR="00452EBF">
              <w:rPr>
                <w:noProof/>
                <w:webHidden/>
              </w:rPr>
            </w:r>
            <w:r w:rsidR="00452EBF">
              <w:rPr>
                <w:noProof/>
                <w:webHidden/>
              </w:rPr>
              <w:fldChar w:fldCharType="separate"/>
            </w:r>
            <w:r w:rsidR="00BE602E">
              <w:rPr>
                <w:noProof/>
                <w:webHidden/>
              </w:rPr>
              <w:t>12</w:t>
            </w:r>
            <w:r w:rsidR="00452EBF">
              <w:rPr>
                <w:noProof/>
                <w:webHidden/>
              </w:rPr>
              <w:fldChar w:fldCharType="end"/>
            </w:r>
          </w:hyperlink>
        </w:p>
        <w:p w14:paraId="5C9194BD" w14:textId="3E282434"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17" w:history="1">
            <w:r w:rsidR="00452EBF" w:rsidRPr="00715EF3">
              <w:rPr>
                <w:rStyle w:val="Hyperlink"/>
                <w:noProof/>
              </w:rPr>
              <w:t>1.1.</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1. Calculate nominal CPUE from raw data provided by VFA</w:t>
            </w:r>
            <w:r w:rsidR="00452EBF">
              <w:rPr>
                <w:noProof/>
                <w:webHidden/>
              </w:rPr>
              <w:tab/>
            </w:r>
            <w:r w:rsidR="00452EBF">
              <w:rPr>
                <w:noProof/>
                <w:webHidden/>
              </w:rPr>
              <w:fldChar w:fldCharType="begin"/>
            </w:r>
            <w:r w:rsidR="00452EBF">
              <w:rPr>
                <w:noProof/>
                <w:webHidden/>
              </w:rPr>
              <w:instrText xml:space="preserve"> PAGEREF _Toc161910817 \h </w:instrText>
            </w:r>
            <w:r w:rsidR="00452EBF">
              <w:rPr>
                <w:noProof/>
                <w:webHidden/>
              </w:rPr>
            </w:r>
            <w:r w:rsidR="00452EBF">
              <w:rPr>
                <w:noProof/>
                <w:webHidden/>
              </w:rPr>
              <w:fldChar w:fldCharType="separate"/>
            </w:r>
            <w:r w:rsidR="00BE602E">
              <w:rPr>
                <w:noProof/>
                <w:webHidden/>
              </w:rPr>
              <w:t>12</w:t>
            </w:r>
            <w:r w:rsidR="00452EBF">
              <w:rPr>
                <w:noProof/>
                <w:webHidden/>
              </w:rPr>
              <w:fldChar w:fldCharType="end"/>
            </w:r>
          </w:hyperlink>
        </w:p>
        <w:p w14:paraId="580401A8" w14:textId="4C1626C1"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18" w:history="1">
            <w:r w:rsidR="00452EBF" w:rsidRPr="00715EF3">
              <w:rPr>
                <w:rStyle w:val="Hyperlink"/>
                <w:noProof/>
              </w:rPr>
              <w:t>1.2.</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2. Import predicted data from Genstat analysis and rescale</w:t>
            </w:r>
            <w:r w:rsidR="00452EBF">
              <w:rPr>
                <w:noProof/>
                <w:webHidden/>
              </w:rPr>
              <w:tab/>
            </w:r>
            <w:r w:rsidR="00452EBF">
              <w:rPr>
                <w:noProof/>
                <w:webHidden/>
              </w:rPr>
              <w:fldChar w:fldCharType="begin"/>
            </w:r>
            <w:r w:rsidR="00452EBF">
              <w:rPr>
                <w:noProof/>
                <w:webHidden/>
              </w:rPr>
              <w:instrText xml:space="preserve"> PAGEREF _Toc161910818 \h </w:instrText>
            </w:r>
            <w:r w:rsidR="00452EBF">
              <w:rPr>
                <w:noProof/>
                <w:webHidden/>
              </w:rPr>
            </w:r>
            <w:r w:rsidR="00452EBF">
              <w:rPr>
                <w:noProof/>
                <w:webHidden/>
              </w:rPr>
              <w:fldChar w:fldCharType="separate"/>
            </w:r>
            <w:r w:rsidR="00BE602E">
              <w:rPr>
                <w:noProof/>
                <w:webHidden/>
              </w:rPr>
              <w:t>12</w:t>
            </w:r>
            <w:r w:rsidR="00452EBF">
              <w:rPr>
                <w:noProof/>
                <w:webHidden/>
              </w:rPr>
              <w:fldChar w:fldCharType="end"/>
            </w:r>
          </w:hyperlink>
        </w:p>
        <w:p w14:paraId="2CC0728F" w14:textId="1F4CDAF6"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19" w:history="1">
            <w:r w:rsidR="00452EBF" w:rsidRPr="00715EF3">
              <w:rPr>
                <w:rStyle w:val="Hyperlink"/>
                <w:noProof/>
              </w:rPr>
              <w:t>1.3.</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3. Smooth standardised CPUE data for the reference period and calculate Reference Points</w:t>
            </w:r>
            <w:r w:rsidR="00452EBF">
              <w:rPr>
                <w:noProof/>
                <w:webHidden/>
              </w:rPr>
              <w:tab/>
            </w:r>
            <w:r w:rsidR="00452EBF">
              <w:rPr>
                <w:noProof/>
                <w:webHidden/>
              </w:rPr>
              <w:fldChar w:fldCharType="begin"/>
            </w:r>
            <w:r w:rsidR="00452EBF">
              <w:rPr>
                <w:noProof/>
                <w:webHidden/>
              </w:rPr>
              <w:instrText xml:space="preserve"> PAGEREF _Toc161910819 \h </w:instrText>
            </w:r>
            <w:r w:rsidR="00452EBF">
              <w:rPr>
                <w:noProof/>
                <w:webHidden/>
              </w:rPr>
            </w:r>
            <w:r w:rsidR="00452EBF">
              <w:rPr>
                <w:noProof/>
                <w:webHidden/>
              </w:rPr>
              <w:fldChar w:fldCharType="separate"/>
            </w:r>
            <w:r w:rsidR="00BE602E">
              <w:rPr>
                <w:noProof/>
                <w:webHidden/>
              </w:rPr>
              <w:t>12</w:t>
            </w:r>
            <w:r w:rsidR="00452EBF">
              <w:rPr>
                <w:noProof/>
                <w:webHidden/>
              </w:rPr>
              <w:fldChar w:fldCharType="end"/>
            </w:r>
          </w:hyperlink>
        </w:p>
        <w:p w14:paraId="6DF79A55" w14:textId="4E3685DF"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20" w:history="1">
            <w:r w:rsidR="00452EBF" w:rsidRPr="00715EF3">
              <w:rPr>
                <w:rStyle w:val="Hyperlink"/>
                <w:noProof/>
              </w:rPr>
              <w:t>1.4.</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4. Categorise CPUE for current and previous five years of data against the Reference Points</w:t>
            </w:r>
            <w:r w:rsidR="00452EBF">
              <w:rPr>
                <w:noProof/>
                <w:webHidden/>
              </w:rPr>
              <w:tab/>
            </w:r>
            <w:r w:rsidR="00452EBF">
              <w:rPr>
                <w:noProof/>
                <w:webHidden/>
              </w:rPr>
              <w:fldChar w:fldCharType="begin"/>
            </w:r>
            <w:r w:rsidR="00452EBF">
              <w:rPr>
                <w:noProof/>
                <w:webHidden/>
              </w:rPr>
              <w:instrText xml:space="preserve"> PAGEREF _Toc161910820 \h </w:instrText>
            </w:r>
            <w:r w:rsidR="00452EBF">
              <w:rPr>
                <w:noProof/>
                <w:webHidden/>
              </w:rPr>
            </w:r>
            <w:r w:rsidR="00452EBF">
              <w:rPr>
                <w:noProof/>
                <w:webHidden/>
              </w:rPr>
              <w:fldChar w:fldCharType="separate"/>
            </w:r>
            <w:r w:rsidR="00BE602E">
              <w:rPr>
                <w:noProof/>
                <w:webHidden/>
              </w:rPr>
              <w:t>12</w:t>
            </w:r>
            <w:r w:rsidR="00452EBF">
              <w:rPr>
                <w:noProof/>
                <w:webHidden/>
              </w:rPr>
              <w:fldChar w:fldCharType="end"/>
            </w:r>
          </w:hyperlink>
        </w:p>
        <w:p w14:paraId="4EE8AC88" w14:textId="3FA02083"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21" w:history="1">
            <w:r w:rsidR="00452EBF" w:rsidRPr="00715EF3">
              <w:rPr>
                <w:rStyle w:val="Hyperlink"/>
                <w:noProof/>
              </w:rPr>
              <w:t>1.5.</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5. Determine which Catch Control Rule applies</w:t>
            </w:r>
            <w:r w:rsidR="00452EBF">
              <w:rPr>
                <w:noProof/>
                <w:webHidden/>
              </w:rPr>
              <w:tab/>
            </w:r>
            <w:r w:rsidR="00452EBF">
              <w:rPr>
                <w:noProof/>
                <w:webHidden/>
              </w:rPr>
              <w:fldChar w:fldCharType="begin"/>
            </w:r>
            <w:r w:rsidR="00452EBF">
              <w:rPr>
                <w:noProof/>
                <w:webHidden/>
              </w:rPr>
              <w:instrText xml:space="preserve"> PAGEREF _Toc161910821 \h </w:instrText>
            </w:r>
            <w:r w:rsidR="00452EBF">
              <w:rPr>
                <w:noProof/>
                <w:webHidden/>
              </w:rPr>
            </w:r>
            <w:r w:rsidR="00452EBF">
              <w:rPr>
                <w:noProof/>
                <w:webHidden/>
              </w:rPr>
              <w:fldChar w:fldCharType="separate"/>
            </w:r>
            <w:r w:rsidR="00BE602E">
              <w:rPr>
                <w:noProof/>
                <w:webHidden/>
              </w:rPr>
              <w:t>13</w:t>
            </w:r>
            <w:r w:rsidR="00452EBF">
              <w:rPr>
                <w:noProof/>
                <w:webHidden/>
              </w:rPr>
              <w:fldChar w:fldCharType="end"/>
            </w:r>
          </w:hyperlink>
        </w:p>
        <w:p w14:paraId="4F2FCEC6" w14:textId="523D96E3"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22" w:history="1">
            <w:r w:rsidR="00452EBF" w:rsidRPr="00715EF3">
              <w:rPr>
                <w:rStyle w:val="Hyperlink"/>
                <w:noProof/>
              </w:rPr>
              <w:t>1.6.</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6. Calculate the Primary Indictor (4yr gradient change) and categorise</w:t>
            </w:r>
            <w:r w:rsidR="00452EBF">
              <w:rPr>
                <w:noProof/>
                <w:webHidden/>
              </w:rPr>
              <w:tab/>
            </w:r>
            <w:r w:rsidR="00452EBF">
              <w:rPr>
                <w:noProof/>
                <w:webHidden/>
              </w:rPr>
              <w:fldChar w:fldCharType="begin"/>
            </w:r>
            <w:r w:rsidR="00452EBF">
              <w:rPr>
                <w:noProof/>
                <w:webHidden/>
              </w:rPr>
              <w:instrText xml:space="preserve"> PAGEREF _Toc161910822 \h </w:instrText>
            </w:r>
            <w:r w:rsidR="00452EBF">
              <w:rPr>
                <w:noProof/>
                <w:webHidden/>
              </w:rPr>
            </w:r>
            <w:r w:rsidR="00452EBF">
              <w:rPr>
                <w:noProof/>
                <w:webHidden/>
              </w:rPr>
              <w:fldChar w:fldCharType="separate"/>
            </w:r>
            <w:r w:rsidR="00BE602E">
              <w:rPr>
                <w:noProof/>
                <w:webHidden/>
              </w:rPr>
              <w:t>13</w:t>
            </w:r>
            <w:r w:rsidR="00452EBF">
              <w:rPr>
                <w:noProof/>
                <w:webHidden/>
              </w:rPr>
              <w:fldChar w:fldCharType="end"/>
            </w:r>
          </w:hyperlink>
        </w:p>
        <w:p w14:paraId="781C54F2" w14:textId="6300FB75"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23" w:history="1">
            <w:r w:rsidR="00452EBF" w:rsidRPr="00715EF3">
              <w:rPr>
                <w:rStyle w:val="Hyperlink"/>
                <w:noProof/>
              </w:rPr>
              <w:t>1.7.</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7. Calculate the Secondary Indicator (2yr ratio) and categorise</w:t>
            </w:r>
            <w:r w:rsidR="00452EBF">
              <w:rPr>
                <w:noProof/>
                <w:webHidden/>
              </w:rPr>
              <w:tab/>
            </w:r>
            <w:r w:rsidR="00452EBF">
              <w:rPr>
                <w:noProof/>
                <w:webHidden/>
              </w:rPr>
              <w:fldChar w:fldCharType="begin"/>
            </w:r>
            <w:r w:rsidR="00452EBF">
              <w:rPr>
                <w:noProof/>
                <w:webHidden/>
              </w:rPr>
              <w:instrText xml:space="preserve"> PAGEREF _Toc161910823 \h </w:instrText>
            </w:r>
            <w:r w:rsidR="00452EBF">
              <w:rPr>
                <w:noProof/>
                <w:webHidden/>
              </w:rPr>
            </w:r>
            <w:r w:rsidR="00452EBF">
              <w:rPr>
                <w:noProof/>
                <w:webHidden/>
              </w:rPr>
              <w:fldChar w:fldCharType="separate"/>
            </w:r>
            <w:r w:rsidR="00BE602E">
              <w:rPr>
                <w:noProof/>
                <w:webHidden/>
              </w:rPr>
              <w:t>14</w:t>
            </w:r>
            <w:r w:rsidR="00452EBF">
              <w:rPr>
                <w:noProof/>
                <w:webHidden/>
              </w:rPr>
              <w:fldChar w:fldCharType="end"/>
            </w:r>
          </w:hyperlink>
        </w:p>
        <w:p w14:paraId="71F3D201" w14:textId="32AF6409"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24" w:history="1">
            <w:r w:rsidR="00452EBF" w:rsidRPr="00715EF3">
              <w:rPr>
                <w:rStyle w:val="Hyperlink"/>
                <w:noProof/>
              </w:rPr>
              <w:t>1.8.</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8. Calculate the Primary Categorisation Result based on the Primary and Secondary Indicators</w:t>
            </w:r>
            <w:r w:rsidR="00452EBF">
              <w:rPr>
                <w:noProof/>
                <w:webHidden/>
              </w:rPr>
              <w:tab/>
            </w:r>
            <w:r w:rsidR="00452EBF">
              <w:rPr>
                <w:noProof/>
                <w:webHidden/>
              </w:rPr>
              <w:fldChar w:fldCharType="begin"/>
            </w:r>
            <w:r w:rsidR="00452EBF">
              <w:rPr>
                <w:noProof/>
                <w:webHidden/>
              </w:rPr>
              <w:instrText xml:space="preserve"> PAGEREF _Toc161910824 \h </w:instrText>
            </w:r>
            <w:r w:rsidR="00452EBF">
              <w:rPr>
                <w:noProof/>
                <w:webHidden/>
              </w:rPr>
            </w:r>
            <w:r w:rsidR="00452EBF">
              <w:rPr>
                <w:noProof/>
                <w:webHidden/>
              </w:rPr>
              <w:fldChar w:fldCharType="separate"/>
            </w:r>
            <w:r w:rsidR="00BE602E">
              <w:rPr>
                <w:noProof/>
                <w:webHidden/>
              </w:rPr>
              <w:t>14</w:t>
            </w:r>
            <w:r w:rsidR="00452EBF">
              <w:rPr>
                <w:noProof/>
                <w:webHidden/>
              </w:rPr>
              <w:fldChar w:fldCharType="end"/>
            </w:r>
          </w:hyperlink>
        </w:p>
        <w:p w14:paraId="31CC6793" w14:textId="705D82F1" w:rsidR="00452EBF" w:rsidRDefault="00000000">
          <w:pPr>
            <w:pStyle w:val="TOC2"/>
            <w:tabs>
              <w:tab w:val="left" w:pos="880"/>
              <w:tab w:val="right" w:leader="dot" w:pos="9016"/>
            </w:tabs>
            <w:rPr>
              <w:rFonts w:eastAsiaTheme="minorEastAsia"/>
              <w:smallCaps w:val="0"/>
              <w:noProof/>
              <w:kern w:val="2"/>
              <w:sz w:val="24"/>
              <w:szCs w:val="24"/>
              <w:lang w:eastAsia="en-AU"/>
              <w14:ligatures w14:val="standardContextual"/>
            </w:rPr>
          </w:pPr>
          <w:hyperlink w:anchor="_Toc161910825" w:history="1">
            <w:r w:rsidR="00452EBF" w:rsidRPr="00715EF3">
              <w:rPr>
                <w:rStyle w:val="Hyperlink"/>
                <w:noProof/>
              </w:rPr>
              <w:t>1.9.</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9. Calculate the Tertiary Indicator (4yr gradient change) and categorise</w:t>
            </w:r>
            <w:r w:rsidR="00452EBF">
              <w:rPr>
                <w:noProof/>
                <w:webHidden/>
              </w:rPr>
              <w:tab/>
            </w:r>
            <w:r w:rsidR="00452EBF">
              <w:rPr>
                <w:noProof/>
                <w:webHidden/>
              </w:rPr>
              <w:fldChar w:fldCharType="begin"/>
            </w:r>
            <w:r w:rsidR="00452EBF">
              <w:rPr>
                <w:noProof/>
                <w:webHidden/>
              </w:rPr>
              <w:instrText xml:space="preserve"> PAGEREF _Toc161910825 \h </w:instrText>
            </w:r>
            <w:r w:rsidR="00452EBF">
              <w:rPr>
                <w:noProof/>
                <w:webHidden/>
              </w:rPr>
            </w:r>
            <w:r w:rsidR="00452EBF">
              <w:rPr>
                <w:noProof/>
                <w:webHidden/>
              </w:rPr>
              <w:fldChar w:fldCharType="separate"/>
            </w:r>
            <w:r w:rsidR="00BE602E">
              <w:rPr>
                <w:noProof/>
                <w:webHidden/>
              </w:rPr>
              <w:t>14</w:t>
            </w:r>
            <w:r w:rsidR="00452EBF">
              <w:rPr>
                <w:noProof/>
                <w:webHidden/>
              </w:rPr>
              <w:fldChar w:fldCharType="end"/>
            </w:r>
          </w:hyperlink>
        </w:p>
        <w:p w14:paraId="09AE4BF2" w14:textId="074F91E1" w:rsidR="00452EBF" w:rsidRDefault="00000000">
          <w:pPr>
            <w:pStyle w:val="TOC2"/>
            <w:tabs>
              <w:tab w:val="left" w:pos="1100"/>
              <w:tab w:val="right" w:leader="dot" w:pos="9016"/>
            </w:tabs>
            <w:rPr>
              <w:rFonts w:eastAsiaTheme="minorEastAsia"/>
              <w:smallCaps w:val="0"/>
              <w:noProof/>
              <w:kern w:val="2"/>
              <w:sz w:val="24"/>
              <w:szCs w:val="24"/>
              <w:lang w:eastAsia="en-AU"/>
              <w14:ligatures w14:val="standardContextual"/>
            </w:rPr>
          </w:pPr>
          <w:hyperlink w:anchor="_Toc161910826" w:history="1">
            <w:r w:rsidR="00452EBF" w:rsidRPr="00715EF3">
              <w:rPr>
                <w:rStyle w:val="Hyperlink"/>
                <w:noProof/>
              </w:rPr>
              <w:t>1.10.</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10. Determine the final category</w:t>
            </w:r>
            <w:r w:rsidR="00452EBF">
              <w:rPr>
                <w:noProof/>
                <w:webHidden/>
              </w:rPr>
              <w:tab/>
            </w:r>
            <w:r w:rsidR="00452EBF">
              <w:rPr>
                <w:noProof/>
                <w:webHidden/>
              </w:rPr>
              <w:fldChar w:fldCharType="begin"/>
            </w:r>
            <w:r w:rsidR="00452EBF">
              <w:rPr>
                <w:noProof/>
                <w:webHidden/>
              </w:rPr>
              <w:instrText xml:space="preserve"> PAGEREF _Toc161910826 \h </w:instrText>
            </w:r>
            <w:r w:rsidR="00452EBF">
              <w:rPr>
                <w:noProof/>
                <w:webHidden/>
              </w:rPr>
            </w:r>
            <w:r w:rsidR="00452EBF">
              <w:rPr>
                <w:noProof/>
                <w:webHidden/>
              </w:rPr>
              <w:fldChar w:fldCharType="separate"/>
            </w:r>
            <w:r w:rsidR="00BE602E">
              <w:rPr>
                <w:noProof/>
                <w:webHidden/>
              </w:rPr>
              <w:t>15</w:t>
            </w:r>
            <w:r w:rsidR="00452EBF">
              <w:rPr>
                <w:noProof/>
                <w:webHidden/>
              </w:rPr>
              <w:fldChar w:fldCharType="end"/>
            </w:r>
          </w:hyperlink>
        </w:p>
        <w:p w14:paraId="7EA438B6" w14:textId="0B790F37" w:rsidR="00452EBF" w:rsidRDefault="00000000">
          <w:pPr>
            <w:pStyle w:val="TOC2"/>
            <w:tabs>
              <w:tab w:val="left" w:pos="1100"/>
              <w:tab w:val="right" w:leader="dot" w:pos="9016"/>
            </w:tabs>
            <w:rPr>
              <w:rFonts w:eastAsiaTheme="minorEastAsia"/>
              <w:smallCaps w:val="0"/>
              <w:noProof/>
              <w:kern w:val="2"/>
              <w:sz w:val="24"/>
              <w:szCs w:val="24"/>
              <w:lang w:eastAsia="en-AU"/>
              <w14:ligatures w14:val="standardContextual"/>
            </w:rPr>
          </w:pPr>
          <w:hyperlink w:anchor="_Toc161910827" w:history="1">
            <w:r w:rsidR="00452EBF" w:rsidRPr="00715EF3">
              <w:rPr>
                <w:rStyle w:val="Hyperlink"/>
                <w:noProof/>
              </w:rPr>
              <w:t>1.11.</w:t>
            </w:r>
            <w:r w:rsidR="00452EBF">
              <w:rPr>
                <w:rFonts w:eastAsiaTheme="minorEastAsia"/>
                <w:smallCaps w:val="0"/>
                <w:noProof/>
                <w:kern w:val="2"/>
                <w:sz w:val="24"/>
                <w:szCs w:val="24"/>
                <w:lang w:eastAsia="en-AU"/>
                <w14:ligatures w14:val="standardContextual"/>
              </w:rPr>
              <w:tab/>
            </w:r>
            <w:r w:rsidR="00452EBF" w:rsidRPr="00715EF3">
              <w:rPr>
                <w:rStyle w:val="Hyperlink"/>
                <w:noProof/>
              </w:rPr>
              <w:t>Step 11. Determine the catch, lower and upper limits</w:t>
            </w:r>
            <w:r w:rsidR="00452EBF">
              <w:rPr>
                <w:noProof/>
                <w:webHidden/>
              </w:rPr>
              <w:tab/>
            </w:r>
            <w:r w:rsidR="00452EBF">
              <w:rPr>
                <w:noProof/>
                <w:webHidden/>
              </w:rPr>
              <w:fldChar w:fldCharType="begin"/>
            </w:r>
            <w:r w:rsidR="00452EBF">
              <w:rPr>
                <w:noProof/>
                <w:webHidden/>
              </w:rPr>
              <w:instrText xml:space="preserve"> PAGEREF _Toc161910827 \h </w:instrText>
            </w:r>
            <w:r w:rsidR="00452EBF">
              <w:rPr>
                <w:noProof/>
                <w:webHidden/>
              </w:rPr>
            </w:r>
            <w:r w:rsidR="00452EBF">
              <w:rPr>
                <w:noProof/>
                <w:webHidden/>
              </w:rPr>
              <w:fldChar w:fldCharType="separate"/>
            </w:r>
            <w:r w:rsidR="00BE602E">
              <w:rPr>
                <w:noProof/>
                <w:webHidden/>
              </w:rPr>
              <w:t>16</w:t>
            </w:r>
            <w:r w:rsidR="00452EBF">
              <w:rPr>
                <w:noProof/>
                <w:webHidden/>
              </w:rPr>
              <w:fldChar w:fldCharType="end"/>
            </w:r>
          </w:hyperlink>
        </w:p>
        <w:p w14:paraId="233C4FDD" w14:textId="7D2087FD" w:rsidR="005D3BD0" w:rsidRDefault="005D3BD0" w:rsidP="005D3BD0">
          <w:r>
            <w:fldChar w:fldCharType="end"/>
          </w:r>
        </w:p>
      </w:sdtContent>
    </w:sdt>
    <w:p w14:paraId="5BD0891B" w14:textId="77777777" w:rsidR="005D3BD0" w:rsidRDefault="005D3BD0" w:rsidP="005D3BD0">
      <w:r>
        <w:br w:type="page"/>
      </w:r>
    </w:p>
    <w:p w14:paraId="6A28B702" w14:textId="77777777" w:rsidR="005D3BD0" w:rsidRDefault="005D3BD0" w:rsidP="005D3BD0">
      <w:pPr>
        <w:pStyle w:val="Heading1"/>
        <w:numPr>
          <w:ilvl w:val="0"/>
          <w:numId w:val="20"/>
        </w:numPr>
        <w:ind w:left="0" w:firstLine="0"/>
      </w:pPr>
      <w:bookmarkStart w:id="2" w:name="_Toc161910811"/>
      <w:bookmarkStart w:id="3" w:name="introduction"/>
      <w:r>
        <w:lastRenderedPageBreak/>
        <w:t>Introduction</w:t>
      </w:r>
      <w:bookmarkEnd w:id="2"/>
    </w:p>
    <w:p w14:paraId="3701BEA3" w14:textId="6ADFD57A" w:rsidR="005D3BD0" w:rsidRDefault="005D3BD0" w:rsidP="005D3BD0">
      <w:r>
        <w:t>A harvest strategy sets out a decision</w:t>
      </w:r>
      <w:r w:rsidR="00197FCF">
        <w:t>-making</w:t>
      </w:r>
      <w:r>
        <w:t xml:space="preserve"> framework necessary to achieve defined biological and economic objectives for commercial fish stocks </w:t>
      </w:r>
      <w:proofErr w:type="gramStart"/>
      <w:r>
        <w:t>in a given</w:t>
      </w:r>
      <w:proofErr w:type="gramEnd"/>
      <w:r>
        <w:t xml:space="preserve"> fishery (DAWR 2018). Harvest strategies outline:</w:t>
      </w:r>
    </w:p>
    <w:p w14:paraId="58FB572B" w14:textId="77777777" w:rsidR="005D3BD0" w:rsidRDefault="005D3BD0" w:rsidP="005D3BD0">
      <w:pPr>
        <w:numPr>
          <w:ilvl w:val="0"/>
          <w:numId w:val="24"/>
        </w:numPr>
      </w:pPr>
      <w:r>
        <w:t>processes for monitoring and assessing the biological (and economic) conditions of commercially fished species within fisheries against fishery-specific reference levels (a reference point or points)</w:t>
      </w:r>
    </w:p>
    <w:p w14:paraId="3D4BF24D" w14:textId="77777777" w:rsidR="005D3BD0" w:rsidRDefault="005D3BD0" w:rsidP="005D3BD0">
      <w:pPr>
        <w:numPr>
          <w:ilvl w:val="0"/>
          <w:numId w:val="24"/>
        </w:numPr>
      </w:pPr>
      <w:r>
        <w:t>pre-determined rules that control fishing activity according to the biological conditions of the fishery (as defined by monitoring and/or assessment)—these rules are referred to as harvest control rules or decision rules.</w:t>
      </w:r>
    </w:p>
    <w:p w14:paraId="259B3A1C" w14:textId="77777777" w:rsidR="005D3BD0" w:rsidRDefault="005D3BD0" w:rsidP="005D3BD0">
      <w:r>
        <w:t xml:space="preserve">The primary tool used to manage the impact of the Victorian Abalone Fishery is a Total Allowable Commercial Catch (TACC). In the Draft Harvest Strategy for the Victorian Eastern and Central Zone </w:t>
      </w:r>
      <w:proofErr w:type="spellStart"/>
      <w:r>
        <w:t>Blacklip</w:t>
      </w:r>
      <w:proofErr w:type="spellEnd"/>
      <w:r>
        <w:t xml:space="preserve"> Abalone Fishery (VFA 2019a), a suggested TACC range for each zone is arrived at via explicit decision rules that result in upper and lower catch limits (referred to as Optimal Target (OT) catches) at the Spatial Management Unit (SMU) scale. VFA (2019a) states </w:t>
      </w:r>
      <w:r>
        <w:rPr>
          <w:i/>
          <w:iCs/>
        </w:rPr>
        <w:t>“Decisions regarding catch limits are therefore set out in advance, ensuring that fishers, fishery managers and other relevant stakeholders know what action will be taken in response to the conditions in the fishery”</w:t>
      </w:r>
      <w:r>
        <w:t>.</w:t>
      </w:r>
    </w:p>
    <w:p w14:paraId="23304377" w14:textId="3D1A916B" w:rsidR="005D3BD0" w:rsidRDefault="005D3BD0" w:rsidP="00485AF1">
      <w:r>
        <w:t xml:space="preserve">This Harvest Strategy Report documents the results from applying the most up-to-date data from the Central Zone </w:t>
      </w:r>
      <w:r w:rsidR="00197FCF">
        <w:t xml:space="preserve">of the Victorian </w:t>
      </w:r>
      <w:r>
        <w:t>Abalone Fishery through the Draft Harvest Strategy process, as documented in Version 2 of VFA (2019a). This report uses data up to and including the current quota year</w:t>
      </w:r>
      <w:r w:rsidR="00485AF1">
        <w:t xml:space="preserve">. Raw catch effort and CPUE data were received by MRAG Asia Pacific on </w:t>
      </w:r>
      <w:r w:rsidR="00485AF1" w:rsidRPr="009E4E69">
        <w:t>10 September 2024</w:t>
      </w:r>
      <w:r w:rsidR="00485AF1">
        <w:t>.</w:t>
      </w:r>
    </w:p>
    <w:p w14:paraId="0AFDF449" w14:textId="059F9682" w:rsidR="00272E4A" w:rsidRDefault="006A374C" w:rsidP="005D3BD0">
      <w:r>
        <w:t>No FIS sites were surveyed in 2024.</w:t>
      </w:r>
      <w:r w:rsidR="00FC42DD">
        <w:t xml:space="preserve"> The Draft Harvest Strategy therefore</w:t>
      </w:r>
      <w:r w:rsidR="00272E4A">
        <w:t xml:space="preserve"> relies entirely on CPUE data.</w:t>
      </w:r>
    </w:p>
    <w:p w14:paraId="41F538F0" w14:textId="782BE656" w:rsidR="005D3BD0" w:rsidRDefault="005D3BD0" w:rsidP="005D3BD0">
      <w:r>
        <w:t xml:space="preserve">A step-by-step summary of how the </w:t>
      </w:r>
      <w:r w:rsidR="00995AC6">
        <w:t>R</w:t>
      </w:r>
      <w:r>
        <w:t xml:space="preserve">eference </w:t>
      </w:r>
      <w:r w:rsidR="00995AC6">
        <w:t>P</w:t>
      </w:r>
      <w:r>
        <w:t xml:space="preserve">oints </w:t>
      </w:r>
      <w:r w:rsidR="00995AC6">
        <w:t xml:space="preserve">(RPs) </w:t>
      </w:r>
      <w:r>
        <w:t xml:space="preserve">and the </w:t>
      </w:r>
      <w:r w:rsidR="00995AC6">
        <w:t>P</w:t>
      </w:r>
      <w:r>
        <w:t xml:space="preserve">rimary, </w:t>
      </w:r>
      <w:r w:rsidR="00995AC6">
        <w:t>S</w:t>
      </w:r>
      <w:r>
        <w:t>econd</w:t>
      </w:r>
      <w:r w:rsidR="00FC42DD">
        <w:t>ary</w:t>
      </w:r>
      <w:r>
        <w:t xml:space="preserve"> and </w:t>
      </w:r>
      <w:r w:rsidR="00995AC6">
        <w:t>T</w:t>
      </w:r>
      <w:r>
        <w:t xml:space="preserve">ertiary </w:t>
      </w:r>
      <w:r w:rsidR="00995AC6">
        <w:t>I</w:t>
      </w:r>
      <w:r>
        <w:t>ndicators were calculated and classified is provided in the Appendix, designed to be read in conjunction with previous Victorian Abalone Methods reports (VFA 2019a; VFA 2019b). All rules are applied at the SMU scale.</w:t>
      </w:r>
      <w:r w:rsidR="00272E4A">
        <w:t xml:space="preserve"> These methods include approaches with FIS data, even though they were not applied for this assessment. </w:t>
      </w:r>
    </w:p>
    <w:p w14:paraId="606CE171" w14:textId="6DEEAF20" w:rsidR="006A374C" w:rsidRDefault="006A374C" w:rsidP="005D3BD0">
      <w:r>
        <w:t>This year’s report includes several changes. Firstly, a revised CPUE standardisation model has been applied following recommendations made through the Abalone Scientific Working Group</w:t>
      </w:r>
      <w:r w:rsidR="00B80E75">
        <w:t xml:space="preserve"> (ASWG)</w:t>
      </w:r>
      <w:r>
        <w:t xml:space="preserve">. The new model has been applied to the CPUE performance measure and </w:t>
      </w:r>
      <w:proofErr w:type="gramStart"/>
      <w:r w:rsidR="00995AC6">
        <w:t>RPs</w:t>
      </w:r>
      <w:r w:rsidR="00485AF1">
        <w:t xml:space="preserve"> </w:t>
      </w:r>
      <w:r w:rsidR="00995AC6">
        <w:t xml:space="preserve"> </w:t>
      </w:r>
      <w:r w:rsidR="00485AF1">
        <w:t>and</w:t>
      </w:r>
      <w:proofErr w:type="gramEnd"/>
      <w:r w:rsidR="00485AF1">
        <w:t xml:space="preserve"> </w:t>
      </w:r>
      <w:r>
        <w:t xml:space="preserve">includes data from 2003 onward. Secondly, two alternative scenarios of </w:t>
      </w:r>
      <w:r w:rsidR="00995AC6">
        <w:t>RPs</w:t>
      </w:r>
      <w:r>
        <w:t xml:space="preserve"> are presented. The first set of </w:t>
      </w:r>
      <w:r w:rsidR="00995AC6">
        <w:t>RPs</w:t>
      </w:r>
      <w:r>
        <w:t xml:space="preserve"> follow the method described in the Appendix, with standardised CPUE </w:t>
      </w:r>
      <w:r w:rsidR="00995AC6">
        <w:t>RPs</w:t>
      </w:r>
      <w:r>
        <w:t xml:space="preserve"> calculated from a historic CPUE dataset using the new standardisation model. The alternative set of results uses the original </w:t>
      </w:r>
      <w:r w:rsidR="00995AC6">
        <w:t>RPs</w:t>
      </w:r>
      <w:r>
        <w:t xml:space="preserve"> described in VFA (2019a) which are based on nominal CPUE data.</w:t>
      </w:r>
    </w:p>
    <w:p w14:paraId="779618B0" w14:textId="565D9D6A" w:rsidR="005D3BD0" w:rsidRDefault="005D3BD0" w:rsidP="005D3BD0">
      <w:r>
        <w:t>The operational objectives of the Draft Harvest Strategy from VFA (2019a) state that “</w:t>
      </w:r>
      <w:r>
        <w:rPr>
          <w:i/>
          <w:iCs/>
        </w:rPr>
        <w:t>This harvest strategy aims to achieve three main operational objectives, which link to the overarching objectives for the management of the fishery</w:t>
      </w:r>
      <w:r>
        <w:t>”. These operational objectives are to:</w:t>
      </w:r>
    </w:p>
    <w:p w14:paraId="543E1F68" w14:textId="77777777" w:rsidR="005D3BD0" w:rsidRDefault="005D3BD0" w:rsidP="005D3BD0">
      <w:pPr>
        <w:numPr>
          <w:ilvl w:val="0"/>
          <w:numId w:val="25"/>
        </w:numPr>
      </w:pPr>
      <w:r>
        <w:t>Maximise the likelihood of biomass remaining within the target range.</w:t>
      </w:r>
    </w:p>
    <w:p w14:paraId="6E47C234" w14:textId="77777777" w:rsidR="005D3BD0" w:rsidRDefault="005D3BD0" w:rsidP="005D3BD0">
      <w:pPr>
        <w:numPr>
          <w:ilvl w:val="0"/>
          <w:numId w:val="25"/>
        </w:numPr>
      </w:pPr>
      <w:r>
        <w:t>Minimise the risk of biomass falling to levels where it could impair recruitment.</w:t>
      </w:r>
    </w:p>
    <w:p w14:paraId="51F23488" w14:textId="77777777" w:rsidR="005D3BD0" w:rsidRDefault="005D3BD0" w:rsidP="005D3BD0">
      <w:pPr>
        <w:numPr>
          <w:ilvl w:val="0"/>
          <w:numId w:val="25"/>
        </w:numPr>
      </w:pPr>
      <w:r>
        <w:t>Minimise the risk of biomass falling below the limit reference point.</w:t>
      </w:r>
    </w:p>
    <w:p w14:paraId="53D6381F" w14:textId="77777777" w:rsidR="005D3BD0" w:rsidRDefault="005D3BD0" w:rsidP="005D3BD0">
      <w:r>
        <w:br w:type="page"/>
      </w:r>
    </w:p>
    <w:p w14:paraId="5C33DA9F" w14:textId="77777777" w:rsidR="005D3BD0" w:rsidRDefault="005D3BD0" w:rsidP="005D3BD0">
      <w:pPr>
        <w:pStyle w:val="Heading1"/>
        <w:numPr>
          <w:ilvl w:val="0"/>
          <w:numId w:val="20"/>
        </w:numPr>
        <w:ind w:left="0" w:firstLine="0"/>
      </w:pPr>
      <w:bookmarkStart w:id="4" w:name="_Toc161910812"/>
      <w:bookmarkStart w:id="5" w:name="results"/>
      <w:bookmarkEnd w:id="3"/>
      <w:r>
        <w:lastRenderedPageBreak/>
        <w:t>Results</w:t>
      </w:r>
      <w:bookmarkEnd w:id="4"/>
    </w:p>
    <w:p w14:paraId="4C56EC0A" w14:textId="29FE83C4" w:rsidR="005D3BD0" w:rsidRDefault="005D3BD0" w:rsidP="005D3BD0">
      <w:r>
        <w:t xml:space="preserve">Table 1 contains the calculated </w:t>
      </w:r>
      <w:r w:rsidR="00726DE1">
        <w:t xml:space="preserve">standardised </w:t>
      </w:r>
      <w:r w:rsidR="00995AC6">
        <w:t>RPs</w:t>
      </w:r>
      <w:r>
        <w:t>, the Current Status and applicable Catch Control Rules for each SMU within the Central Zone. This table was created using the methods (Steps 1 to 3) outlined in the Appendix</w:t>
      </w:r>
      <w:r w:rsidR="00272E4A">
        <w:t>, however for CPUE data only</w:t>
      </w:r>
      <w:r>
        <w:t>.</w:t>
      </w:r>
    </w:p>
    <w:p w14:paraId="3DAA1326" w14:textId="011F35E5" w:rsidR="005D3BD0" w:rsidRDefault="005D3BD0" w:rsidP="005D3BD0">
      <w:r>
        <w:t>Table 2 contains the calculations of the Primary and Secondary Indicators used to determine the Primary Category, and the Final Category for each SMU within the Central Zone</w:t>
      </w:r>
      <w:r w:rsidR="00764058">
        <w:t xml:space="preserve"> (noting no Tertiary Indicator was calculated)</w:t>
      </w:r>
      <w:r>
        <w:t xml:space="preserve">. </w:t>
      </w:r>
      <w:r w:rsidR="00C66EB6">
        <w:t>The 202</w:t>
      </w:r>
      <w:r w:rsidR="00726DE1">
        <w:t>4</w:t>
      </w:r>
      <w:r w:rsidR="00C66EB6">
        <w:t>/2</w:t>
      </w:r>
      <w:r w:rsidR="00726DE1">
        <w:t>5</w:t>
      </w:r>
      <w:r w:rsidR="00C66EB6">
        <w:t xml:space="preserve"> OTs used here include carry-over catch, as this is what will be assessed against in the stock assessment. </w:t>
      </w:r>
      <w:r>
        <w:t>This table was created using the methods (Steps 4 onwards) outlined in the Appendix.</w:t>
      </w:r>
    </w:p>
    <w:p w14:paraId="6D7CF6E5" w14:textId="626DC35F" w:rsidR="00726DE1" w:rsidRDefault="00726DE1" w:rsidP="005D3BD0">
      <w:r>
        <w:t xml:space="preserve">Table 3 uses the nominal </w:t>
      </w:r>
      <w:r w:rsidR="00995AC6">
        <w:t>RPs</w:t>
      </w:r>
      <w:r>
        <w:t xml:space="preserve"> published in VFA (2019a) and follows the same methodology for Table 1. Table 4 provides suggested OTs based on the nominal </w:t>
      </w:r>
      <w:r w:rsidR="00995AC6">
        <w:t>RPs</w:t>
      </w:r>
      <w:r>
        <w:t xml:space="preserve"> calculated in the same manner as for Table 2.</w:t>
      </w:r>
    </w:p>
    <w:p w14:paraId="40AD78A3" w14:textId="4931D228" w:rsidR="005D3BD0" w:rsidRDefault="005D3BD0" w:rsidP="005D3BD0">
      <w:r>
        <w:t xml:space="preserve">The Primary and Secondary Indicator for the Central Zone is plotted in Figure 1. Nominal and standardised CPUE datasets for the Central Zone </w:t>
      </w:r>
      <w:r w:rsidR="00BB1246">
        <w:t>are</w:t>
      </w:r>
      <w:r>
        <w:t xml:space="preserve"> plotted in Figure </w:t>
      </w:r>
      <w:r w:rsidR="004B110B">
        <w:t>2</w:t>
      </w:r>
      <w:r>
        <w:t xml:space="preserve">, relative to the </w:t>
      </w:r>
      <w:r w:rsidR="004B110B">
        <w:t xml:space="preserve">standardised </w:t>
      </w:r>
      <w:r w:rsidR="00995AC6">
        <w:t>RPs</w:t>
      </w:r>
      <w:r>
        <w:t>.</w:t>
      </w:r>
    </w:p>
    <w:p w14:paraId="0B0B5E3C" w14:textId="2DEA8E25" w:rsidR="00B43150" w:rsidRPr="00B43150" w:rsidRDefault="00B43150" w:rsidP="005D3BD0">
      <w:pPr>
        <w:rPr>
          <w:i/>
          <w:iCs/>
        </w:rPr>
      </w:pPr>
      <w:r w:rsidRPr="00B43150">
        <w:rPr>
          <w:i/>
          <w:iCs/>
        </w:rPr>
        <w:t>Standardised CPUE Reference Points</w:t>
      </w:r>
    </w:p>
    <w:p w14:paraId="59F9EB44" w14:textId="0158939B" w:rsidR="005D3BD0" w:rsidRDefault="00B43150" w:rsidP="005D3BD0">
      <w:r>
        <w:t>Standardised m</w:t>
      </w:r>
      <w:r w:rsidR="005D3BD0">
        <w:t xml:space="preserve">ean </w:t>
      </w:r>
      <w:r>
        <w:t xml:space="preserve">annual </w:t>
      </w:r>
      <w:r w:rsidR="005D3BD0">
        <w:t>CPUE in 202</w:t>
      </w:r>
      <w:r>
        <w:t>3</w:t>
      </w:r>
      <w:r w:rsidR="005D3BD0">
        <w:t xml:space="preserve"> was above the </w:t>
      </w:r>
      <w:r>
        <w:t xml:space="preserve">above the Threshold RP at all SMUs except for Prom </w:t>
      </w:r>
      <w:proofErr w:type="spellStart"/>
      <w:r>
        <w:t>Eastside</w:t>
      </w:r>
      <w:proofErr w:type="spellEnd"/>
      <w:r>
        <w:t xml:space="preserve"> w</w:t>
      </w:r>
      <w:r w:rsidR="00560D2C">
        <w:t>h</w:t>
      </w:r>
      <w:r>
        <w:t xml:space="preserve">ere CPUE was below the Threshold RP but above </w:t>
      </w:r>
      <w:r w:rsidR="005D3BD0">
        <w:t>Limit Reference Point (RP) (Table 1)</w:t>
      </w:r>
      <w:r w:rsidR="00BB1246">
        <w:t xml:space="preserve">.  </w:t>
      </w:r>
      <w:r>
        <w:t xml:space="preserve">Prom </w:t>
      </w:r>
      <w:proofErr w:type="spellStart"/>
      <w:r>
        <w:t>Eastside</w:t>
      </w:r>
      <w:proofErr w:type="spellEnd"/>
      <w:r>
        <w:t xml:space="preserve"> has been between the Limit and Threshold RPs for 14 consecutive years, and thus CCR2 applies (Table 5). </w:t>
      </w:r>
      <w:r w:rsidR="00C7489A">
        <w:t xml:space="preserve">CCR1 applies for all other SMUs. </w:t>
      </w:r>
    </w:p>
    <w:p w14:paraId="63C378AD" w14:textId="4AB8FFEB" w:rsidR="005D3BD0" w:rsidRDefault="005D3BD0" w:rsidP="005D3BD0">
      <w:r>
        <w:t xml:space="preserve">The Primary Category and Final Category was </w:t>
      </w:r>
      <w:r w:rsidR="003F540E">
        <w:t>In</w:t>
      </w:r>
      <w:r>
        <w:t xml:space="preserve">creasing for the </w:t>
      </w:r>
      <w:r w:rsidR="003F540E">
        <w:t>Back Beaches, Phillip Island</w:t>
      </w:r>
      <w:r w:rsidR="00C7489A">
        <w:t xml:space="preserve"> and</w:t>
      </w:r>
      <w:r w:rsidR="003F540E">
        <w:t xml:space="preserve"> Flinders </w:t>
      </w:r>
      <w:r>
        <w:t xml:space="preserve">SMUs (Table 2). </w:t>
      </w:r>
      <w:r w:rsidR="00C7489A">
        <w:t>Where CPUE has been above the Threshold for three years or more, and the Final Category (Table 2) is Increasing, the maximum increase in OT that can be considered is 25% (i.e. CCR1 – 125%, Table 1)</w:t>
      </w:r>
      <w:r w:rsidR="00C7329F">
        <w:t xml:space="preserve"> and this was the case for each of the Back Beaches, Phillip Island and Flinders SMUs</w:t>
      </w:r>
      <w:r w:rsidR="00C7489A">
        <w:t xml:space="preserve">. </w:t>
      </w:r>
      <w:r w:rsidR="00C7329F">
        <w:t>A</w:t>
      </w:r>
      <w:r w:rsidR="003F540E">
        <w:t xml:space="preserve">ll other SMU </w:t>
      </w:r>
      <w:r w:rsidR="00764058">
        <w:t>Primary and Final Categories were Stable</w:t>
      </w:r>
      <w:r>
        <w:t xml:space="preserve">. </w:t>
      </w:r>
      <w:r w:rsidR="00C7329F">
        <w:t xml:space="preserve">There was no catch from Port Phillip Bay in 2023/24 and it maintains its zero OT. </w:t>
      </w:r>
      <w:r>
        <w:t>The total zone target catches ranged from 2</w:t>
      </w:r>
      <w:r w:rsidR="00E15482">
        <w:t>1</w:t>
      </w:r>
      <w:r w:rsidR="00C7329F">
        <w:t>8.2</w:t>
      </w:r>
      <w:r>
        <w:t xml:space="preserve"> t to 2</w:t>
      </w:r>
      <w:r w:rsidR="00C7329F">
        <w:t>55.3</w:t>
      </w:r>
      <w:r w:rsidR="0013764E">
        <w:t xml:space="preserve"> </w:t>
      </w:r>
      <w:r>
        <w:t>t based on the sum of the SMU level lower and upper catch ranges</w:t>
      </w:r>
      <w:r w:rsidR="003915E4">
        <w:t>,</w:t>
      </w:r>
      <w:r>
        <w:t xml:space="preserve"> respectively.</w:t>
      </w:r>
    </w:p>
    <w:p w14:paraId="5CF9710B" w14:textId="2A2F21F9" w:rsidR="005D3BD0" w:rsidRDefault="00C7329F" w:rsidP="005D3BD0">
      <w:pPr>
        <w:rPr>
          <w:i/>
          <w:iCs/>
        </w:rPr>
      </w:pPr>
      <w:r>
        <w:rPr>
          <w:i/>
          <w:iCs/>
        </w:rPr>
        <w:t xml:space="preserve">Nominal </w:t>
      </w:r>
      <w:r w:rsidRPr="00B43150">
        <w:rPr>
          <w:i/>
          <w:iCs/>
        </w:rPr>
        <w:t>CPUE Reference Points</w:t>
      </w:r>
    </w:p>
    <w:p w14:paraId="11DF8682" w14:textId="6AA9332D" w:rsidR="00C7329F" w:rsidRDefault="00BD6B8C" w:rsidP="005D3BD0">
      <w:r>
        <w:t xml:space="preserve">Results against the nominal </w:t>
      </w:r>
      <w:r w:rsidR="00995AC6">
        <w:t>RPs</w:t>
      </w:r>
      <w:r>
        <w:t xml:space="preserve"> were </w:t>
      </w:r>
      <w:r w:rsidR="00286901">
        <w:t xml:space="preserve">generally </w:t>
      </w:r>
      <w:r>
        <w:t xml:space="preserve">more conservative than </w:t>
      </w:r>
      <w:r w:rsidR="00286901">
        <w:t xml:space="preserve">for the standardised </w:t>
      </w:r>
      <w:r w:rsidR="00995AC6">
        <w:t>RPs</w:t>
      </w:r>
      <w:r w:rsidR="00286901">
        <w:t xml:space="preserve">. The only exception was for Prom </w:t>
      </w:r>
      <w:proofErr w:type="spellStart"/>
      <w:r w:rsidR="00286901">
        <w:t>Eastside</w:t>
      </w:r>
      <w:proofErr w:type="spellEnd"/>
      <w:r w:rsidR="00286901">
        <w:t xml:space="preserve"> which was assessed as above the Threshold and thus CC1 would apply. However, Flinders, Kilcunda and Prom Westside were all assessed as being between the Limit and Threshold levels for more than 5 years, and thus CCR2 applied. Of the three SMUs eligible for an increase up to 25% under the standardised </w:t>
      </w:r>
      <w:r w:rsidR="00995AC6">
        <w:t>RPs</w:t>
      </w:r>
      <w:r w:rsidR="00286901">
        <w:t xml:space="preserve"> above, the Back Beaches was the only SMU to have been over the threshold for the minimum 3 years. As a result, a more conservative zone target catch range from 213.0 t to 241.7 t was recommended based on the sum of the SMU level lower and upper catch ranges, respectively. </w:t>
      </w:r>
    </w:p>
    <w:p w14:paraId="687297EC" w14:textId="77777777" w:rsidR="005D3BD0" w:rsidRDefault="005D3BD0" w:rsidP="005D3BD0">
      <w:pPr>
        <w:sectPr w:rsidR="005D3BD0" w:rsidSect="00B7781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pPr>
    </w:p>
    <w:p w14:paraId="0F3B2C47" w14:textId="77777777" w:rsidR="005D3BD0" w:rsidRDefault="005D3BD0" w:rsidP="005D3BD0"/>
    <w:p w14:paraId="6C1E56B7" w14:textId="4C36248E" w:rsidR="005D3BD0" w:rsidRDefault="005D3BD0" w:rsidP="005D3BD0">
      <w:r>
        <w:rPr>
          <w:b/>
        </w:rPr>
        <w:t xml:space="preserve">Table </w:t>
      </w:r>
      <w:bookmarkStart w:id="6" w:name="unnamed-chunk-2"/>
      <w:r>
        <w:rPr>
          <w:b/>
        </w:rPr>
        <w:fldChar w:fldCharType="begin"/>
      </w:r>
      <w:r>
        <w:rPr>
          <w:b/>
        </w:rPr>
        <w:instrText>SEQ tab \* Arabic</w:instrText>
      </w:r>
      <w:r>
        <w:rPr>
          <w:b/>
        </w:rPr>
        <w:fldChar w:fldCharType="separate"/>
      </w:r>
      <w:r w:rsidR="00BE602E">
        <w:rPr>
          <w:b/>
          <w:noProof/>
        </w:rPr>
        <w:t>1</w:t>
      </w:r>
      <w:r>
        <w:rPr>
          <w:b/>
        </w:rPr>
        <w:fldChar w:fldCharType="end"/>
      </w:r>
      <w:bookmarkEnd w:id="6"/>
      <w:r>
        <w:t xml:space="preserve">: </w:t>
      </w:r>
      <w:r w:rsidR="00485AF1">
        <w:t xml:space="preserve">Standardised </w:t>
      </w:r>
      <w:r>
        <w:t xml:space="preserve">Reference </w:t>
      </w:r>
      <w:r w:rsidR="00485AF1">
        <w:t>P</w:t>
      </w:r>
      <w:r>
        <w:t>oints for Central Zone SMUs, mean annual CPUE from 201</w:t>
      </w:r>
      <w:r w:rsidR="00485AF1">
        <w:t>8</w:t>
      </w:r>
      <w:r>
        <w:t xml:space="preserve"> - 20</w:t>
      </w:r>
      <w:r w:rsidR="00272E4A">
        <w:t>2</w:t>
      </w:r>
      <w:r w:rsidR="00485AF1">
        <w:t>3</w:t>
      </w:r>
      <w:r>
        <w:t xml:space="preserve"> and applicable catch control rules (CCR).</w:t>
      </w:r>
    </w:p>
    <w:tbl>
      <w:tblPr>
        <w:tblW w:w="14067" w:type="dxa"/>
        <w:jc w:val="center"/>
        <w:tblLayout w:type="fixed"/>
        <w:tblLook w:val="04A0" w:firstRow="1" w:lastRow="0" w:firstColumn="1" w:lastColumn="0" w:noHBand="0" w:noVBand="1"/>
      </w:tblPr>
      <w:tblGrid>
        <w:gridCol w:w="2041"/>
        <w:gridCol w:w="811"/>
        <w:gridCol w:w="1216"/>
        <w:gridCol w:w="1014"/>
        <w:gridCol w:w="811"/>
        <w:gridCol w:w="811"/>
        <w:gridCol w:w="811"/>
        <w:gridCol w:w="811"/>
        <w:gridCol w:w="811"/>
        <w:gridCol w:w="811"/>
        <w:gridCol w:w="1777"/>
        <w:gridCol w:w="1196"/>
        <w:gridCol w:w="1146"/>
      </w:tblGrid>
      <w:tr w:rsidR="00485AF1" w:rsidRPr="00485AF1" w14:paraId="391C3049" w14:textId="77777777" w:rsidTr="00485AF1">
        <w:trPr>
          <w:tblHeader/>
          <w:jc w:val="center"/>
        </w:trPr>
        <w:tc>
          <w:tcPr>
            <w:tcW w:w="204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51EEA6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SMU</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E1329E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Limit RP</w:t>
            </w:r>
          </w:p>
        </w:tc>
        <w:tc>
          <w:tcPr>
            <w:tcW w:w="121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203BE53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Threshold RP</w:t>
            </w:r>
          </w:p>
        </w:tc>
        <w:tc>
          <w:tcPr>
            <w:tcW w:w="1014"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34D4C4A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Target RP</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6188D61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2018</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98A1CA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2019</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2279120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2020</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9B5393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2021</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861907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2022</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31EFB44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2023</w:t>
            </w:r>
          </w:p>
        </w:tc>
        <w:tc>
          <w:tcPr>
            <w:tcW w:w="1777"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3E4684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Current Status</w:t>
            </w:r>
          </w:p>
        </w:tc>
        <w:tc>
          <w:tcPr>
            <w:tcW w:w="119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7C814D1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Years at Status</w:t>
            </w:r>
          </w:p>
        </w:tc>
        <w:tc>
          <w:tcPr>
            <w:tcW w:w="114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07789C9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485AF1">
              <w:rPr>
                <w:rFonts w:ascii="Arial" w:eastAsia="Arial" w:hAnsi="Arial" w:cs="Arial"/>
                <w:color w:val="000000"/>
                <w:sz w:val="16"/>
                <w:szCs w:val="16"/>
              </w:rPr>
              <w:t>CCR</w:t>
            </w:r>
          </w:p>
        </w:tc>
      </w:tr>
      <w:tr w:rsidR="00485AF1" w:rsidRPr="00485AF1" w14:paraId="0FD898D0" w14:textId="77777777" w:rsidTr="00485AF1">
        <w:trPr>
          <w:jc w:val="center"/>
        </w:trPr>
        <w:tc>
          <w:tcPr>
            <w:tcW w:w="2041" w:type="dxa"/>
            <w:tcBorders>
              <w:top w:val="single" w:sz="12" w:space="0" w:color="666666"/>
              <w:left w:val="nil"/>
              <w:bottom w:val="nil"/>
              <w:right w:val="nil"/>
            </w:tcBorders>
            <w:shd w:val="clear" w:color="auto" w:fill="FFFFFF"/>
            <w:tcMar>
              <w:top w:w="0" w:type="dxa"/>
              <w:left w:w="0" w:type="dxa"/>
              <w:bottom w:w="0" w:type="dxa"/>
              <w:right w:w="0" w:type="dxa"/>
            </w:tcMar>
          </w:tcPr>
          <w:p w14:paraId="09753BC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BACK BEACHES</w:t>
            </w:r>
          </w:p>
        </w:tc>
        <w:tc>
          <w:tcPr>
            <w:tcW w:w="811"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71834AA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50</w:t>
            </w:r>
          </w:p>
        </w:tc>
        <w:tc>
          <w:tcPr>
            <w:tcW w:w="121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54D3270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70</w:t>
            </w:r>
          </w:p>
        </w:tc>
        <w:tc>
          <w:tcPr>
            <w:tcW w:w="1014"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438D334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90</w:t>
            </w:r>
          </w:p>
        </w:tc>
        <w:tc>
          <w:tcPr>
            <w:tcW w:w="811" w:type="dxa"/>
            <w:tcBorders>
              <w:top w:val="single" w:sz="12" w:space="0" w:color="666666"/>
              <w:left w:val="nil"/>
              <w:bottom w:val="nil"/>
              <w:right w:val="nil"/>
            </w:tcBorders>
            <w:shd w:val="clear" w:color="auto" w:fill="FFFF00"/>
            <w:tcMar>
              <w:top w:w="0" w:type="dxa"/>
              <w:left w:w="0" w:type="dxa"/>
              <w:bottom w:w="0" w:type="dxa"/>
              <w:right w:w="0" w:type="dxa"/>
            </w:tcMar>
            <w:vAlign w:val="center"/>
          </w:tcPr>
          <w:p w14:paraId="1AF3F3D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67.1</w:t>
            </w:r>
          </w:p>
        </w:tc>
        <w:tc>
          <w:tcPr>
            <w:tcW w:w="811" w:type="dxa"/>
            <w:tcBorders>
              <w:top w:val="single" w:sz="12" w:space="0" w:color="666666"/>
              <w:left w:val="nil"/>
              <w:bottom w:val="nil"/>
              <w:right w:val="nil"/>
            </w:tcBorders>
            <w:shd w:val="clear" w:color="auto" w:fill="FFFF00"/>
            <w:tcMar>
              <w:top w:w="0" w:type="dxa"/>
              <w:left w:w="0" w:type="dxa"/>
              <w:bottom w:w="0" w:type="dxa"/>
              <w:right w:w="0" w:type="dxa"/>
            </w:tcMar>
            <w:vAlign w:val="center"/>
          </w:tcPr>
          <w:p w14:paraId="1BDD836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65.0</w:t>
            </w:r>
          </w:p>
        </w:tc>
        <w:tc>
          <w:tcPr>
            <w:tcW w:w="811" w:type="dxa"/>
            <w:tcBorders>
              <w:top w:val="single" w:sz="12" w:space="0" w:color="666666"/>
              <w:left w:val="nil"/>
              <w:bottom w:val="nil"/>
              <w:right w:val="nil"/>
            </w:tcBorders>
            <w:shd w:val="clear" w:color="auto" w:fill="FFFF00"/>
            <w:tcMar>
              <w:top w:w="0" w:type="dxa"/>
              <w:left w:w="0" w:type="dxa"/>
              <w:bottom w:w="0" w:type="dxa"/>
              <w:right w:w="0" w:type="dxa"/>
            </w:tcMar>
            <w:vAlign w:val="center"/>
          </w:tcPr>
          <w:p w14:paraId="1C06BE2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68.8</w:t>
            </w:r>
          </w:p>
        </w:tc>
        <w:tc>
          <w:tcPr>
            <w:tcW w:w="811"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49BA307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73.5</w:t>
            </w:r>
          </w:p>
        </w:tc>
        <w:tc>
          <w:tcPr>
            <w:tcW w:w="811"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06E3267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79.0</w:t>
            </w:r>
          </w:p>
        </w:tc>
        <w:tc>
          <w:tcPr>
            <w:tcW w:w="811"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5346A0A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79.3</w:t>
            </w:r>
          </w:p>
        </w:tc>
        <w:tc>
          <w:tcPr>
            <w:tcW w:w="1777" w:type="dxa"/>
            <w:tcBorders>
              <w:top w:val="single" w:sz="12" w:space="0" w:color="666666"/>
              <w:left w:val="nil"/>
              <w:bottom w:val="nil"/>
              <w:right w:val="nil"/>
            </w:tcBorders>
            <w:shd w:val="clear" w:color="auto" w:fill="92D050"/>
            <w:tcMar>
              <w:top w:w="0" w:type="dxa"/>
              <w:left w:w="0" w:type="dxa"/>
              <w:bottom w:w="0" w:type="dxa"/>
              <w:right w:w="0" w:type="dxa"/>
            </w:tcMar>
          </w:tcPr>
          <w:p w14:paraId="578D29B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Above Threshold</w:t>
            </w:r>
          </w:p>
        </w:tc>
        <w:tc>
          <w:tcPr>
            <w:tcW w:w="119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5D851FA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3</w:t>
            </w:r>
          </w:p>
        </w:tc>
        <w:tc>
          <w:tcPr>
            <w:tcW w:w="114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571D086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1 - 125%</w:t>
            </w:r>
          </w:p>
        </w:tc>
      </w:tr>
      <w:tr w:rsidR="00485AF1" w:rsidRPr="00485AF1" w14:paraId="431EC38B"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036B0FE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CAPE LIPTRAP</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3D4E989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0B40BA1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4D30BB8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19737C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63.9</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0144CD2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61.7</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477F198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62.9</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203FB8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66.1</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DD5766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73.1</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212B6FA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72.8</w:t>
            </w:r>
          </w:p>
        </w:tc>
        <w:tc>
          <w:tcPr>
            <w:tcW w:w="1777" w:type="dxa"/>
            <w:tcBorders>
              <w:top w:val="nil"/>
              <w:left w:val="nil"/>
              <w:bottom w:val="nil"/>
              <w:right w:val="nil"/>
            </w:tcBorders>
            <w:shd w:val="clear" w:color="auto" w:fill="92D050"/>
            <w:tcMar>
              <w:top w:w="0" w:type="dxa"/>
              <w:left w:w="0" w:type="dxa"/>
              <w:bottom w:w="0" w:type="dxa"/>
              <w:right w:w="0" w:type="dxa"/>
            </w:tcMar>
          </w:tcPr>
          <w:p w14:paraId="1A685D8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30D7B19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21</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5DC3FF1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w:t>
            </w:r>
          </w:p>
        </w:tc>
      </w:tr>
      <w:tr w:rsidR="00485AF1" w:rsidRPr="00485AF1" w14:paraId="17FE2BC3"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0E40745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CAPE OTWAY</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59BB834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09A7D63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06D1E84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100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3DC7CB26" w14:textId="77777777" w:rsidR="00485AF1" w:rsidRPr="00485AF1" w:rsidRDefault="00485AF1" w:rsidP="008161A5">
            <w:pPr>
              <w:pBdr>
                <w:top w:val="none" w:sz="0" w:space="0" w:color="000000"/>
                <w:left w:val="none" w:sz="0" w:space="0" w:color="000000"/>
                <w:bottom w:val="none" w:sz="0" w:space="0" w:color="000000"/>
                <w:right w:val="none" w:sz="0" w:space="0" w:color="000000"/>
              </w:pBdr>
              <w:shd w:val="clear" w:color="auto" w:fill="92D050"/>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70.2</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34C939D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68.8</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26BD8A9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71.2</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507A51E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70.9</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7FA56B6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68.9</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08162FC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71.5</w:t>
            </w:r>
          </w:p>
        </w:tc>
        <w:tc>
          <w:tcPr>
            <w:tcW w:w="1777" w:type="dxa"/>
            <w:tcBorders>
              <w:top w:val="nil"/>
              <w:left w:val="nil"/>
              <w:bottom w:val="nil"/>
              <w:right w:val="nil"/>
            </w:tcBorders>
            <w:shd w:val="clear" w:color="auto" w:fill="92D050"/>
            <w:tcMar>
              <w:top w:w="0" w:type="dxa"/>
              <w:left w:w="0" w:type="dxa"/>
              <w:bottom w:w="0" w:type="dxa"/>
              <w:right w:w="0" w:type="dxa"/>
            </w:tcMar>
          </w:tcPr>
          <w:p w14:paraId="5632B0C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71B51FA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4C8B530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w:t>
            </w:r>
          </w:p>
        </w:tc>
      </w:tr>
      <w:tr w:rsidR="00485AF1" w:rsidRPr="00485AF1" w14:paraId="352F2F65"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0CE18BF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CLIFFY GROUP</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43C452E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5DAE757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08DE0E0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80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49CC352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66.7</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3A1FC52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60.9</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FDB348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62.5</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477BAE5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65.0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EDCCE9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68.6</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27EF836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69.6</w:t>
            </w:r>
          </w:p>
        </w:tc>
        <w:tc>
          <w:tcPr>
            <w:tcW w:w="1777" w:type="dxa"/>
            <w:tcBorders>
              <w:top w:val="nil"/>
              <w:left w:val="nil"/>
              <w:bottom w:val="nil"/>
              <w:right w:val="nil"/>
            </w:tcBorders>
            <w:shd w:val="clear" w:color="auto" w:fill="92D050"/>
            <w:tcMar>
              <w:top w:w="0" w:type="dxa"/>
              <w:left w:w="0" w:type="dxa"/>
              <w:bottom w:w="0" w:type="dxa"/>
              <w:right w:w="0" w:type="dxa"/>
            </w:tcMar>
          </w:tcPr>
          <w:p w14:paraId="2A8FDD0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6C1E551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21</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62B42CF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w:t>
            </w:r>
          </w:p>
        </w:tc>
      </w:tr>
      <w:tr w:rsidR="00485AF1" w:rsidRPr="00485AF1" w14:paraId="5C60F45F"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6E39F9B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FLINDERS</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412E2BB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234FC88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46CD7E1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546C4E3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56.3</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5A02785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55.8</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2BCF76F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56.5</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51131DD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66.0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56CD1F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66.1</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ABEE8A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69.9</w:t>
            </w:r>
          </w:p>
        </w:tc>
        <w:tc>
          <w:tcPr>
            <w:tcW w:w="1777" w:type="dxa"/>
            <w:tcBorders>
              <w:top w:val="nil"/>
              <w:left w:val="nil"/>
              <w:bottom w:val="nil"/>
              <w:right w:val="nil"/>
            </w:tcBorders>
            <w:shd w:val="clear" w:color="auto" w:fill="92D050"/>
            <w:tcMar>
              <w:top w:w="0" w:type="dxa"/>
              <w:left w:w="0" w:type="dxa"/>
              <w:bottom w:w="0" w:type="dxa"/>
              <w:right w:w="0" w:type="dxa"/>
            </w:tcMar>
          </w:tcPr>
          <w:p w14:paraId="28F07AA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2C9D472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3</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28BFAD1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1 - 125%</w:t>
            </w:r>
          </w:p>
        </w:tc>
      </w:tr>
      <w:tr w:rsidR="00485AF1" w:rsidRPr="00485AF1" w14:paraId="645B657A"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0E8BBB4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KILCUNDA</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219B5ED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6091463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403FF1C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100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02BC09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60.8</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5988B53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58.5</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C9C5D0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60.7</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45AA179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64.7</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2958808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66.4</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4347B87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64.9</w:t>
            </w:r>
          </w:p>
        </w:tc>
        <w:tc>
          <w:tcPr>
            <w:tcW w:w="1777" w:type="dxa"/>
            <w:tcBorders>
              <w:top w:val="nil"/>
              <w:left w:val="nil"/>
              <w:bottom w:val="nil"/>
              <w:right w:val="nil"/>
            </w:tcBorders>
            <w:shd w:val="clear" w:color="auto" w:fill="92D050"/>
            <w:tcMar>
              <w:top w:w="0" w:type="dxa"/>
              <w:left w:w="0" w:type="dxa"/>
              <w:bottom w:w="0" w:type="dxa"/>
              <w:right w:w="0" w:type="dxa"/>
            </w:tcMar>
          </w:tcPr>
          <w:p w14:paraId="317CD65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1D37C66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7FC2845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w:t>
            </w:r>
          </w:p>
        </w:tc>
      </w:tr>
      <w:tr w:rsidR="00485AF1" w:rsidRPr="00485AF1" w14:paraId="257B0243"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2150E6F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PHILLIP ISLAND</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37B87B6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3B63D03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7F3718E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FC44B9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60.4</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28948D5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61.1</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65FEFFF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58.6</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02AEC43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62.0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05AADDE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69.3</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0710CCC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72.2</w:t>
            </w:r>
          </w:p>
        </w:tc>
        <w:tc>
          <w:tcPr>
            <w:tcW w:w="1777" w:type="dxa"/>
            <w:tcBorders>
              <w:top w:val="nil"/>
              <w:left w:val="nil"/>
              <w:bottom w:val="nil"/>
              <w:right w:val="nil"/>
            </w:tcBorders>
            <w:shd w:val="clear" w:color="auto" w:fill="92D050"/>
            <w:tcMar>
              <w:top w:w="0" w:type="dxa"/>
              <w:left w:w="0" w:type="dxa"/>
              <w:bottom w:w="0" w:type="dxa"/>
              <w:right w:w="0" w:type="dxa"/>
            </w:tcMar>
          </w:tcPr>
          <w:p w14:paraId="2A8CCC8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768FCE6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3</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05EE63E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1 - 125%</w:t>
            </w:r>
          </w:p>
        </w:tc>
      </w:tr>
      <w:tr w:rsidR="00485AF1" w:rsidRPr="00485AF1" w14:paraId="446B4823"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7B12956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PROM EASTSIDE</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12FACB8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3A5E4FD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4F2A7AA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70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2BAFEFF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52.0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1795E9B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47.7</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6D34E00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49.5</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2083941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51.0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72D4C92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53.0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68361A6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52.9</w:t>
            </w:r>
          </w:p>
        </w:tc>
        <w:tc>
          <w:tcPr>
            <w:tcW w:w="1777" w:type="dxa"/>
            <w:tcBorders>
              <w:top w:val="nil"/>
              <w:left w:val="nil"/>
              <w:bottom w:val="nil"/>
              <w:right w:val="nil"/>
            </w:tcBorders>
            <w:shd w:val="clear" w:color="auto" w:fill="FFFF00"/>
            <w:tcMar>
              <w:top w:w="0" w:type="dxa"/>
              <w:left w:w="0" w:type="dxa"/>
              <w:bottom w:w="0" w:type="dxa"/>
              <w:right w:w="0" w:type="dxa"/>
            </w:tcMar>
          </w:tcPr>
          <w:p w14:paraId="7EA10DE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Limit to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03A05C1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14</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39F9EFA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w:t>
            </w:r>
          </w:p>
        </w:tc>
      </w:tr>
      <w:tr w:rsidR="00485AF1" w:rsidRPr="00485AF1" w14:paraId="7726EC90"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62BB2D3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PROM WESTSIDE</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41C2BAA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667E5A9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18659A1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0CD4176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59.5</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3F93929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53.5</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B6C0E4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66.7</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B6C04E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61.8</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A0495E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67.3</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3CF7175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66.3</w:t>
            </w:r>
          </w:p>
        </w:tc>
        <w:tc>
          <w:tcPr>
            <w:tcW w:w="1777" w:type="dxa"/>
            <w:tcBorders>
              <w:top w:val="nil"/>
              <w:left w:val="nil"/>
              <w:bottom w:val="nil"/>
              <w:right w:val="nil"/>
            </w:tcBorders>
            <w:shd w:val="clear" w:color="auto" w:fill="92D050"/>
            <w:tcMar>
              <w:top w:w="0" w:type="dxa"/>
              <w:left w:w="0" w:type="dxa"/>
              <w:bottom w:w="0" w:type="dxa"/>
              <w:right w:w="0" w:type="dxa"/>
            </w:tcMar>
          </w:tcPr>
          <w:p w14:paraId="6E47DB7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55BC5E0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366FB95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w:t>
            </w:r>
          </w:p>
        </w:tc>
      </w:tr>
      <w:tr w:rsidR="00485AF1" w:rsidRPr="00485AF1" w14:paraId="2B7EFAD9" w14:textId="77777777" w:rsidTr="00485AF1">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2B4E50F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SHIPWRECK COAST</w:t>
            </w:r>
          </w:p>
        </w:tc>
        <w:tc>
          <w:tcPr>
            <w:tcW w:w="811" w:type="dxa"/>
            <w:tcBorders>
              <w:top w:val="nil"/>
              <w:left w:val="nil"/>
              <w:bottom w:val="nil"/>
              <w:right w:val="nil"/>
            </w:tcBorders>
            <w:shd w:val="clear" w:color="auto" w:fill="FFFFFF"/>
            <w:tcMar>
              <w:top w:w="0" w:type="dxa"/>
              <w:left w:w="0" w:type="dxa"/>
              <w:bottom w:w="0" w:type="dxa"/>
              <w:right w:w="0" w:type="dxa"/>
            </w:tcMar>
            <w:vAlign w:val="center"/>
          </w:tcPr>
          <w:p w14:paraId="7684E8E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50</w:t>
            </w:r>
          </w:p>
        </w:tc>
        <w:tc>
          <w:tcPr>
            <w:tcW w:w="1216" w:type="dxa"/>
            <w:tcBorders>
              <w:top w:val="nil"/>
              <w:left w:val="nil"/>
              <w:bottom w:val="nil"/>
              <w:right w:val="nil"/>
            </w:tcBorders>
            <w:shd w:val="clear" w:color="auto" w:fill="FFFFFF"/>
            <w:tcMar>
              <w:top w:w="0" w:type="dxa"/>
              <w:left w:w="0" w:type="dxa"/>
              <w:bottom w:w="0" w:type="dxa"/>
              <w:right w:w="0" w:type="dxa"/>
            </w:tcMar>
            <w:vAlign w:val="center"/>
          </w:tcPr>
          <w:p w14:paraId="63E893B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80</w:t>
            </w:r>
          </w:p>
        </w:tc>
        <w:tc>
          <w:tcPr>
            <w:tcW w:w="1014" w:type="dxa"/>
            <w:tcBorders>
              <w:top w:val="nil"/>
              <w:left w:val="nil"/>
              <w:bottom w:val="nil"/>
              <w:right w:val="nil"/>
            </w:tcBorders>
            <w:shd w:val="clear" w:color="auto" w:fill="FFFFFF"/>
            <w:tcMar>
              <w:top w:w="0" w:type="dxa"/>
              <w:left w:w="0" w:type="dxa"/>
              <w:bottom w:w="0" w:type="dxa"/>
              <w:right w:w="0" w:type="dxa"/>
            </w:tcMar>
            <w:vAlign w:val="center"/>
          </w:tcPr>
          <w:p w14:paraId="6C78394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130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5B3A82E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97.2</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EBBD82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90.4</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3760A8B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83.6</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23525D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96.0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BFA374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96.6</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928384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97.9</w:t>
            </w:r>
          </w:p>
        </w:tc>
        <w:tc>
          <w:tcPr>
            <w:tcW w:w="1777" w:type="dxa"/>
            <w:tcBorders>
              <w:top w:val="nil"/>
              <w:left w:val="nil"/>
              <w:bottom w:val="nil"/>
              <w:right w:val="nil"/>
            </w:tcBorders>
            <w:shd w:val="clear" w:color="auto" w:fill="92D050"/>
            <w:tcMar>
              <w:top w:w="0" w:type="dxa"/>
              <w:left w:w="0" w:type="dxa"/>
              <w:bottom w:w="0" w:type="dxa"/>
              <w:right w:w="0" w:type="dxa"/>
            </w:tcMar>
          </w:tcPr>
          <w:p w14:paraId="4704A5B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1855F26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21</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34408D7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w:t>
            </w:r>
          </w:p>
        </w:tc>
      </w:tr>
      <w:tr w:rsidR="00485AF1" w:rsidRPr="00485AF1" w14:paraId="7D36363F" w14:textId="77777777" w:rsidTr="00485AF1">
        <w:trPr>
          <w:jc w:val="center"/>
        </w:trPr>
        <w:tc>
          <w:tcPr>
            <w:tcW w:w="2041" w:type="dxa"/>
            <w:tcBorders>
              <w:top w:val="nil"/>
              <w:left w:val="nil"/>
              <w:bottom w:val="single" w:sz="12" w:space="0" w:color="666666"/>
              <w:right w:val="nil"/>
            </w:tcBorders>
            <w:shd w:val="clear" w:color="auto" w:fill="FFFFFF"/>
            <w:tcMar>
              <w:top w:w="0" w:type="dxa"/>
              <w:left w:w="0" w:type="dxa"/>
              <w:bottom w:w="0" w:type="dxa"/>
              <w:right w:w="0" w:type="dxa"/>
            </w:tcMar>
          </w:tcPr>
          <w:p w14:paraId="416A25A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SURFCOAST</w:t>
            </w:r>
          </w:p>
        </w:tc>
        <w:tc>
          <w:tcPr>
            <w:tcW w:w="811" w:type="dxa"/>
            <w:tcBorders>
              <w:top w:val="nil"/>
              <w:left w:val="nil"/>
              <w:bottom w:val="single" w:sz="12" w:space="0" w:color="666666"/>
              <w:right w:val="nil"/>
            </w:tcBorders>
            <w:shd w:val="clear" w:color="auto" w:fill="FFFFFF"/>
            <w:tcMar>
              <w:top w:w="0" w:type="dxa"/>
              <w:left w:w="0" w:type="dxa"/>
              <w:bottom w:w="0" w:type="dxa"/>
              <w:right w:w="0" w:type="dxa"/>
            </w:tcMar>
            <w:vAlign w:val="center"/>
          </w:tcPr>
          <w:p w14:paraId="20337B2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40</w:t>
            </w:r>
          </w:p>
        </w:tc>
        <w:tc>
          <w:tcPr>
            <w:tcW w:w="1216" w:type="dxa"/>
            <w:tcBorders>
              <w:top w:val="nil"/>
              <w:left w:val="nil"/>
              <w:bottom w:val="single" w:sz="12" w:space="0" w:color="666666"/>
              <w:right w:val="nil"/>
            </w:tcBorders>
            <w:shd w:val="clear" w:color="auto" w:fill="FFFFFF"/>
            <w:tcMar>
              <w:top w:w="0" w:type="dxa"/>
              <w:left w:w="0" w:type="dxa"/>
              <w:bottom w:w="0" w:type="dxa"/>
              <w:right w:w="0" w:type="dxa"/>
            </w:tcMar>
            <w:vAlign w:val="center"/>
          </w:tcPr>
          <w:p w14:paraId="7208F1F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60</w:t>
            </w:r>
          </w:p>
        </w:tc>
        <w:tc>
          <w:tcPr>
            <w:tcW w:w="1014" w:type="dxa"/>
            <w:tcBorders>
              <w:top w:val="nil"/>
              <w:left w:val="nil"/>
              <w:bottom w:val="single" w:sz="12" w:space="0" w:color="666666"/>
              <w:right w:val="nil"/>
            </w:tcBorders>
            <w:shd w:val="clear" w:color="auto" w:fill="FFFFFF"/>
            <w:tcMar>
              <w:top w:w="0" w:type="dxa"/>
              <w:left w:w="0" w:type="dxa"/>
              <w:bottom w:w="0" w:type="dxa"/>
              <w:right w:w="0" w:type="dxa"/>
            </w:tcMar>
            <w:vAlign w:val="center"/>
          </w:tcPr>
          <w:p w14:paraId="5C38812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70</w:t>
            </w:r>
          </w:p>
        </w:tc>
        <w:tc>
          <w:tcPr>
            <w:tcW w:w="811" w:type="dxa"/>
            <w:tcBorders>
              <w:top w:val="nil"/>
              <w:left w:val="nil"/>
              <w:bottom w:val="single" w:sz="12" w:space="0" w:color="666666"/>
              <w:right w:val="nil"/>
            </w:tcBorders>
            <w:shd w:val="clear" w:color="auto" w:fill="FFFF00"/>
            <w:tcMar>
              <w:top w:w="0" w:type="dxa"/>
              <w:left w:w="0" w:type="dxa"/>
              <w:bottom w:w="0" w:type="dxa"/>
              <w:right w:w="0" w:type="dxa"/>
            </w:tcMar>
            <w:vAlign w:val="center"/>
          </w:tcPr>
          <w:p w14:paraId="7EBF93F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51.7</w:t>
            </w:r>
          </w:p>
        </w:tc>
        <w:tc>
          <w:tcPr>
            <w:tcW w:w="811" w:type="dxa"/>
            <w:tcBorders>
              <w:top w:val="nil"/>
              <w:left w:val="nil"/>
              <w:bottom w:val="single" w:sz="12" w:space="0" w:color="666666"/>
              <w:right w:val="nil"/>
            </w:tcBorders>
            <w:shd w:val="clear" w:color="auto" w:fill="FFFF00"/>
            <w:tcMar>
              <w:top w:w="0" w:type="dxa"/>
              <w:left w:w="0" w:type="dxa"/>
              <w:bottom w:w="0" w:type="dxa"/>
              <w:right w:w="0" w:type="dxa"/>
            </w:tcMar>
            <w:vAlign w:val="center"/>
          </w:tcPr>
          <w:p w14:paraId="169BC8D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54.2</w:t>
            </w:r>
          </w:p>
        </w:tc>
        <w:tc>
          <w:tcPr>
            <w:tcW w:w="811" w:type="dxa"/>
            <w:tcBorders>
              <w:top w:val="nil"/>
              <w:left w:val="nil"/>
              <w:bottom w:val="single" w:sz="12" w:space="0" w:color="666666"/>
              <w:right w:val="nil"/>
            </w:tcBorders>
            <w:shd w:val="clear" w:color="auto" w:fill="FFFF00"/>
            <w:tcMar>
              <w:top w:w="0" w:type="dxa"/>
              <w:left w:w="0" w:type="dxa"/>
              <w:bottom w:w="0" w:type="dxa"/>
              <w:right w:w="0" w:type="dxa"/>
            </w:tcMar>
            <w:vAlign w:val="center"/>
          </w:tcPr>
          <w:p w14:paraId="71759C3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55.4</w:t>
            </w:r>
          </w:p>
        </w:tc>
        <w:tc>
          <w:tcPr>
            <w:tcW w:w="811" w:type="dxa"/>
            <w:tcBorders>
              <w:top w:val="nil"/>
              <w:left w:val="nil"/>
              <w:bottom w:val="single" w:sz="12" w:space="0" w:color="666666"/>
              <w:right w:val="nil"/>
            </w:tcBorders>
            <w:shd w:val="clear" w:color="auto" w:fill="FFFF00"/>
            <w:tcMar>
              <w:top w:w="0" w:type="dxa"/>
              <w:left w:w="0" w:type="dxa"/>
              <w:bottom w:w="0" w:type="dxa"/>
              <w:right w:w="0" w:type="dxa"/>
            </w:tcMar>
            <w:vAlign w:val="center"/>
          </w:tcPr>
          <w:p w14:paraId="47F7440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54.7</w:t>
            </w:r>
          </w:p>
        </w:tc>
        <w:tc>
          <w:tcPr>
            <w:tcW w:w="811" w:type="dxa"/>
            <w:tcBorders>
              <w:top w:val="nil"/>
              <w:left w:val="nil"/>
              <w:bottom w:val="single" w:sz="12" w:space="0" w:color="666666"/>
              <w:right w:val="nil"/>
            </w:tcBorders>
            <w:shd w:val="clear" w:color="auto" w:fill="92D050"/>
            <w:tcMar>
              <w:top w:w="0" w:type="dxa"/>
              <w:left w:w="0" w:type="dxa"/>
              <w:bottom w:w="0" w:type="dxa"/>
              <w:right w:w="0" w:type="dxa"/>
            </w:tcMar>
            <w:vAlign w:val="center"/>
          </w:tcPr>
          <w:p w14:paraId="73F963D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60.3</w:t>
            </w:r>
          </w:p>
        </w:tc>
        <w:tc>
          <w:tcPr>
            <w:tcW w:w="811" w:type="dxa"/>
            <w:tcBorders>
              <w:top w:val="nil"/>
              <w:left w:val="nil"/>
              <w:bottom w:val="single" w:sz="12" w:space="0" w:color="666666"/>
              <w:right w:val="nil"/>
            </w:tcBorders>
            <w:shd w:val="clear" w:color="auto" w:fill="92D050"/>
            <w:tcMar>
              <w:top w:w="0" w:type="dxa"/>
              <w:left w:w="0" w:type="dxa"/>
              <w:bottom w:w="0" w:type="dxa"/>
              <w:right w:w="0" w:type="dxa"/>
            </w:tcMar>
            <w:vAlign w:val="center"/>
          </w:tcPr>
          <w:p w14:paraId="4177D16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61.5</w:t>
            </w:r>
          </w:p>
        </w:tc>
        <w:tc>
          <w:tcPr>
            <w:tcW w:w="1777" w:type="dxa"/>
            <w:tcBorders>
              <w:top w:val="nil"/>
              <w:left w:val="nil"/>
              <w:bottom w:val="single" w:sz="12" w:space="0" w:color="666666"/>
              <w:right w:val="nil"/>
            </w:tcBorders>
            <w:shd w:val="clear" w:color="auto" w:fill="92D050"/>
            <w:tcMar>
              <w:top w:w="0" w:type="dxa"/>
              <w:left w:w="0" w:type="dxa"/>
              <w:bottom w:w="0" w:type="dxa"/>
              <w:right w:w="0" w:type="dxa"/>
            </w:tcMar>
          </w:tcPr>
          <w:p w14:paraId="2CA9FD9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sz w:val="16"/>
                <w:szCs w:val="16"/>
              </w:rPr>
              <w:t>Above Threshold</w:t>
            </w:r>
          </w:p>
        </w:tc>
        <w:tc>
          <w:tcPr>
            <w:tcW w:w="1196" w:type="dxa"/>
            <w:tcBorders>
              <w:top w:val="nil"/>
              <w:left w:val="nil"/>
              <w:bottom w:val="single" w:sz="12" w:space="0" w:color="666666"/>
              <w:right w:val="nil"/>
            </w:tcBorders>
            <w:shd w:val="clear" w:color="auto" w:fill="FFFFFF"/>
            <w:tcMar>
              <w:top w:w="0" w:type="dxa"/>
              <w:left w:w="0" w:type="dxa"/>
              <w:bottom w:w="0" w:type="dxa"/>
              <w:right w:w="0" w:type="dxa"/>
            </w:tcMar>
            <w:vAlign w:val="center"/>
          </w:tcPr>
          <w:p w14:paraId="10717BA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2</w:t>
            </w:r>
          </w:p>
        </w:tc>
        <w:tc>
          <w:tcPr>
            <w:tcW w:w="1146" w:type="dxa"/>
            <w:tcBorders>
              <w:top w:val="nil"/>
              <w:left w:val="nil"/>
              <w:bottom w:val="single" w:sz="12" w:space="0" w:color="666666"/>
              <w:right w:val="nil"/>
            </w:tcBorders>
            <w:shd w:val="clear" w:color="auto" w:fill="FFFFFF"/>
            <w:tcMar>
              <w:top w:w="0" w:type="dxa"/>
              <w:left w:w="0" w:type="dxa"/>
              <w:bottom w:w="0" w:type="dxa"/>
              <w:right w:w="0" w:type="dxa"/>
            </w:tcMar>
            <w:vAlign w:val="center"/>
          </w:tcPr>
          <w:p w14:paraId="6CA125D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485AF1">
              <w:rPr>
                <w:rFonts w:ascii="Arial" w:hAnsi="Arial" w:cs="Arial"/>
                <w:color w:val="000000"/>
                <w:sz w:val="16"/>
                <w:szCs w:val="16"/>
              </w:rPr>
              <w:t>1</w:t>
            </w:r>
          </w:p>
        </w:tc>
      </w:tr>
    </w:tbl>
    <w:p w14:paraId="62F189CA" w14:textId="46B866B9" w:rsidR="005D3BD0" w:rsidRDefault="005D3BD0" w:rsidP="00F63E10">
      <w:pPr>
        <w:jc w:val="center"/>
      </w:pPr>
    </w:p>
    <w:p w14:paraId="673FE605" w14:textId="77777777" w:rsidR="005D3BD0" w:rsidRDefault="005D3BD0" w:rsidP="005D3BD0">
      <w:pPr>
        <w:spacing w:before="0" w:after="160" w:line="259" w:lineRule="auto"/>
        <w:rPr>
          <w:b/>
        </w:rPr>
      </w:pPr>
      <w:r>
        <w:rPr>
          <w:b/>
        </w:rPr>
        <w:br w:type="page"/>
      </w:r>
    </w:p>
    <w:p w14:paraId="19682D47" w14:textId="3A94EEC4" w:rsidR="005D3BD0" w:rsidRDefault="005D3BD0" w:rsidP="005D3BD0">
      <w:pPr>
        <w:pStyle w:val="TableCaption"/>
      </w:pPr>
      <w:r>
        <w:rPr>
          <w:b/>
        </w:rPr>
        <w:lastRenderedPageBreak/>
        <w:t xml:space="preserve">Table </w:t>
      </w:r>
      <w:bookmarkStart w:id="7" w:name="unnamed-chunk-3"/>
      <w:r>
        <w:rPr>
          <w:b/>
        </w:rPr>
        <w:fldChar w:fldCharType="begin"/>
      </w:r>
      <w:r>
        <w:rPr>
          <w:b/>
        </w:rPr>
        <w:instrText>SEQ tab \* Arabic</w:instrText>
      </w:r>
      <w:r>
        <w:rPr>
          <w:b/>
        </w:rPr>
        <w:fldChar w:fldCharType="separate"/>
      </w:r>
      <w:r w:rsidR="00BE602E">
        <w:rPr>
          <w:b/>
          <w:noProof/>
        </w:rPr>
        <w:t>2</w:t>
      </w:r>
      <w:r>
        <w:rPr>
          <w:b/>
        </w:rPr>
        <w:fldChar w:fldCharType="end"/>
      </w:r>
      <w:bookmarkEnd w:id="7"/>
      <w:r>
        <w:t>: Harvest Strategy results for Central Zone SMUs, with suggested target catch ranges.</w:t>
      </w:r>
      <w:r w:rsidR="00CA300B">
        <w:t xml:space="preserve"> OT= Optimal Target.</w:t>
      </w:r>
    </w:p>
    <w:tbl>
      <w:tblPr>
        <w:tblW w:w="14065" w:type="dxa"/>
        <w:jc w:val="center"/>
        <w:tblLayout w:type="fixed"/>
        <w:tblLook w:val="04A0" w:firstRow="1" w:lastRow="0" w:firstColumn="1" w:lastColumn="0" w:noHBand="0" w:noVBand="1"/>
      </w:tblPr>
      <w:tblGrid>
        <w:gridCol w:w="1852"/>
        <w:gridCol w:w="926"/>
        <w:gridCol w:w="1110"/>
        <w:gridCol w:w="1074"/>
        <w:gridCol w:w="1488"/>
        <w:gridCol w:w="1220"/>
        <w:gridCol w:w="1002"/>
        <w:gridCol w:w="1142"/>
        <w:gridCol w:w="1589"/>
        <w:gridCol w:w="1366"/>
        <w:gridCol w:w="1296"/>
      </w:tblGrid>
      <w:tr w:rsidR="00485AF1" w:rsidRPr="00485AF1" w14:paraId="647ABB7E" w14:textId="77777777" w:rsidTr="00485AF1">
        <w:trPr>
          <w:tblHeader/>
          <w:jc w:val="center"/>
        </w:trPr>
        <w:tc>
          <w:tcPr>
            <w:tcW w:w="1852"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20B18CC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SMU</w:t>
            </w:r>
          </w:p>
        </w:tc>
        <w:tc>
          <w:tcPr>
            <w:tcW w:w="92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672143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4yr gradient</w:t>
            </w:r>
          </w:p>
        </w:tc>
        <w:tc>
          <w:tcPr>
            <w:tcW w:w="1110"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717E7A1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Primary Indicator</w:t>
            </w:r>
          </w:p>
        </w:tc>
        <w:tc>
          <w:tcPr>
            <w:tcW w:w="1074"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C1EA4B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2yr ratio</w:t>
            </w:r>
            <w:proofErr w:type="gramStart"/>
            <w:r w:rsidRPr="00485AF1">
              <w:rPr>
                <w:rFonts w:ascii="Arial" w:eastAsia="Arial" w:hAnsi="Arial" w:cs="Arial"/>
                <w:color w:val="000000"/>
                <w:sz w:val="16"/>
                <w:szCs w:val="16"/>
              </w:rPr>
              <w:t xml:space="preserve">   (</w:t>
            </w:r>
            <w:proofErr w:type="gramEnd"/>
            <w:r w:rsidRPr="00485AF1">
              <w:rPr>
                <w:rFonts w:ascii="Arial" w:eastAsia="Arial" w:hAnsi="Arial" w:cs="Arial"/>
                <w:color w:val="000000"/>
                <w:sz w:val="16"/>
                <w:szCs w:val="16"/>
              </w:rPr>
              <w:t>% change)</w:t>
            </w:r>
          </w:p>
        </w:tc>
        <w:tc>
          <w:tcPr>
            <w:tcW w:w="1488"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EA1CAB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Secondary Indicator</w:t>
            </w:r>
          </w:p>
        </w:tc>
        <w:tc>
          <w:tcPr>
            <w:tcW w:w="1220"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7FEB685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Primary Category</w:t>
            </w:r>
          </w:p>
        </w:tc>
        <w:tc>
          <w:tcPr>
            <w:tcW w:w="1002"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050F780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 xml:space="preserve">Tertiary Indicator  </w:t>
            </w:r>
          </w:p>
        </w:tc>
        <w:tc>
          <w:tcPr>
            <w:tcW w:w="1142"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3D7B651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Final Category</w:t>
            </w:r>
          </w:p>
        </w:tc>
        <w:tc>
          <w:tcPr>
            <w:tcW w:w="1589"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41E26CC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2024/25 Target Catch (OT, t)</w:t>
            </w:r>
          </w:p>
        </w:tc>
        <w:tc>
          <w:tcPr>
            <w:tcW w:w="136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2673584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Total catch, Lower (t)</w:t>
            </w:r>
          </w:p>
        </w:tc>
        <w:tc>
          <w:tcPr>
            <w:tcW w:w="129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320E2A5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Total catch, Upper (t)</w:t>
            </w:r>
          </w:p>
        </w:tc>
      </w:tr>
      <w:tr w:rsidR="00485AF1" w:rsidRPr="00485AF1" w14:paraId="55487D3D" w14:textId="77777777" w:rsidTr="00485AF1">
        <w:trPr>
          <w:jc w:val="center"/>
        </w:trPr>
        <w:tc>
          <w:tcPr>
            <w:tcW w:w="1852"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5377CEF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BACK BEACHES</w:t>
            </w:r>
          </w:p>
        </w:tc>
        <w:tc>
          <w:tcPr>
            <w:tcW w:w="92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364B3BF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5.30</w:t>
            </w:r>
          </w:p>
        </w:tc>
        <w:tc>
          <w:tcPr>
            <w:tcW w:w="1110"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7F49081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074"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2FC92B0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0.3</w:t>
            </w:r>
          </w:p>
        </w:tc>
        <w:tc>
          <w:tcPr>
            <w:tcW w:w="1488"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5383C9E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01E5D5D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002"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6949B66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4BE68B3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589" w:type="dxa"/>
            <w:tcBorders>
              <w:top w:val="single" w:sz="12" w:space="0" w:color="666666"/>
              <w:left w:val="nil"/>
              <w:bottom w:val="nil"/>
              <w:right w:val="nil"/>
            </w:tcBorders>
            <w:shd w:val="clear" w:color="auto" w:fill="FFFFFF"/>
            <w:tcMar>
              <w:top w:w="0" w:type="dxa"/>
              <w:left w:w="0" w:type="dxa"/>
              <w:bottom w:w="0" w:type="dxa"/>
              <w:right w:w="0" w:type="dxa"/>
            </w:tcMar>
            <w:vAlign w:val="bottom"/>
          </w:tcPr>
          <w:p w14:paraId="6676D37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41.5</w:t>
            </w:r>
          </w:p>
        </w:tc>
        <w:tc>
          <w:tcPr>
            <w:tcW w:w="1366" w:type="dxa"/>
            <w:tcBorders>
              <w:top w:val="single" w:sz="12" w:space="0" w:color="666666"/>
              <w:left w:val="nil"/>
              <w:bottom w:val="nil"/>
              <w:right w:val="nil"/>
            </w:tcBorders>
            <w:shd w:val="clear" w:color="auto" w:fill="FFFFFF"/>
            <w:tcMar>
              <w:top w:w="0" w:type="dxa"/>
              <w:left w:w="0" w:type="dxa"/>
              <w:bottom w:w="0" w:type="dxa"/>
              <w:right w:w="0" w:type="dxa"/>
            </w:tcMar>
          </w:tcPr>
          <w:p w14:paraId="779BF91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41.5, 43.6</w:t>
            </w:r>
          </w:p>
        </w:tc>
        <w:tc>
          <w:tcPr>
            <w:tcW w:w="1296" w:type="dxa"/>
            <w:tcBorders>
              <w:top w:val="single" w:sz="12" w:space="0" w:color="666666"/>
              <w:left w:val="nil"/>
              <w:bottom w:val="nil"/>
              <w:right w:val="nil"/>
            </w:tcBorders>
            <w:shd w:val="clear" w:color="auto" w:fill="FFFFFF"/>
            <w:tcMar>
              <w:top w:w="0" w:type="dxa"/>
              <w:left w:w="0" w:type="dxa"/>
              <w:bottom w:w="0" w:type="dxa"/>
              <w:right w:w="0" w:type="dxa"/>
            </w:tcMar>
          </w:tcPr>
          <w:p w14:paraId="35B0A8C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47.7, 51.9</w:t>
            </w:r>
          </w:p>
        </w:tc>
      </w:tr>
      <w:tr w:rsidR="00485AF1" w:rsidRPr="00485AF1" w14:paraId="16A54801"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58F972E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CAPE LIPTRAP</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74BA481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1.46</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296D307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5CEA0ED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-0.4</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1A48295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5D67DE2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74C16FC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3BEB072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427F455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9.4</w:t>
            </w:r>
          </w:p>
        </w:tc>
        <w:tc>
          <w:tcPr>
            <w:tcW w:w="1366" w:type="dxa"/>
            <w:tcBorders>
              <w:top w:val="nil"/>
              <w:left w:val="nil"/>
              <w:bottom w:val="nil"/>
              <w:right w:val="nil"/>
            </w:tcBorders>
            <w:shd w:val="clear" w:color="auto" w:fill="FFFFFF"/>
            <w:tcMar>
              <w:top w:w="0" w:type="dxa"/>
              <w:left w:w="0" w:type="dxa"/>
              <w:bottom w:w="0" w:type="dxa"/>
              <w:right w:w="0" w:type="dxa"/>
            </w:tcMar>
          </w:tcPr>
          <w:p w14:paraId="27947F2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8.9</w:t>
            </w:r>
          </w:p>
        </w:tc>
        <w:tc>
          <w:tcPr>
            <w:tcW w:w="1296" w:type="dxa"/>
            <w:tcBorders>
              <w:top w:val="nil"/>
              <w:left w:val="nil"/>
              <w:bottom w:val="nil"/>
              <w:right w:val="nil"/>
            </w:tcBorders>
            <w:shd w:val="clear" w:color="auto" w:fill="FFFFFF"/>
            <w:tcMar>
              <w:top w:w="0" w:type="dxa"/>
              <w:left w:w="0" w:type="dxa"/>
              <w:bottom w:w="0" w:type="dxa"/>
              <w:right w:w="0" w:type="dxa"/>
            </w:tcMar>
          </w:tcPr>
          <w:p w14:paraId="06DE3BB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9.9</w:t>
            </w:r>
          </w:p>
        </w:tc>
      </w:tr>
      <w:tr w:rsidR="00485AF1" w:rsidRPr="00485AF1" w14:paraId="534D496F"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5DC7F92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CAPE OTWAY</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5BADF5C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-0.15</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3BBABE5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0625E54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3.8</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76D9B96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19AB3BE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5925D47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1B5511B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299507E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49.0</w:t>
            </w:r>
          </w:p>
        </w:tc>
        <w:tc>
          <w:tcPr>
            <w:tcW w:w="1366" w:type="dxa"/>
            <w:tcBorders>
              <w:top w:val="nil"/>
              <w:left w:val="nil"/>
              <w:bottom w:val="nil"/>
              <w:right w:val="nil"/>
            </w:tcBorders>
            <w:shd w:val="clear" w:color="auto" w:fill="FFFFFF"/>
            <w:tcMar>
              <w:top w:w="0" w:type="dxa"/>
              <w:left w:w="0" w:type="dxa"/>
              <w:bottom w:w="0" w:type="dxa"/>
              <w:right w:w="0" w:type="dxa"/>
            </w:tcMar>
          </w:tcPr>
          <w:p w14:paraId="555BDBE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46.6</w:t>
            </w:r>
          </w:p>
        </w:tc>
        <w:tc>
          <w:tcPr>
            <w:tcW w:w="1296" w:type="dxa"/>
            <w:tcBorders>
              <w:top w:val="nil"/>
              <w:left w:val="nil"/>
              <w:bottom w:val="nil"/>
              <w:right w:val="nil"/>
            </w:tcBorders>
            <w:shd w:val="clear" w:color="auto" w:fill="FFFFFF"/>
            <w:tcMar>
              <w:top w:w="0" w:type="dxa"/>
              <w:left w:w="0" w:type="dxa"/>
              <w:bottom w:w="0" w:type="dxa"/>
              <w:right w:w="0" w:type="dxa"/>
            </w:tcMar>
          </w:tcPr>
          <w:p w14:paraId="40107B0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51.5</w:t>
            </w:r>
          </w:p>
        </w:tc>
      </w:tr>
      <w:tr w:rsidR="00485AF1" w:rsidRPr="00485AF1" w14:paraId="478B95F1"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57070B8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CLIFFY GROUP</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4451281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3.98</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787B8DC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36FA4D6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1.5</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3B78410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0F64B1B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2502AE7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72EB13A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3F5D7EA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4.7</w:t>
            </w:r>
          </w:p>
        </w:tc>
        <w:tc>
          <w:tcPr>
            <w:tcW w:w="1366" w:type="dxa"/>
            <w:tcBorders>
              <w:top w:val="nil"/>
              <w:left w:val="nil"/>
              <w:bottom w:val="nil"/>
              <w:right w:val="nil"/>
            </w:tcBorders>
            <w:shd w:val="clear" w:color="auto" w:fill="FFFFFF"/>
            <w:tcMar>
              <w:top w:w="0" w:type="dxa"/>
              <w:left w:w="0" w:type="dxa"/>
              <w:bottom w:w="0" w:type="dxa"/>
              <w:right w:w="0" w:type="dxa"/>
            </w:tcMar>
          </w:tcPr>
          <w:p w14:paraId="00D195A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4.5</w:t>
            </w:r>
          </w:p>
        </w:tc>
        <w:tc>
          <w:tcPr>
            <w:tcW w:w="1296" w:type="dxa"/>
            <w:tcBorders>
              <w:top w:val="nil"/>
              <w:left w:val="nil"/>
              <w:bottom w:val="nil"/>
              <w:right w:val="nil"/>
            </w:tcBorders>
            <w:shd w:val="clear" w:color="auto" w:fill="FFFFFF"/>
            <w:tcMar>
              <w:top w:w="0" w:type="dxa"/>
              <w:left w:w="0" w:type="dxa"/>
              <w:bottom w:w="0" w:type="dxa"/>
              <w:right w:w="0" w:type="dxa"/>
            </w:tcMar>
          </w:tcPr>
          <w:p w14:paraId="0367FE1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4.9</w:t>
            </w:r>
          </w:p>
        </w:tc>
      </w:tr>
      <w:tr w:rsidR="00485AF1" w:rsidRPr="00485AF1" w14:paraId="0AE58085"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51041ED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FLINDERS</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2620FCD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6.89</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5A90CE4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00462B2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5.8</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1EF3055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220" w:type="dxa"/>
            <w:tcBorders>
              <w:top w:val="nil"/>
              <w:left w:val="nil"/>
              <w:bottom w:val="nil"/>
              <w:right w:val="nil"/>
            </w:tcBorders>
            <w:shd w:val="clear" w:color="auto" w:fill="92D050"/>
            <w:tcMar>
              <w:top w:w="0" w:type="dxa"/>
              <w:left w:w="0" w:type="dxa"/>
              <w:bottom w:w="0" w:type="dxa"/>
              <w:right w:w="0" w:type="dxa"/>
            </w:tcMar>
            <w:vAlign w:val="center"/>
          </w:tcPr>
          <w:p w14:paraId="6C21741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5A704EA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92D050"/>
            <w:tcMar>
              <w:top w:w="0" w:type="dxa"/>
              <w:left w:w="0" w:type="dxa"/>
              <w:bottom w:w="0" w:type="dxa"/>
              <w:right w:w="0" w:type="dxa"/>
            </w:tcMar>
            <w:vAlign w:val="center"/>
          </w:tcPr>
          <w:p w14:paraId="21865FD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3B18A38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20.5</w:t>
            </w:r>
          </w:p>
        </w:tc>
        <w:tc>
          <w:tcPr>
            <w:tcW w:w="1366" w:type="dxa"/>
            <w:tcBorders>
              <w:top w:val="nil"/>
              <w:left w:val="nil"/>
              <w:bottom w:val="nil"/>
              <w:right w:val="nil"/>
            </w:tcBorders>
            <w:shd w:val="clear" w:color="auto" w:fill="FFFFFF"/>
            <w:tcMar>
              <w:top w:w="0" w:type="dxa"/>
              <w:left w:w="0" w:type="dxa"/>
              <w:bottom w:w="0" w:type="dxa"/>
              <w:right w:w="0" w:type="dxa"/>
            </w:tcMar>
          </w:tcPr>
          <w:p w14:paraId="3B45A69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20.5, 21.5</w:t>
            </w:r>
          </w:p>
        </w:tc>
        <w:tc>
          <w:tcPr>
            <w:tcW w:w="1296" w:type="dxa"/>
            <w:tcBorders>
              <w:top w:val="nil"/>
              <w:left w:val="nil"/>
              <w:bottom w:val="nil"/>
              <w:right w:val="nil"/>
            </w:tcBorders>
            <w:shd w:val="clear" w:color="auto" w:fill="FFFFFF"/>
            <w:tcMar>
              <w:top w:w="0" w:type="dxa"/>
              <w:left w:w="0" w:type="dxa"/>
              <w:bottom w:w="0" w:type="dxa"/>
              <w:right w:w="0" w:type="dxa"/>
            </w:tcMar>
          </w:tcPr>
          <w:p w14:paraId="7A14CC1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23.6, 25.6</w:t>
            </w:r>
          </w:p>
        </w:tc>
      </w:tr>
      <w:tr w:rsidR="00485AF1" w:rsidRPr="00485AF1" w14:paraId="38DD403A"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218027C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KILCUNDA</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4C83301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-0.77</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5FD80B8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7E3E8CC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-2.2</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40ABDFF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1CBB3A8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55C1314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6F8D0BC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110A6D2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9.3</w:t>
            </w:r>
          </w:p>
        </w:tc>
        <w:tc>
          <w:tcPr>
            <w:tcW w:w="1366" w:type="dxa"/>
            <w:tcBorders>
              <w:top w:val="nil"/>
              <w:left w:val="nil"/>
              <w:bottom w:val="nil"/>
              <w:right w:val="nil"/>
            </w:tcBorders>
            <w:shd w:val="clear" w:color="auto" w:fill="FFFFFF"/>
            <w:tcMar>
              <w:top w:w="0" w:type="dxa"/>
              <w:left w:w="0" w:type="dxa"/>
              <w:bottom w:w="0" w:type="dxa"/>
              <w:right w:w="0" w:type="dxa"/>
            </w:tcMar>
          </w:tcPr>
          <w:p w14:paraId="58091A3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8.8</w:t>
            </w:r>
          </w:p>
        </w:tc>
        <w:tc>
          <w:tcPr>
            <w:tcW w:w="1296" w:type="dxa"/>
            <w:tcBorders>
              <w:top w:val="nil"/>
              <w:left w:val="nil"/>
              <w:bottom w:val="nil"/>
              <w:right w:val="nil"/>
            </w:tcBorders>
            <w:shd w:val="clear" w:color="auto" w:fill="FFFFFF"/>
            <w:tcMar>
              <w:top w:w="0" w:type="dxa"/>
              <w:left w:w="0" w:type="dxa"/>
              <w:bottom w:w="0" w:type="dxa"/>
              <w:right w:w="0" w:type="dxa"/>
            </w:tcMar>
          </w:tcPr>
          <w:p w14:paraId="703EEB7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9.8</w:t>
            </w:r>
          </w:p>
        </w:tc>
      </w:tr>
      <w:tr w:rsidR="00485AF1" w:rsidRPr="00485AF1" w14:paraId="24E6C6F5"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1AF5C9D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PHILLIP ISLAND</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624DE02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8.27</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609C185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5F5ED75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4.1</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5476EEC1"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nil"/>
              <w:right w:val="nil"/>
            </w:tcBorders>
            <w:shd w:val="clear" w:color="auto" w:fill="92D050"/>
            <w:tcMar>
              <w:top w:w="0" w:type="dxa"/>
              <w:left w:w="0" w:type="dxa"/>
              <w:bottom w:w="0" w:type="dxa"/>
              <w:right w:w="0" w:type="dxa"/>
            </w:tcMar>
            <w:vAlign w:val="center"/>
          </w:tcPr>
          <w:p w14:paraId="71B2420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5E9BA6D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92D050"/>
            <w:tcMar>
              <w:top w:w="0" w:type="dxa"/>
              <w:left w:w="0" w:type="dxa"/>
              <w:bottom w:w="0" w:type="dxa"/>
              <w:right w:w="0" w:type="dxa"/>
            </w:tcMar>
            <w:vAlign w:val="center"/>
          </w:tcPr>
          <w:p w14:paraId="145C44A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Increasing</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32C347A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34.0</w:t>
            </w:r>
          </w:p>
        </w:tc>
        <w:tc>
          <w:tcPr>
            <w:tcW w:w="1366" w:type="dxa"/>
            <w:tcBorders>
              <w:top w:val="nil"/>
              <w:left w:val="nil"/>
              <w:bottom w:val="nil"/>
              <w:right w:val="nil"/>
            </w:tcBorders>
            <w:shd w:val="clear" w:color="auto" w:fill="FFFFFF"/>
            <w:tcMar>
              <w:top w:w="0" w:type="dxa"/>
              <w:left w:w="0" w:type="dxa"/>
              <w:bottom w:w="0" w:type="dxa"/>
              <w:right w:w="0" w:type="dxa"/>
            </w:tcMar>
          </w:tcPr>
          <w:p w14:paraId="08A0FBA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34.0, 35.7</w:t>
            </w:r>
          </w:p>
        </w:tc>
        <w:tc>
          <w:tcPr>
            <w:tcW w:w="1296" w:type="dxa"/>
            <w:tcBorders>
              <w:top w:val="nil"/>
              <w:left w:val="nil"/>
              <w:bottom w:val="nil"/>
              <w:right w:val="nil"/>
            </w:tcBorders>
            <w:shd w:val="clear" w:color="auto" w:fill="FFFFFF"/>
            <w:tcMar>
              <w:top w:w="0" w:type="dxa"/>
              <w:left w:w="0" w:type="dxa"/>
              <w:bottom w:w="0" w:type="dxa"/>
              <w:right w:w="0" w:type="dxa"/>
            </w:tcMar>
          </w:tcPr>
          <w:p w14:paraId="22E4218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39.1, 42.5</w:t>
            </w:r>
          </w:p>
        </w:tc>
      </w:tr>
      <w:tr w:rsidR="00485AF1" w:rsidRPr="00485AF1" w14:paraId="29DDE3D5"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446B5E1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PROM EASTSIDE</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6605CEA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2.49</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07D5DA4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32228D3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-0.2</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729020C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1E46CCDC"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1D2DE7E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0526ED9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4175EE8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4.8</w:t>
            </w:r>
          </w:p>
        </w:tc>
        <w:tc>
          <w:tcPr>
            <w:tcW w:w="1366" w:type="dxa"/>
            <w:tcBorders>
              <w:top w:val="nil"/>
              <w:left w:val="nil"/>
              <w:bottom w:val="nil"/>
              <w:right w:val="nil"/>
            </w:tcBorders>
            <w:shd w:val="clear" w:color="auto" w:fill="FFFFFF"/>
            <w:tcMar>
              <w:top w:w="0" w:type="dxa"/>
              <w:left w:w="0" w:type="dxa"/>
              <w:bottom w:w="0" w:type="dxa"/>
              <w:right w:w="0" w:type="dxa"/>
            </w:tcMar>
          </w:tcPr>
          <w:p w14:paraId="644BC89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4.1</w:t>
            </w:r>
          </w:p>
        </w:tc>
        <w:tc>
          <w:tcPr>
            <w:tcW w:w="1296" w:type="dxa"/>
            <w:tcBorders>
              <w:top w:val="nil"/>
              <w:left w:val="nil"/>
              <w:bottom w:val="nil"/>
              <w:right w:val="nil"/>
            </w:tcBorders>
            <w:shd w:val="clear" w:color="auto" w:fill="FFFFFF"/>
            <w:tcMar>
              <w:top w:w="0" w:type="dxa"/>
              <w:left w:w="0" w:type="dxa"/>
              <w:bottom w:w="0" w:type="dxa"/>
              <w:right w:w="0" w:type="dxa"/>
            </w:tcMar>
          </w:tcPr>
          <w:p w14:paraId="4A5B411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4.6</w:t>
            </w:r>
          </w:p>
        </w:tc>
      </w:tr>
      <w:tr w:rsidR="00485AF1" w:rsidRPr="00485AF1" w14:paraId="60756149"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407A243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PROM WESTSIDE</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28CD2B6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0.67</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6206CFD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3A5FE7C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-1.5</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0C4CCA5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78FB32C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57D8384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1CF43EA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6115843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21</w:t>
            </w:r>
          </w:p>
        </w:tc>
        <w:tc>
          <w:tcPr>
            <w:tcW w:w="1366" w:type="dxa"/>
            <w:tcBorders>
              <w:top w:val="nil"/>
              <w:left w:val="nil"/>
              <w:bottom w:val="nil"/>
              <w:right w:val="nil"/>
            </w:tcBorders>
            <w:shd w:val="clear" w:color="auto" w:fill="FFFFFF"/>
            <w:tcMar>
              <w:top w:w="0" w:type="dxa"/>
              <w:left w:w="0" w:type="dxa"/>
              <w:bottom w:w="0" w:type="dxa"/>
              <w:right w:w="0" w:type="dxa"/>
            </w:tcMar>
          </w:tcPr>
          <w:p w14:paraId="117DCDC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20.0</w:t>
            </w:r>
          </w:p>
        </w:tc>
        <w:tc>
          <w:tcPr>
            <w:tcW w:w="1296" w:type="dxa"/>
            <w:tcBorders>
              <w:top w:val="nil"/>
              <w:left w:val="nil"/>
              <w:bottom w:val="nil"/>
              <w:right w:val="nil"/>
            </w:tcBorders>
            <w:shd w:val="clear" w:color="auto" w:fill="FFFFFF"/>
            <w:tcMar>
              <w:top w:w="0" w:type="dxa"/>
              <w:left w:w="0" w:type="dxa"/>
              <w:bottom w:w="0" w:type="dxa"/>
              <w:right w:w="0" w:type="dxa"/>
            </w:tcMar>
          </w:tcPr>
          <w:p w14:paraId="224C340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22.1</w:t>
            </w:r>
          </w:p>
        </w:tc>
      </w:tr>
      <w:tr w:rsidR="00485AF1" w:rsidRPr="00485AF1" w14:paraId="1DC0E6DD" w14:textId="77777777" w:rsidTr="00485AF1">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12221ED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SHIPWRECK COAST</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4204DD9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4.98</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4FB6B7E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74" w:type="dxa"/>
            <w:tcBorders>
              <w:top w:val="nil"/>
              <w:left w:val="nil"/>
              <w:bottom w:val="nil"/>
              <w:right w:val="nil"/>
            </w:tcBorders>
            <w:shd w:val="clear" w:color="auto" w:fill="FFFFFF"/>
            <w:tcMar>
              <w:top w:w="0" w:type="dxa"/>
              <w:left w:w="0" w:type="dxa"/>
              <w:bottom w:w="0" w:type="dxa"/>
              <w:right w:w="0" w:type="dxa"/>
            </w:tcMar>
            <w:vAlign w:val="center"/>
          </w:tcPr>
          <w:p w14:paraId="2FB94FD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1.4</w:t>
            </w:r>
          </w:p>
        </w:tc>
        <w:tc>
          <w:tcPr>
            <w:tcW w:w="1488" w:type="dxa"/>
            <w:tcBorders>
              <w:top w:val="nil"/>
              <w:left w:val="nil"/>
              <w:bottom w:val="nil"/>
              <w:right w:val="nil"/>
            </w:tcBorders>
            <w:shd w:val="clear" w:color="auto" w:fill="FFFFFF"/>
            <w:tcMar>
              <w:top w:w="0" w:type="dxa"/>
              <w:left w:w="0" w:type="dxa"/>
              <w:bottom w:w="0" w:type="dxa"/>
              <w:right w:w="0" w:type="dxa"/>
            </w:tcMar>
            <w:vAlign w:val="center"/>
          </w:tcPr>
          <w:p w14:paraId="7339A74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05D422E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364B70A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072D78C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767E65E4"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29.2</w:t>
            </w:r>
          </w:p>
        </w:tc>
        <w:tc>
          <w:tcPr>
            <w:tcW w:w="1366" w:type="dxa"/>
            <w:tcBorders>
              <w:top w:val="nil"/>
              <w:left w:val="nil"/>
              <w:bottom w:val="nil"/>
              <w:right w:val="nil"/>
            </w:tcBorders>
            <w:shd w:val="clear" w:color="auto" w:fill="FFFFFF"/>
            <w:tcMar>
              <w:top w:w="0" w:type="dxa"/>
              <w:left w:w="0" w:type="dxa"/>
              <w:bottom w:w="0" w:type="dxa"/>
              <w:right w:w="0" w:type="dxa"/>
            </w:tcMar>
          </w:tcPr>
          <w:p w14:paraId="6A17DD9A"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27.7</w:t>
            </w:r>
          </w:p>
        </w:tc>
        <w:tc>
          <w:tcPr>
            <w:tcW w:w="1296" w:type="dxa"/>
            <w:tcBorders>
              <w:top w:val="nil"/>
              <w:left w:val="nil"/>
              <w:bottom w:val="nil"/>
              <w:right w:val="nil"/>
            </w:tcBorders>
            <w:shd w:val="clear" w:color="auto" w:fill="FFFFFF"/>
            <w:tcMar>
              <w:top w:w="0" w:type="dxa"/>
              <w:left w:w="0" w:type="dxa"/>
              <w:bottom w:w="0" w:type="dxa"/>
              <w:right w:w="0" w:type="dxa"/>
            </w:tcMar>
          </w:tcPr>
          <w:p w14:paraId="309D4DDD"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30.7</w:t>
            </w:r>
          </w:p>
        </w:tc>
      </w:tr>
      <w:tr w:rsidR="00485AF1" w:rsidRPr="00485AF1" w14:paraId="1E9091AC" w14:textId="77777777" w:rsidTr="00485AF1">
        <w:trPr>
          <w:jc w:val="center"/>
        </w:trPr>
        <w:tc>
          <w:tcPr>
            <w:tcW w:w="185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C655C0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SURFCOAST</w:t>
            </w:r>
          </w:p>
        </w:tc>
        <w:tc>
          <w:tcPr>
            <w:tcW w:w="92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787D3F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4.35</w:t>
            </w:r>
          </w:p>
        </w:tc>
        <w:tc>
          <w:tcPr>
            <w:tcW w:w="111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0DC057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74"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3C9C84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 xml:space="preserve"> 1.9</w:t>
            </w:r>
          </w:p>
        </w:tc>
        <w:tc>
          <w:tcPr>
            <w:tcW w:w="1488"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5F14E17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220" w:type="dxa"/>
            <w:tcBorders>
              <w:top w:val="nil"/>
              <w:left w:val="nil"/>
              <w:bottom w:val="single" w:sz="8" w:space="0" w:color="000000"/>
              <w:right w:val="nil"/>
            </w:tcBorders>
            <w:shd w:val="clear" w:color="auto" w:fill="FFFF00"/>
            <w:tcMar>
              <w:top w:w="0" w:type="dxa"/>
              <w:left w:w="0" w:type="dxa"/>
              <w:bottom w:w="0" w:type="dxa"/>
              <w:right w:w="0" w:type="dxa"/>
            </w:tcMar>
            <w:vAlign w:val="center"/>
          </w:tcPr>
          <w:p w14:paraId="3F19BF3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00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59C94A9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NA</w:t>
            </w:r>
          </w:p>
        </w:tc>
        <w:tc>
          <w:tcPr>
            <w:tcW w:w="1142" w:type="dxa"/>
            <w:tcBorders>
              <w:top w:val="nil"/>
              <w:left w:val="nil"/>
              <w:bottom w:val="single" w:sz="8" w:space="0" w:color="000000"/>
              <w:right w:val="nil"/>
            </w:tcBorders>
            <w:shd w:val="clear" w:color="auto" w:fill="FFFF00"/>
            <w:tcMar>
              <w:top w:w="0" w:type="dxa"/>
              <w:left w:w="0" w:type="dxa"/>
              <w:bottom w:w="0" w:type="dxa"/>
              <w:right w:w="0" w:type="dxa"/>
            </w:tcMar>
            <w:vAlign w:val="center"/>
          </w:tcPr>
          <w:p w14:paraId="1A3E6F4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Stable</w:t>
            </w:r>
          </w:p>
        </w:tc>
        <w:tc>
          <w:tcPr>
            <w:tcW w:w="1589"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83EA42B"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1.7</w:t>
            </w:r>
          </w:p>
        </w:tc>
        <w:tc>
          <w:tcPr>
            <w:tcW w:w="1366" w:type="dxa"/>
            <w:tcBorders>
              <w:top w:val="nil"/>
              <w:left w:val="nil"/>
              <w:bottom w:val="single" w:sz="8" w:space="0" w:color="000000"/>
              <w:right w:val="nil"/>
            </w:tcBorders>
            <w:shd w:val="clear" w:color="auto" w:fill="FFFFFF"/>
            <w:tcMar>
              <w:top w:w="0" w:type="dxa"/>
              <w:left w:w="0" w:type="dxa"/>
              <w:bottom w:w="0" w:type="dxa"/>
              <w:right w:w="0" w:type="dxa"/>
            </w:tcMar>
          </w:tcPr>
          <w:p w14:paraId="462CEF1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1.6</w:t>
            </w:r>
          </w:p>
        </w:tc>
        <w:tc>
          <w:tcPr>
            <w:tcW w:w="1296" w:type="dxa"/>
            <w:tcBorders>
              <w:top w:val="nil"/>
              <w:left w:val="nil"/>
              <w:bottom w:val="single" w:sz="8" w:space="0" w:color="000000"/>
              <w:right w:val="nil"/>
            </w:tcBorders>
            <w:shd w:val="clear" w:color="auto" w:fill="FFFFFF"/>
            <w:tcMar>
              <w:top w:w="0" w:type="dxa"/>
              <w:left w:w="0" w:type="dxa"/>
              <w:bottom w:w="0" w:type="dxa"/>
              <w:right w:w="0" w:type="dxa"/>
            </w:tcMar>
          </w:tcPr>
          <w:p w14:paraId="44DE488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485AF1">
              <w:rPr>
                <w:rFonts w:ascii="Arial" w:hAnsi="Arial" w:cs="Arial"/>
                <w:color w:val="000000"/>
                <w:sz w:val="16"/>
                <w:szCs w:val="16"/>
              </w:rPr>
              <w:t>1.8</w:t>
            </w:r>
          </w:p>
        </w:tc>
      </w:tr>
      <w:tr w:rsidR="00485AF1" w:rsidRPr="00485AF1" w14:paraId="0B3EE8D6" w14:textId="77777777" w:rsidTr="00485AF1">
        <w:trPr>
          <w:jc w:val="center"/>
        </w:trPr>
        <w:tc>
          <w:tcPr>
            <w:tcW w:w="1852"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2B314349"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eastAsia="Arial" w:hAnsi="Arial" w:cs="Arial"/>
                <w:color w:val="000000"/>
                <w:sz w:val="16"/>
                <w:szCs w:val="16"/>
              </w:rPr>
              <w:t>Total</w:t>
            </w:r>
          </w:p>
        </w:tc>
        <w:tc>
          <w:tcPr>
            <w:tcW w:w="926"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1BEF0C28"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10"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3CB21CB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074"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18039B0E"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488"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5D601903"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220"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4AAC7962"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002"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55B970A7"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42"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46239E85"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589"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bottom"/>
          </w:tcPr>
          <w:p w14:paraId="5F8524B6"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225.1</w:t>
            </w:r>
          </w:p>
        </w:tc>
        <w:tc>
          <w:tcPr>
            <w:tcW w:w="1366"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11DE5680"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218.2, 223.0</w:t>
            </w:r>
          </w:p>
        </w:tc>
        <w:tc>
          <w:tcPr>
            <w:tcW w:w="1296"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19A9340F" w14:textId="77777777" w:rsidR="00485AF1" w:rsidRPr="00485AF1" w:rsidRDefault="00485AF1"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485AF1">
              <w:rPr>
                <w:rFonts w:ascii="Arial" w:hAnsi="Arial" w:cs="Arial"/>
                <w:color w:val="000000"/>
                <w:sz w:val="16"/>
                <w:szCs w:val="16"/>
              </w:rPr>
              <w:t>245.7, 255.3</w:t>
            </w:r>
          </w:p>
        </w:tc>
      </w:tr>
    </w:tbl>
    <w:p w14:paraId="4C9DC001" w14:textId="436C7353" w:rsidR="005D3BD0" w:rsidRDefault="005D3BD0" w:rsidP="00F63E10">
      <w:pPr>
        <w:jc w:val="center"/>
      </w:pPr>
    </w:p>
    <w:p w14:paraId="0D7C1CDA" w14:textId="6D6B844D" w:rsidR="00485AF1" w:rsidRDefault="00485AF1">
      <w:pPr>
        <w:spacing w:before="0" w:after="160" w:line="259" w:lineRule="auto"/>
      </w:pPr>
      <w:r>
        <w:br w:type="page"/>
      </w:r>
    </w:p>
    <w:p w14:paraId="5998414A" w14:textId="77777777" w:rsidR="00485AF1" w:rsidRDefault="00485AF1" w:rsidP="00485AF1"/>
    <w:p w14:paraId="410D8F98" w14:textId="4EC9BEFB" w:rsidR="00485AF1" w:rsidRDefault="00485AF1" w:rsidP="00485AF1">
      <w:r>
        <w:rPr>
          <w:b/>
        </w:rPr>
        <w:t>Table 3</w:t>
      </w:r>
      <w:r>
        <w:t>: Nominal Reference Points (VFA 2019a) for Central Zone SMUs, mean annual CPUE from 2018 - 2023 and applicable catch control rules (CCR).</w:t>
      </w:r>
    </w:p>
    <w:tbl>
      <w:tblPr>
        <w:tblW w:w="14067" w:type="dxa"/>
        <w:jc w:val="center"/>
        <w:tblLayout w:type="fixed"/>
        <w:tblLook w:val="04A0" w:firstRow="1" w:lastRow="0" w:firstColumn="1" w:lastColumn="0" w:noHBand="0" w:noVBand="1"/>
      </w:tblPr>
      <w:tblGrid>
        <w:gridCol w:w="2041"/>
        <w:gridCol w:w="811"/>
        <w:gridCol w:w="1216"/>
        <w:gridCol w:w="1014"/>
        <w:gridCol w:w="811"/>
        <w:gridCol w:w="811"/>
        <w:gridCol w:w="811"/>
        <w:gridCol w:w="811"/>
        <w:gridCol w:w="811"/>
        <w:gridCol w:w="811"/>
        <w:gridCol w:w="1777"/>
        <w:gridCol w:w="1196"/>
        <w:gridCol w:w="1146"/>
      </w:tblGrid>
      <w:tr w:rsidR="00C7329F" w:rsidRPr="00C7329F" w14:paraId="2B10FEA4" w14:textId="77777777" w:rsidTr="00C7329F">
        <w:trPr>
          <w:tblHeader/>
          <w:jc w:val="center"/>
        </w:trPr>
        <w:tc>
          <w:tcPr>
            <w:tcW w:w="204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38868F6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SMU</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D3790C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Limit RP</w:t>
            </w:r>
          </w:p>
        </w:tc>
        <w:tc>
          <w:tcPr>
            <w:tcW w:w="121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77B8C9A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Threshold RP</w:t>
            </w:r>
          </w:p>
        </w:tc>
        <w:tc>
          <w:tcPr>
            <w:tcW w:w="1014"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071DC6F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Target RP</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C66D8C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2018</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30965AF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2019</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32BF94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2020</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906692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2021</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25FC4FD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2022</w:t>
            </w:r>
          </w:p>
        </w:tc>
        <w:tc>
          <w:tcPr>
            <w:tcW w:w="811"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B8FA2B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2023</w:t>
            </w:r>
          </w:p>
        </w:tc>
        <w:tc>
          <w:tcPr>
            <w:tcW w:w="1777"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3061A4B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Current Status</w:t>
            </w:r>
          </w:p>
        </w:tc>
        <w:tc>
          <w:tcPr>
            <w:tcW w:w="119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2CF7D0D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Years at Status</w:t>
            </w:r>
          </w:p>
        </w:tc>
        <w:tc>
          <w:tcPr>
            <w:tcW w:w="114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3A13F7A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C7329F">
              <w:rPr>
                <w:rFonts w:ascii="Arial" w:eastAsia="Arial" w:hAnsi="Arial" w:cs="Arial"/>
                <w:color w:val="000000"/>
                <w:sz w:val="16"/>
                <w:szCs w:val="16"/>
              </w:rPr>
              <w:t>CCR</w:t>
            </w:r>
          </w:p>
        </w:tc>
      </w:tr>
      <w:tr w:rsidR="00C7329F" w:rsidRPr="00C7329F" w14:paraId="75674F4B" w14:textId="77777777" w:rsidTr="00C7329F">
        <w:trPr>
          <w:jc w:val="center"/>
        </w:trPr>
        <w:tc>
          <w:tcPr>
            <w:tcW w:w="2041" w:type="dxa"/>
            <w:tcBorders>
              <w:top w:val="single" w:sz="12" w:space="0" w:color="666666"/>
              <w:left w:val="nil"/>
              <w:bottom w:val="nil"/>
              <w:right w:val="nil"/>
            </w:tcBorders>
            <w:shd w:val="clear" w:color="auto" w:fill="FFFFFF"/>
            <w:tcMar>
              <w:top w:w="0" w:type="dxa"/>
              <w:left w:w="0" w:type="dxa"/>
              <w:bottom w:w="0" w:type="dxa"/>
              <w:right w:w="0" w:type="dxa"/>
            </w:tcMar>
          </w:tcPr>
          <w:p w14:paraId="460590C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BACK BEACHES</w:t>
            </w:r>
          </w:p>
        </w:tc>
        <w:tc>
          <w:tcPr>
            <w:tcW w:w="811" w:type="dxa"/>
            <w:tcBorders>
              <w:top w:val="single" w:sz="12" w:space="0" w:color="666666"/>
              <w:left w:val="nil"/>
              <w:bottom w:val="nil"/>
              <w:right w:val="nil"/>
            </w:tcBorders>
            <w:shd w:val="clear" w:color="auto" w:fill="FFFFFF"/>
            <w:tcMar>
              <w:top w:w="0" w:type="dxa"/>
              <w:left w:w="0" w:type="dxa"/>
              <w:bottom w:w="0" w:type="dxa"/>
              <w:right w:w="0" w:type="dxa"/>
            </w:tcMar>
          </w:tcPr>
          <w:p w14:paraId="5E90DD4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50</w:t>
            </w:r>
          </w:p>
        </w:tc>
        <w:tc>
          <w:tcPr>
            <w:tcW w:w="1216" w:type="dxa"/>
            <w:tcBorders>
              <w:top w:val="single" w:sz="12" w:space="0" w:color="666666"/>
              <w:left w:val="nil"/>
              <w:bottom w:val="nil"/>
              <w:right w:val="nil"/>
            </w:tcBorders>
            <w:shd w:val="clear" w:color="auto" w:fill="FFFFFF"/>
            <w:tcMar>
              <w:top w:w="0" w:type="dxa"/>
              <w:left w:w="0" w:type="dxa"/>
              <w:bottom w:w="0" w:type="dxa"/>
              <w:right w:w="0" w:type="dxa"/>
            </w:tcMar>
          </w:tcPr>
          <w:p w14:paraId="7686516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70</w:t>
            </w:r>
          </w:p>
        </w:tc>
        <w:tc>
          <w:tcPr>
            <w:tcW w:w="1014" w:type="dxa"/>
            <w:tcBorders>
              <w:top w:val="single" w:sz="12" w:space="0" w:color="666666"/>
              <w:left w:val="nil"/>
              <w:bottom w:val="nil"/>
              <w:right w:val="nil"/>
            </w:tcBorders>
            <w:shd w:val="clear" w:color="auto" w:fill="FFFFFF"/>
            <w:tcMar>
              <w:top w:w="0" w:type="dxa"/>
              <w:left w:w="0" w:type="dxa"/>
              <w:bottom w:w="0" w:type="dxa"/>
              <w:right w:w="0" w:type="dxa"/>
            </w:tcMar>
          </w:tcPr>
          <w:p w14:paraId="19ED970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100</w:t>
            </w:r>
          </w:p>
        </w:tc>
        <w:tc>
          <w:tcPr>
            <w:tcW w:w="811" w:type="dxa"/>
            <w:tcBorders>
              <w:top w:val="single" w:sz="12" w:space="0" w:color="666666"/>
              <w:left w:val="nil"/>
              <w:bottom w:val="nil"/>
              <w:right w:val="nil"/>
            </w:tcBorders>
            <w:shd w:val="clear" w:color="auto" w:fill="FFFF00"/>
            <w:tcMar>
              <w:top w:w="0" w:type="dxa"/>
              <w:left w:w="0" w:type="dxa"/>
              <w:bottom w:w="0" w:type="dxa"/>
              <w:right w:w="0" w:type="dxa"/>
            </w:tcMar>
            <w:vAlign w:val="center"/>
          </w:tcPr>
          <w:p w14:paraId="4AC729B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67.1</w:t>
            </w:r>
          </w:p>
        </w:tc>
        <w:tc>
          <w:tcPr>
            <w:tcW w:w="811" w:type="dxa"/>
            <w:tcBorders>
              <w:top w:val="single" w:sz="12" w:space="0" w:color="666666"/>
              <w:left w:val="nil"/>
              <w:bottom w:val="nil"/>
              <w:right w:val="nil"/>
            </w:tcBorders>
            <w:shd w:val="clear" w:color="auto" w:fill="FFFF00"/>
            <w:tcMar>
              <w:top w:w="0" w:type="dxa"/>
              <w:left w:w="0" w:type="dxa"/>
              <w:bottom w:w="0" w:type="dxa"/>
              <w:right w:w="0" w:type="dxa"/>
            </w:tcMar>
            <w:vAlign w:val="center"/>
          </w:tcPr>
          <w:p w14:paraId="5598A40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65.0</w:t>
            </w:r>
          </w:p>
        </w:tc>
        <w:tc>
          <w:tcPr>
            <w:tcW w:w="811" w:type="dxa"/>
            <w:tcBorders>
              <w:top w:val="single" w:sz="12" w:space="0" w:color="666666"/>
              <w:left w:val="nil"/>
              <w:bottom w:val="nil"/>
              <w:right w:val="nil"/>
            </w:tcBorders>
            <w:shd w:val="clear" w:color="auto" w:fill="FFFF00"/>
            <w:tcMar>
              <w:top w:w="0" w:type="dxa"/>
              <w:left w:w="0" w:type="dxa"/>
              <w:bottom w:w="0" w:type="dxa"/>
              <w:right w:w="0" w:type="dxa"/>
            </w:tcMar>
            <w:vAlign w:val="center"/>
          </w:tcPr>
          <w:p w14:paraId="5BD98A1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68.8</w:t>
            </w:r>
          </w:p>
        </w:tc>
        <w:tc>
          <w:tcPr>
            <w:tcW w:w="811"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4394781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73.5</w:t>
            </w:r>
          </w:p>
        </w:tc>
        <w:tc>
          <w:tcPr>
            <w:tcW w:w="811"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31D0DAD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79.0</w:t>
            </w:r>
          </w:p>
        </w:tc>
        <w:tc>
          <w:tcPr>
            <w:tcW w:w="811"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3468FA1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79.3</w:t>
            </w:r>
          </w:p>
        </w:tc>
        <w:tc>
          <w:tcPr>
            <w:tcW w:w="1777" w:type="dxa"/>
            <w:tcBorders>
              <w:top w:val="single" w:sz="12" w:space="0" w:color="666666"/>
              <w:left w:val="nil"/>
              <w:bottom w:val="nil"/>
              <w:right w:val="nil"/>
            </w:tcBorders>
            <w:shd w:val="clear" w:color="auto" w:fill="92D050"/>
            <w:tcMar>
              <w:top w:w="0" w:type="dxa"/>
              <w:left w:w="0" w:type="dxa"/>
              <w:bottom w:w="0" w:type="dxa"/>
              <w:right w:w="0" w:type="dxa"/>
            </w:tcMar>
          </w:tcPr>
          <w:p w14:paraId="3A4F523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Above Threshold</w:t>
            </w:r>
          </w:p>
        </w:tc>
        <w:tc>
          <w:tcPr>
            <w:tcW w:w="119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10111C1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3</w:t>
            </w:r>
          </w:p>
        </w:tc>
        <w:tc>
          <w:tcPr>
            <w:tcW w:w="114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7B6F3C4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1 - 125%</w:t>
            </w:r>
          </w:p>
        </w:tc>
      </w:tr>
      <w:tr w:rsidR="00C7329F" w:rsidRPr="00C7329F" w14:paraId="7ABB71F8"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1759EDC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CAPE LIPTRAP</w:t>
            </w:r>
          </w:p>
        </w:tc>
        <w:tc>
          <w:tcPr>
            <w:tcW w:w="811" w:type="dxa"/>
            <w:tcBorders>
              <w:top w:val="nil"/>
              <w:left w:val="nil"/>
              <w:bottom w:val="nil"/>
              <w:right w:val="nil"/>
            </w:tcBorders>
            <w:shd w:val="clear" w:color="auto" w:fill="FFFFFF"/>
            <w:tcMar>
              <w:top w:w="0" w:type="dxa"/>
              <w:left w:w="0" w:type="dxa"/>
              <w:bottom w:w="0" w:type="dxa"/>
              <w:right w:w="0" w:type="dxa"/>
            </w:tcMar>
          </w:tcPr>
          <w:p w14:paraId="7002C22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tcPr>
          <w:p w14:paraId="34E039F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tcPr>
          <w:p w14:paraId="191CE89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120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0513A84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63.9</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5E2A45F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61.7</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6CBD13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62.9</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2426818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66.1</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442E6C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73.1</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459BA9D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72.8</w:t>
            </w:r>
          </w:p>
        </w:tc>
        <w:tc>
          <w:tcPr>
            <w:tcW w:w="1777" w:type="dxa"/>
            <w:tcBorders>
              <w:top w:val="nil"/>
              <w:left w:val="nil"/>
              <w:bottom w:val="nil"/>
              <w:right w:val="nil"/>
            </w:tcBorders>
            <w:shd w:val="clear" w:color="auto" w:fill="92D050"/>
            <w:tcMar>
              <w:top w:w="0" w:type="dxa"/>
              <w:left w:w="0" w:type="dxa"/>
              <w:bottom w:w="0" w:type="dxa"/>
              <w:right w:w="0" w:type="dxa"/>
            </w:tcMar>
          </w:tcPr>
          <w:p w14:paraId="7FCEB52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3809820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21</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5FCDF1A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w:t>
            </w:r>
          </w:p>
        </w:tc>
      </w:tr>
      <w:tr w:rsidR="00C7329F" w:rsidRPr="00C7329F" w14:paraId="5E6ECF53"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0410380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CAPE OTWAY</w:t>
            </w:r>
          </w:p>
        </w:tc>
        <w:tc>
          <w:tcPr>
            <w:tcW w:w="811" w:type="dxa"/>
            <w:tcBorders>
              <w:top w:val="nil"/>
              <w:left w:val="nil"/>
              <w:bottom w:val="nil"/>
              <w:right w:val="nil"/>
            </w:tcBorders>
            <w:shd w:val="clear" w:color="auto" w:fill="FFFFFF"/>
            <w:tcMar>
              <w:top w:w="0" w:type="dxa"/>
              <w:left w:w="0" w:type="dxa"/>
              <w:bottom w:w="0" w:type="dxa"/>
              <w:right w:w="0" w:type="dxa"/>
            </w:tcMar>
          </w:tcPr>
          <w:p w14:paraId="7D42EF0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50</w:t>
            </w:r>
          </w:p>
        </w:tc>
        <w:tc>
          <w:tcPr>
            <w:tcW w:w="1216" w:type="dxa"/>
            <w:tcBorders>
              <w:top w:val="nil"/>
              <w:left w:val="nil"/>
              <w:bottom w:val="nil"/>
              <w:right w:val="nil"/>
            </w:tcBorders>
            <w:shd w:val="clear" w:color="auto" w:fill="FFFFFF"/>
            <w:tcMar>
              <w:top w:w="0" w:type="dxa"/>
              <w:left w:w="0" w:type="dxa"/>
              <w:bottom w:w="0" w:type="dxa"/>
              <w:right w:w="0" w:type="dxa"/>
            </w:tcMar>
          </w:tcPr>
          <w:p w14:paraId="0BDA165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70</w:t>
            </w:r>
          </w:p>
        </w:tc>
        <w:tc>
          <w:tcPr>
            <w:tcW w:w="1014" w:type="dxa"/>
            <w:tcBorders>
              <w:top w:val="nil"/>
              <w:left w:val="nil"/>
              <w:bottom w:val="nil"/>
              <w:right w:val="nil"/>
            </w:tcBorders>
            <w:shd w:val="clear" w:color="auto" w:fill="FFFFFF"/>
            <w:tcMar>
              <w:top w:w="0" w:type="dxa"/>
              <w:left w:w="0" w:type="dxa"/>
              <w:bottom w:w="0" w:type="dxa"/>
              <w:right w:w="0" w:type="dxa"/>
            </w:tcMar>
          </w:tcPr>
          <w:p w14:paraId="48973C0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100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CE5C1A3" w14:textId="77777777" w:rsidR="00C7329F" w:rsidRPr="00C7329F" w:rsidRDefault="00C7329F" w:rsidP="008161A5">
            <w:pPr>
              <w:pBdr>
                <w:top w:val="none" w:sz="0" w:space="0" w:color="000000"/>
                <w:left w:val="none" w:sz="0" w:space="0" w:color="000000"/>
                <w:bottom w:val="none" w:sz="0" w:space="0" w:color="000000"/>
                <w:right w:val="none" w:sz="0" w:space="0" w:color="000000"/>
              </w:pBdr>
              <w:shd w:val="clear" w:color="auto" w:fill="92D050"/>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70.2</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45426AC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68.8</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2007F33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71.2</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6C098BE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70.9</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4548BC0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68.9</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261A79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71.5</w:t>
            </w:r>
          </w:p>
        </w:tc>
        <w:tc>
          <w:tcPr>
            <w:tcW w:w="1777" w:type="dxa"/>
            <w:tcBorders>
              <w:top w:val="nil"/>
              <w:left w:val="nil"/>
              <w:bottom w:val="nil"/>
              <w:right w:val="nil"/>
            </w:tcBorders>
            <w:shd w:val="clear" w:color="auto" w:fill="92D050"/>
            <w:tcMar>
              <w:top w:w="0" w:type="dxa"/>
              <w:left w:w="0" w:type="dxa"/>
              <w:bottom w:w="0" w:type="dxa"/>
              <w:right w:w="0" w:type="dxa"/>
            </w:tcMar>
          </w:tcPr>
          <w:p w14:paraId="47681AC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7FD8684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2C268FF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w:t>
            </w:r>
          </w:p>
        </w:tc>
      </w:tr>
      <w:tr w:rsidR="00C7329F" w:rsidRPr="00C7329F" w14:paraId="1C158E3A"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5C148B0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CLIFFY GROUP</w:t>
            </w:r>
          </w:p>
        </w:tc>
        <w:tc>
          <w:tcPr>
            <w:tcW w:w="811" w:type="dxa"/>
            <w:tcBorders>
              <w:top w:val="nil"/>
              <w:left w:val="nil"/>
              <w:bottom w:val="nil"/>
              <w:right w:val="nil"/>
            </w:tcBorders>
            <w:shd w:val="clear" w:color="auto" w:fill="FFFFFF"/>
            <w:tcMar>
              <w:top w:w="0" w:type="dxa"/>
              <w:left w:w="0" w:type="dxa"/>
              <w:bottom w:w="0" w:type="dxa"/>
              <w:right w:w="0" w:type="dxa"/>
            </w:tcMar>
          </w:tcPr>
          <w:p w14:paraId="1B2575C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tcPr>
          <w:p w14:paraId="07238FD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tcPr>
          <w:p w14:paraId="7A52B27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110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5195DE1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66.7</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D7513C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60.9</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0F85B9A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62.5</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830F4C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65.0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292BEC8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68.6</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51D0C2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69.6</w:t>
            </w:r>
          </w:p>
        </w:tc>
        <w:tc>
          <w:tcPr>
            <w:tcW w:w="1777" w:type="dxa"/>
            <w:tcBorders>
              <w:top w:val="nil"/>
              <w:left w:val="nil"/>
              <w:bottom w:val="nil"/>
              <w:right w:val="nil"/>
            </w:tcBorders>
            <w:shd w:val="clear" w:color="auto" w:fill="92D050"/>
            <w:tcMar>
              <w:top w:w="0" w:type="dxa"/>
              <w:left w:w="0" w:type="dxa"/>
              <w:bottom w:w="0" w:type="dxa"/>
              <w:right w:w="0" w:type="dxa"/>
            </w:tcMar>
          </w:tcPr>
          <w:p w14:paraId="1666D36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01C8337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21</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786A2B8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w:t>
            </w:r>
          </w:p>
        </w:tc>
      </w:tr>
      <w:tr w:rsidR="00C7329F" w:rsidRPr="00C7329F" w14:paraId="0D420ED3"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01FE14E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FLINDERS</w:t>
            </w:r>
          </w:p>
        </w:tc>
        <w:tc>
          <w:tcPr>
            <w:tcW w:w="811" w:type="dxa"/>
            <w:tcBorders>
              <w:top w:val="nil"/>
              <w:left w:val="nil"/>
              <w:bottom w:val="nil"/>
              <w:right w:val="nil"/>
            </w:tcBorders>
            <w:shd w:val="clear" w:color="auto" w:fill="FFFFFF"/>
            <w:tcMar>
              <w:top w:w="0" w:type="dxa"/>
              <w:left w:w="0" w:type="dxa"/>
              <w:bottom w:w="0" w:type="dxa"/>
              <w:right w:w="0" w:type="dxa"/>
            </w:tcMar>
          </w:tcPr>
          <w:p w14:paraId="0B75710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50</w:t>
            </w:r>
          </w:p>
        </w:tc>
        <w:tc>
          <w:tcPr>
            <w:tcW w:w="1216" w:type="dxa"/>
            <w:tcBorders>
              <w:top w:val="nil"/>
              <w:left w:val="nil"/>
              <w:bottom w:val="nil"/>
              <w:right w:val="nil"/>
            </w:tcBorders>
            <w:shd w:val="clear" w:color="auto" w:fill="FFFFFF"/>
            <w:tcMar>
              <w:top w:w="0" w:type="dxa"/>
              <w:left w:w="0" w:type="dxa"/>
              <w:bottom w:w="0" w:type="dxa"/>
              <w:right w:w="0" w:type="dxa"/>
            </w:tcMar>
          </w:tcPr>
          <w:p w14:paraId="337D3A5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70</w:t>
            </w:r>
          </w:p>
        </w:tc>
        <w:tc>
          <w:tcPr>
            <w:tcW w:w="1014" w:type="dxa"/>
            <w:tcBorders>
              <w:top w:val="nil"/>
              <w:left w:val="nil"/>
              <w:bottom w:val="nil"/>
              <w:right w:val="nil"/>
            </w:tcBorders>
            <w:shd w:val="clear" w:color="auto" w:fill="FFFFFF"/>
            <w:tcMar>
              <w:top w:w="0" w:type="dxa"/>
              <w:left w:w="0" w:type="dxa"/>
              <w:bottom w:w="0" w:type="dxa"/>
              <w:right w:w="0" w:type="dxa"/>
            </w:tcMar>
          </w:tcPr>
          <w:p w14:paraId="6632DEB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100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48966D3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56.3</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4DE842E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55.8</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625B57A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56.5</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653F9E2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66.0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54A3263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66.1</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11FEFDD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69.9</w:t>
            </w:r>
          </w:p>
        </w:tc>
        <w:tc>
          <w:tcPr>
            <w:tcW w:w="1777" w:type="dxa"/>
            <w:tcBorders>
              <w:top w:val="nil"/>
              <w:left w:val="nil"/>
              <w:bottom w:val="nil"/>
              <w:right w:val="nil"/>
            </w:tcBorders>
            <w:shd w:val="clear" w:color="auto" w:fill="FFFF00"/>
            <w:tcMar>
              <w:top w:w="0" w:type="dxa"/>
              <w:left w:w="0" w:type="dxa"/>
              <w:bottom w:w="0" w:type="dxa"/>
              <w:right w:w="0" w:type="dxa"/>
            </w:tcMar>
          </w:tcPr>
          <w:p w14:paraId="7E5C77A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Limit to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3C67CA2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18</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74C38E9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w:t>
            </w:r>
          </w:p>
        </w:tc>
      </w:tr>
      <w:tr w:rsidR="00C7329F" w:rsidRPr="00C7329F" w14:paraId="49A4E232"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3A3F71B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KILCUNDA</w:t>
            </w:r>
          </w:p>
        </w:tc>
        <w:tc>
          <w:tcPr>
            <w:tcW w:w="811" w:type="dxa"/>
            <w:tcBorders>
              <w:top w:val="nil"/>
              <w:left w:val="nil"/>
              <w:bottom w:val="nil"/>
              <w:right w:val="nil"/>
            </w:tcBorders>
            <w:shd w:val="clear" w:color="auto" w:fill="FFFFFF"/>
            <w:tcMar>
              <w:top w:w="0" w:type="dxa"/>
              <w:left w:w="0" w:type="dxa"/>
              <w:bottom w:w="0" w:type="dxa"/>
              <w:right w:w="0" w:type="dxa"/>
            </w:tcMar>
          </w:tcPr>
          <w:p w14:paraId="2EFA7B1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50</w:t>
            </w:r>
          </w:p>
        </w:tc>
        <w:tc>
          <w:tcPr>
            <w:tcW w:w="1216" w:type="dxa"/>
            <w:tcBorders>
              <w:top w:val="nil"/>
              <w:left w:val="nil"/>
              <w:bottom w:val="nil"/>
              <w:right w:val="nil"/>
            </w:tcBorders>
            <w:shd w:val="clear" w:color="auto" w:fill="FFFFFF"/>
            <w:tcMar>
              <w:top w:w="0" w:type="dxa"/>
              <w:left w:w="0" w:type="dxa"/>
              <w:bottom w:w="0" w:type="dxa"/>
              <w:right w:w="0" w:type="dxa"/>
            </w:tcMar>
          </w:tcPr>
          <w:p w14:paraId="5A519DC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70</w:t>
            </w:r>
          </w:p>
        </w:tc>
        <w:tc>
          <w:tcPr>
            <w:tcW w:w="1014" w:type="dxa"/>
            <w:tcBorders>
              <w:top w:val="nil"/>
              <w:left w:val="nil"/>
              <w:bottom w:val="nil"/>
              <w:right w:val="nil"/>
            </w:tcBorders>
            <w:shd w:val="clear" w:color="auto" w:fill="FFFFFF"/>
            <w:tcMar>
              <w:top w:w="0" w:type="dxa"/>
              <w:left w:w="0" w:type="dxa"/>
              <w:bottom w:w="0" w:type="dxa"/>
              <w:right w:w="0" w:type="dxa"/>
            </w:tcMar>
          </w:tcPr>
          <w:p w14:paraId="081F263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110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2E0947D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60.8</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35170B9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58.5</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5024173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60.7</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139C5D4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64.7</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70B2FF4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66.4</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1DF901A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64.9</w:t>
            </w:r>
          </w:p>
        </w:tc>
        <w:tc>
          <w:tcPr>
            <w:tcW w:w="1777" w:type="dxa"/>
            <w:tcBorders>
              <w:top w:val="nil"/>
              <w:left w:val="nil"/>
              <w:bottom w:val="nil"/>
              <w:right w:val="nil"/>
            </w:tcBorders>
            <w:shd w:val="clear" w:color="auto" w:fill="FFFF00"/>
            <w:tcMar>
              <w:top w:w="0" w:type="dxa"/>
              <w:left w:w="0" w:type="dxa"/>
              <w:bottom w:w="0" w:type="dxa"/>
              <w:right w:w="0" w:type="dxa"/>
            </w:tcMar>
          </w:tcPr>
          <w:p w14:paraId="74C0D44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Limit to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249DAB7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14</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4FC8139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w:t>
            </w:r>
          </w:p>
        </w:tc>
      </w:tr>
      <w:tr w:rsidR="00C7329F" w:rsidRPr="00C7329F" w14:paraId="4D49E20B"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55867D8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PHILLIP ISLAND</w:t>
            </w:r>
          </w:p>
        </w:tc>
        <w:tc>
          <w:tcPr>
            <w:tcW w:w="811" w:type="dxa"/>
            <w:tcBorders>
              <w:top w:val="nil"/>
              <w:left w:val="nil"/>
              <w:bottom w:val="nil"/>
              <w:right w:val="nil"/>
            </w:tcBorders>
            <w:shd w:val="clear" w:color="auto" w:fill="FFFFFF"/>
            <w:tcMar>
              <w:top w:w="0" w:type="dxa"/>
              <w:left w:w="0" w:type="dxa"/>
              <w:bottom w:w="0" w:type="dxa"/>
              <w:right w:w="0" w:type="dxa"/>
            </w:tcMar>
          </w:tcPr>
          <w:p w14:paraId="238B0E1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50</w:t>
            </w:r>
          </w:p>
        </w:tc>
        <w:tc>
          <w:tcPr>
            <w:tcW w:w="1216" w:type="dxa"/>
            <w:tcBorders>
              <w:top w:val="nil"/>
              <w:left w:val="nil"/>
              <w:bottom w:val="nil"/>
              <w:right w:val="nil"/>
            </w:tcBorders>
            <w:shd w:val="clear" w:color="auto" w:fill="FFFFFF"/>
            <w:tcMar>
              <w:top w:w="0" w:type="dxa"/>
              <w:left w:w="0" w:type="dxa"/>
              <w:bottom w:w="0" w:type="dxa"/>
              <w:right w:w="0" w:type="dxa"/>
            </w:tcMar>
          </w:tcPr>
          <w:p w14:paraId="28A97FD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70</w:t>
            </w:r>
          </w:p>
        </w:tc>
        <w:tc>
          <w:tcPr>
            <w:tcW w:w="1014" w:type="dxa"/>
            <w:tcBorders>
              <w:top w:val="nil"/>
              <w:left w:val="nil"/>
              <w:bottom w:val="nil"/>
              <w:right w:val="nil"/>
            </w:tcBorders>
            <w:shd w:val="clear" w:color="auto" w:fill="FFFFFF"/>
            <w:tcMar>
              <w:top w:w="0" w:type="dxa"/>
              <w:left w:w="0" w:type="dxa"/>
              <w:bottom w:w="0" w:type="dxa"/>
              <w:right w:w="0" w:type="dxa"/>
            </w:tcMar>
          </w:tcPr>
          <w:p w14:paraId="09997CD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110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6057575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60.4</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11BE7B8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61.1</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5395922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58.6</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2C13DCA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62.0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11048BE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69.3</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678986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72.2</w:t>
            </w:r>
          </w:p>
        </w:tc>
        <w:tc>
          <w:tcPr>
            <w:tcW w:w="1777" w:type="dxa"/>
            <w:tcBorders>
              <w:top w:val="nil"/>
              <w:left w:val="nil"/>
              <w:bottom w:val="nil"/>
              <w:right w:val="nil"/>
            </w:tcBorders>
            <w:shd w:val="clear" w:color="auto" w:fill="92D050"/>
            <w:tcMar>
              <w:top w:w="0" w:type="dxa"/>
              <w:left w:w="0" w:type="dxa"/>
              <w:bottom w:w="0" w:type="dxa"/>
              <w:right w:w="0" w:type="dxa"/>
            </w:tcMar>
          </w:tcPr>
          <w:p w14:paraId="0B7A8B3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773ABB6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3</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233542A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w:t>
            </w:r>
          </w:p>
        </w:tc>
      </w:tr>
      <w:tr w:rsidR="00C7329F" w:rsidRPr="00C7329F" w14:paraId="6E6B7C72"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2671ABB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PROM EASTSIDE</w:t>
            </w:r>
          </w:p>
        </w:tc>
        <w:tc>
          <w:tcPr>
            <w:tcW w:w="811" w:type="dxa"/>
            <w:tcBorders>
              <w:top w:val="nil"/>
              <w:left w:val="nil"/>
              <w:bottom w:val="nil"/>
              <w:right w:val="nil"/>
            </w:tcBorders>
            <w:shd w:val="clear" w:color="auto" w:fill="FFFFFF"/>
            <w:tcMar>
              <w:top w:w="0" w:type="dxa"/>
              <w:left w:w="0" w:type="dxa"/>
              <w:bottom w:w="0" w:type="dxa"/>
              <w:right w:w="0" w:type="dxa"/>
            </w:tcMar>
          </w:tcPr>
          <w:p w14:paraId="71D6798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tcPr>
          <w:p w14:paraId="4C002FC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50</w:t>
            </w:r>
          </w:p>
        </w:tc>
        <w:tc>
          <w:tcPr>
            <w:tcW w:w="1014" w:type="dxa"/>
            <w:tcBorders>
              <w:top w:val="nil"/>
              <w:left w:val="nil"/>
              <w:bottom w:val="nil"/>
              <w:right w:val="nil"/>
            </w:tcBorders>
            <w:shd w:val="clear" w:color="auto" w:fill="FFFFFF"/>
            <w:tcMar>
              <w:top w:w="0" w:type="dxa"/>
              <w:left w:w="0" w:type="dxa"/>
              <w:bottom w:w="0" w:type="dxa"/>
              <w:right w:w="0" w:type="dxa"/>
            </w:tcMar>
          </w:tcPr>
          <w:p w14:paraId="3E354D3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80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DE1119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52.0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5E6CFEC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47.7</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1676531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49.5</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545D469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51.0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19699DB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53.0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03D367C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52.9</w:t>
            </w:r>
          </w:p>
        </w:tc>
        <w:tc>
          <w:tcPr>
            <w:tcW w:w="1777" w:type="dxa"/>
            <w:tcBorders>
              <w:top w:val="nil"/>
              <w:left w:val="nil"/>
              <w:bottom w:val="nil"/>
              <w:right w:val="nil"/>
            </w:tcBorders>
            <w:shd w:val="clear" w:color="auto" w:fill="92D050"/>
            <w:tcMar>
              <w:top w:w="0" w:type="dxa"/>
              <w:left w:w="0" w:type="dxa"/>
              <w:bottom w:w="0" w:type="dxa"/>
              <w:right w:w="0" w:type="dxa"/>
            </w:tcMar>
          </w:tcPr>
          <w:p w14:paraId="60419E1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505A3C1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3</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30C0C5A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1</w:t>
            </w:r>
          </w:p>
        </w:tc>
      </w:tr>
      <w:tr w:rsidR="00C7329F" w:rsidRPr="00C7329F" w14:paraId="06D9AD8B"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2C92070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PROM WESTSIDE</w:t>
            </w:r>
          </w:p>
        </w:tc>
        <w:tc>
          <w:tcPr>
            <w:tcW w:w="811" w:type="dxa"/>
            <w:tcBorders>
              <w:top w:val="nil"/>
              <w:left w:val="nil"/>
              <w:bottom w:val="nil"/>
              <w:right w:val="nil"/>
            </w:tcBorders>
            <w:shd w:val="clear" w:color="auto" w:fill="FFFFFF"/>
            <w:tcMar>
              <w:top w:w="0" w:type="dxa"/>
              <w:left w:w="0" w:type="dxa"/>
              <w:bottom w:w="0" w:type="dxa"/>
              <w:right w:w="0" w:type="dxa"/>
            </w:tcMar>
          </w:tcPr>
          <w:p w14:paraId="792409F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50</w:t>
            </w:r>
          </w:p>
        </w:tc>
        <w:tc>
          <w:tcPr>
            <w:tcW w:w="1216" w:type="dxa"/>
            <w:tcBorders>
              <w:top w:val="nil"/>
              <w:left w:val="nil"/>
              <w:bottom w:val="nil"/>
              <w:right w:val="nil"/>
            </w:tcBorders>
            <w:shd w:val="clear" w:color="auto" w:fill="FFFFFF"/>
            <w:tcMar>
              <w:top w:w="0" w:type="dxa"/>
              <w:left w:w="0" w:type="dxa"/>
              <w:bottom w:w="0" w:type="dxa"/>
              <w:right w:w="0" w:type="dxa"/>
            </w:tcMar>
          </w:tcPr>
          <w:p w14:paraId="769FC0B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70</w:t>
            </w:r>
          </w:p>
        </w:tc>
        <w:tc>
          <w:tcPr>
            <w:tcW w:w="1014" w:type="dxa"/>
            <w:tcBorders>
              <w:top w:val="nil"/>
              <w:left w:val="nil"/>
              <w:bottom w:val="nil"/>
              <w:right w:val="nil"/>
            </w:tcBorders>
            <w:shd w:val="clear" w:color="auto" w:fill="FFFFFF"/>
            <w:tcMar>
              <w:top w:w="0" w:type="dxa"/>
              <w:left w:w="0" w:type="dxa"/>
              <w:bottom w:w="0" w:type="dxa"/>
              <w:right w:w="0" w:type="dxa"/>
            </w:tcMar>
          </w:tcPr>
          <w:p w14:paraId="69B21BD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100</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70E36A8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59.5</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5F7A082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53.5</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6797444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66.7</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3123A45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61.8</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3F64BF8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67.3</w:t>
            </w:r>
          </w:p>
        </w:tc>
        <w:tc>
          <w:tcPr>
            <w:tcW w:w="811" w:type="dxa"/>
            <w:tcBorders>
              <w:top w:val="nil"/>
              <w:left w:val="nil"/>
              <w:bottom w:val="nil"/>
              <w:right w:val="nil"/>
            </w:tcBorders>
            <w:shd w:val="clear" w:color="auto" w:fill="FFFF00"/>
            <w:tcMar>
              <w:top w:w="0" w:type="dxa"/>
              <w:left w:w="0" w:type="dxa"/>
              <w:bottom w:w="0" w:type="dxa"/>
              <w:right w:w="0" w:type="dxa"/>
            </w:tcMar>
            <w:vAlign w:val="center"/>
          </w:tcPr>
          <w:p w14:paraId="171465A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66.3</w:t>
            </w:r>
          </w:p>
        </w:tc>
        <w:tc>
          <w:tcPr>
            <w:tcW w:w="1777" w:type="dxa"/>
            <w:tcBorders>
              <w:top w:val="nil"/>
              <w:left w:val="nil"/>
              <w:bottom w:val="nil"/>
              <w:right w:val="nil"/>
            </w:tcBorders>
            <w:shd w:val="clear" w:color="auto" w:fill="FFFF00"/>
            <w:tcMar>
              <w:top w:w="0" w:type="dxa"/>
              <w:left w:w="0" w:type="dxa"/>
              <w:bottom w:w="0" w:type="dxa"/>
              <w:right w:w="0" w:type="dxa"/>
            </w:tcMar>
          </w:tcPr>
          <w:p w14:paraId="048D6A3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Limit to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403003E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13</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0D1201B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w:t>
            </w:r>
          </w:p>
        </w:tc>
      </w:tr>
      <w:tr w:rsidR="00C7329F" w:rsidRPr="00C7329F" w14:paraId="0EC73189" w14:textId="77777777" w:rsidTr="00C7329F">
        <w:trPr>
          <w:jc w:val="center"/>
        </w:trPr>
        <w:tc>
          <w:tcPr>
            <w:tcW w:w="2041" w:type="dxa"/>
            <w:tcBorders>
              <w:top w:val="nil"/>
              <w:left w:val="nil"/>
              <w:bottom w:val="nil"/>
              <w:right w:val="nil"/>
            </w:tcBorders>
            <w:shd w:val="clear" w:color="auto" w:fill="FFFFFF"/>
            <w:tcMar>
              <w:top w:w="0" w:type="dxa"/>
              <w:left w:w="0" w:type="dxa"/>
              <w:bottom w:w="0" w:type="dxa"/>
              <w:right w:w="0" w:type="dxa"/>
            </w:tcMar>
          </w:tcPr>
          <w:p w14:paraId="67E366F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SHIPWRECK COAST</w:t>
            </w:r>
          </w:p>
        </w:tc>
        <w:tc>
          <w:tcPr>
            <w:tcW w:w="811" w:type="dxa"/>
            <w:tcBorders>
              <w:top w:val="nil"/>
              <w:left w:val="nil"/>
              <w:bottom w:val="nil"/>
              <w:right w:val="nil"/>
            </w:tcBorders>
            <w:shd w:val="clear" w:color="auto" w:fill="FFFFFF"/>
            <w:tcMar>
              <w:top w:w="0" w:type="dxa"/>
              <w:left w:w="0" w:type="dxa"/>
              <w:bottom w:w="0" w:type="dxa"/>
              <w:right w:w="0" w:type="dxa"/>
            </w:tcMar>
          </w:tcPr>
          <w:p w14:paraId="19F1F7C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40</w:t>
            </w:r>
          </w:p>
        </w:tc>
        <w:tc>
          <w:tcPr>
            <w:tcW w:w="1216" w:type="dxa"/>
            <w:tcBorders>
              <w:top w:val="nil"/>
              <w:left w:val="nil"/>
              <w:bottom w:val="nil"/>
              <w:right w:val="nil"/>
            </w:tcBorders>
            <w:shd w:val="clear" w:color="auto" w:fill="FFFFFF"/>
            <w:tcMar>
              <w:top w:w="0" w:type="dxa"/>
              <w:left w:w="0" w:type="dxa"/>
              <w:bottom w:w="0" w:type="dxa"/>
              <w:right w:w="0" w:type="dxa"/>
            </w:tcMar>
          </w:tcPr>
          <w:p w14:paraId="72BB9CA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60</w:t>
            </w:r>
          </w:p>
        </w:tc>
        <w:tc>
          <w:tcPr>
            <w:tcW w:w="1014" w:type="dxa"/>
            <w:tcBorders>
              <w:top w:val="nil"/>
              <w:left w:val="nil"/>
              <w:bottom w:val="nil"/>
              <w:right w:val="nil"/>
            </w:tcBorders>
            <w:shd w:val="clear" w:color="auto" w:fill="FFFFFF"/>
            <w:tcMar>
              <w:top w:w="0" w:type="dxa"/>
              <w:left w:w="0" w:type="dxa"/>
              <w:bottom w:w="0" w:type="dxa"/>
              <w:right w:w="0" w:type="dxa"/>
            </w:tcMar>
          </w:tcPr>
          <w:p w14:paraId="2274B8B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130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2DDF68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97.2</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4846800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90.4</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53AADD1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83.6</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5CEFC26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96.0</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5027CA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96.6</w:t>
            </w:r>
          </w:p>
        </w:tc>
        <w:tc>
          <w:tcPr>
            <w:tcW w:w="811" w:type="dxa"/>
            <w:tcBorders>
              <w:top w:val="nil"/>
              <w:left w:val="nil"/>
              <w:bottom w:val="nil"/>
              <w:right w:val="nil"/>
            </w:tcBorders>
            <w:shd w:val="clear" w:color="auto" w:fill="92D050"/>
            <w:tcMar>
              <w:top w:w="0" w:type="dxa"/>
              <w:left w:w="0" w:type="dxa"/>
              <w:bottom w:w="0" w:type="dxa"/>
              <w:right w:w="0" w:type="dxa"/>
            </w:tcMar>
            <w:vAlign w:val="center"/>
          </w:tcPr>
          <w:p w14:paraId="7B740CB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97.9</w:t>
            </w:r>
          </w:p>
        </w:tc>
        <w:tc>
          <w:tcPr>
            <w:tcW w:w="1777" w:type="dxa"/>
            <w:tcBorders>
              <w:top w:val="nil"/>
              <w:left w:val="nil"/>
              <w:bottom w:val="nil"/>
              <w:right w:val="nil"/>
            </w:tcBorders>
            <w:shd w:val="clear" w:color="auto" w:fill="92D050"/>
            <w:tcMar>
              <w:top w:w="0" w:type="dxa"/>
              <w:left w:w="0" w:type="dxa"/>
              <w:bottom w:w="0" w:type="dxa"/>
              <w:right w:w="0" w:type="dxa"/>
            </w:tcMar>
          </w:tcPr>
          <w:p w14:paraId="2E17EB3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sz w:val="16"/>
                <w:szCs w:val="16"/>
              </w:rPr>
              <w:t>Above Threshold</w:t>
            </w:r>
          </w:p>
        </w:tc>
        <w:tc>
          <w:tcPr>
            <w:tcW w:w="1196" w:type="dxa"/>
            <w:tcBorders>
              <w:top w:val="nil"/>
              <w:left w:val="nil"/>
              <w:bottom w:val="nil"/>
              <w:right w:val="nil"/>
            </w:tcBorders>
            <w:shd w:val="clear" w:color="auto" w:fill="FFFFFF"/>
            <w:tcMar>
              <w:top w:w="0" w:type="dxa"/>
              <w:left w:w="0" w:type="dxa"/>
              <w:bottom w:w="0" w:type="dxa"/>
              <w:right w:w="0" w:type="dxa"/>
            </w:tcMar>
            <w:vAlign w:val="center"/>
          </w:tcPr>
          <w:p w14:paraId="66A6B19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21</w:t>
            </w:r>
          </w:p>
        </w:tc>
        <w:tc>
          <w:tcPr>
            <w:tcW w:w="1146" w:type="dxa"/>
            <w:tcBorders>
              <w:top w:val="nil"/>
              <w:left w:val="nil"/>
              <w:bottom w:val="nil"/>
              <w:right w:val="nil"/>
            </w:tcBorders>
            <w:shd w:val="clear" w:color="auto" w:fill="FFFFFF"/>
            <w:tcMar>
              <w:top w:w="0" w:type="dxa"/>
              <w:left w:w="0" w:type="dxa"/>
              <w:bottom w:w="0" w:type="dxa"/>
              <w:right w:w="0" w:type="dxa"/>
            </w:tcMar>
            <w:vAlign w:val="center"/>
          </w:tcPr>
          <w:p w14:paraId="23F87C5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w:t>
            </w:r>
          </w:p>
        </w:tc>
      </w:tr>
      <w:tr w:rsidR="00C7329F" w:rsidRPr="00C7329F" w14:paraId="350E6279" w14:textId="77777777" w:rsidTr="00C7329F">
        <w:trPr>
          <w:jc w:val="center"/>
        </w:trPr>
        <w:tc>
          <w:tcPr>
            <w:tcW w:w="2041" w:type="dxa"/>
            <w:tcBorders>
              <w:top w:val="nil"/>
              <w:left w:val="nil"/>
              <w:bottom w:val="single" w:sz="12" w:space="0" w:color="666666"/>
              <w:right w:val="nil"/>
            </w:tcBorders>
            <w:shd w:val="clear" w:color="auto" w:fill="FFFFFF"/>
            <w:tcMar>
              <w:top w:w="0" w:type="dxa"/>
              <w:left w:w="0" w:type="dxa"/>
              <w:bottom w:w="0" w:type="dxa"/>
              <w:right w:w="0" w:type="dxa"/>
            </w:tcMar>
          </w:tcPr>
          <w:p w14:paraId="0AC4080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SURFCOAST</w:t>
            </w:r>
          </w:p>
        </w:tc>
        <w:tc>
          <w:tcPr>
            <w:tcW w:w="811" w:type="dxa"/>
            <w:tcBorders>
              <w:top w:val="nil"/>
              <w:left w:val="nil"/>
              <w:bottom w:val="single" w:sz="12" w:space="0" w:color="666666"/>
              <w:right w:val="nil"/>
            </w:tcBorders>
            <w:shd w:val="clear" w:color="auto" w:fill="FFFFFF"/>
            <w:tcMar>
              <w:top w:w="0" w:type="dxa"/>
              <w:left w:w="0" w:type="dxa"/>
              <w:bottom w:w="0" w:type="dxa"/>
              <w:right w:w="0" w:type="dxa"/>
            </w:tcMar>
          </w:tcPr>
          <w:p w14:paraId="1D748AF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40</w:t>
            </w:r>
          </w:p>
        </w:tc>
        <w:tc>
          <w:tcPr>
            <w:tcW w:w="1216" w:type="dxa"/>
            <w:tcBorders>
              <w:top w:val="nil"/>
              <w:left w:val="nil"/>
              <w:bottom w:val="single" w:sz="12" w:space="0" w:color="666666"/>
              <w:right w:val="nil"/>
            </w:tcBorders>
            <w:shd w:val="clear" w:color="auto" w:fill="FFFFFF"/>
            <w:tcMar>
              <w:top w:w="0" w:type="dxa"/>
              <w:left w:w="0" w:type="dxa"/>
              <w:bottom w:w="0" w:type="dxa"/>
              <w:right w:w="0" w:type="dxa"/>
            </w:tcMar>
          </w:tcPr>
          <w:p w14:paraId="1B034BA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60</w:t>
            </w:r>
          </w:p>
        </w:tc>
        <w:tc>
          <w:tcPr>
            <w:tcW w:w="1014" w:type="dxa"/>
            <w:tcBorders>
              <w:top w:val="nil"/>
              <w:left w:val="nil"/>
              <w:bottom w:val="single" w:sz="12" w:space="0" w:color="666666"/>
              <w:right w:val="nil"/>
            </w:tcBorders>
            <w:shd w:val="clear" w:color="auto" w:fill="FFFFFF"/>
            <w:tcMar>
              <w:top w:w="0" w:type="dxa"/>
              <w:left w:w="0" w:type="dxa"/>
              <w:bottom w:w="0" w:type="dxa"/>
              <w:right w:w="0" w:type="dxa"/>
            </w:tcMar>
          </w:tcPr>
          <w:p w14:paraId="687AAC3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70</w:t>
            </w:r>
          </w:p>
        </w:tc>
        <w:tc>
          <w:tcPr>
            <w:tcW w:w="811" w:type="dxa"/>
            <w:tcBorders>
              <w:top w:val="nil"/>
              <w:left w:val="nil"/>
              <w:bottom w:val="single" w:sz="12" w:space="0" w:color="666666"/>
              <w:right w:val="nil"/>
            </w:tcBorders>
            <w:shd w:val="clear" w:color="auto" w:fill="FFFF00"/>
            <w:tcMar>
              <w:top w:w="0" w:type="dxa"/>
              <w:left w:w="0" w:type="dxa"/>
              <w:bottom w:w="0" w:type="dxa"/>
              <w:right w:w="0" w:type="dxa"/>
            </w:tcMar>
            <w:vAlign w:val="center"/>
          </w:tcPr>
          <w:p w14:paraId="452DDD0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51.7</w:t>
            </w:r>
          </w:p>
        </w:tc>
        <w:tc>
          <w:tcPr>
            <w:tcW w:w="811" w:type="dxa"/>
            <w:tcBorders>
              <w:top w:val="nil"/>
              <w:left w:val="nil"/>
              <w:bottom w:val="single" w:sz="12" w:space="0" w:color="666666"/>
              <w:right w:val="nil"/>
            </w:tcBorders>
            <w:shd w:val="clear" w:color="auto" w:fill="FFFF00"/>
            <w:tcMar>
              <w:top w:w="0" w:type="dxa"/>
              <w:left w:w="0" w:type="dxa"/>
              <w:bottom w:w="0" w:type="dxa"/>
              <w:right w:w="0" w:type="dxa"/>
            </w:tcMar>
            <w:vAlign w:val="center"/>
          </w:tcPr>
          <w:p w14:paraId="0B85129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54.2</w:t>
            </w:r>
          </w:p>
        </w:tc>
        <w:tc>
          <w:tcPr>
            <w:tcW w:w="811" w:type="dxa"/>
            <w:tcBorders>
              <w:top w:val="nil"/>
              <w:left w:val="nil"/>
              <w:bottom w:val="single" w:sz="12" w:space="0" w:color="666666"/>
              <w:right w:val="nil"/>
            </w:tcBorders>
            <w:shd w:val="clear" w:color="auto" w:fill="FFFF00"/>
            <w:tcMar>
              <w:top w:w="0" w:type="dxa"/>
              <w:left w:w="0" w:type="dxa"/>
              <w:bottom w:w="0" w:type="dxa"/>
              <w:right w:w="0" w:type="dxa"/>
            </w:tcMar>
            <w:vAlign w:val="center"/>
          </w:tcPr>
          <w:p w14:paraId="0B27C5F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55.4</w:t>
            </w:r>
          </w:p>
        </w:tc>
        <w:tc>
          <w:tcPr>
            <w:tcW w:w="811" w:type="dxa"/>
            <w:tcBorders>
              <w:top w:val="nil"/>
              <w:left w:val="nil"/>
              <w:bottom w:val="single" w:sz="12" w:space="0" w:color="666666"/>
              <w:right w:val="nil"/>
            </w:tcBorders>
            <w:shd w:val="clear" w:color="auto" w:fill="FFFF00"/>
            <w:tcMar>
              <w:top w:w="0" w:type="dxa"/>
              <w:left w:w="0" w:type="dxa"/>
              <w:bottom w:w="0" w:type="dxa"/>
              <w:right w:w="0" w:type="dxa"/>
            </w:tcMar>
            <w:vAlign w:val="center"/>
          </w:tcPr>
          <w:p w14:paraId="0FE144C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54.7</w:t>
            </w:r>
          </w:p>
        </w:tc>
        <w:tc>
          <w:tcPr>
            <w:tcW w:w="811" w:type="dxa"/>
            <w:tcBorders>
              <w:top w:val="nil"/>
              <w:left w:val="nil"/>
              <w:bottom w:val="single" w:sz="12" w:space="0" w:color="666666"/>
              <w:right w:val="nil"/>
            </w:tcBorders>
            <w:shd w:val="clear" w:color="auto" w:fill="92D050"/>
            <w:tcMar>
              <w:top w:w="0" w:type="dxa"/>
              <w:left w:w="0" w:type="dxa"/>
              <w:bottom w:w="0" w:type="dxa"/>
              <w:right w:w="0" w:type="dxa"/>
            </w:tcMar>
            <w:vAlign w:val="center"/>
          </w:tcPr>
          <w:p w14:paraId="50196AA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60.3</w:t>
            </w:r>
          </w:p>
        </w:tc>
        <w:tc>
          <w:tcPr>
            <w:tcW w:w="811" w:type="dxa"/>
            <w:tcBorders>
              <w:top w:val="nil"/>
              <w:left w:val="nil"/>
              <w:bottom w:val="single" w:sz="12" w:space="0" w:color="666666"/>
              <w:right w:val="nil"/>
            </w:tcBorders>
            <w:shd w:val="clear" w:color="auto" w:fill="92D050"/>
            <w:tcMar>
              <w:top w:w="0" w:type="dxa"/>
              <w:left w:w="0" w:type="dxa"/>
              <w:bottom w:w="0" w:type="dxa"/>
              <w:right w:w="0" w:type="dxa"/>
            </w:tcMar>
            <w:vAlign w:val="center"/>
          </w:tcPr>
          <w:p w14:paraId="7A1D5E0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61.5</w:t>
            </w:r>
          </w:p>
        </w:tc>
        <w:tc>
          <w:tcPr>
            <w:tcW w:w="1777" w:type="dxa"/>
            <w:tcBorders>
              <w:top w:val="nil"/>
              <w:left w:val="nil"/>
              <w:bottom w:val="single" w:sz="12" w:space="0" w:color="666666"/>
              <w:right w:val="nil"/>
            </w:tcBorders>
            <w:shd w:val="clear" w:color="auto" w:fill="92D050"/>
            <w:tcMar>
              <w:top w:w="0" w:type="dxa"/>
              <w:left w:w="0" w:type="dxa"/>
              <w:bottom w:w="0" w:type="dxa"/>
              <w:right w:w="0" w:type="dxa"/>
            </w:tcMar>
          </w:tcPr>
          <w:p w14:paraId="53AC6EA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sz w:val="16"/>
                <w:szCs w:val="16"/>
              </w:rPr>
              <w:t>Above Threshold</w:t>
            </w:r>
          </w:p>
        </w:tc>
        <w:tc>
          <w:tcPr>
            <w:tcW w:w="1196" w:type="dxa"/>
            <w:tcBorders>
              <w:top w:val="nil"/>
              <w:left w:val="nil"/>
              <w:bottom w:val="single" w:sz="12" w:space="0" w:color="666666"/>
              <w:right w:val="nil"/>
            </w:tcBorders>
            <w:shd w:val="clear" w:color="auto" w:fill="FFFFFF"/>
            <w:tcMar>
              <w:top w:w="0" w:type="dxa"/>
              <w:left w:w="0" w:type="dxa"/>
              <w:bottom w:w="0" w:type="dxa"/>
              <w:right w:w="0" w:type="dxa"/>
            </w:tcMar>
            <w:vAlign w:val="center"/>
          </w:tcPr>
          <w:p w14:paraId="191E0DA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2</w:t>
            </w:r>
          </w:p>
        </w:tc>
        <w:tc>
          <w:tcPr>
            <w:tcW w:w="1146" w:type="dxa"/>
            <w:tcBorders>
              <w:top w:val="nil"/>
              <w:left w:val="nil"/>
              <w:bottom w:val="single" w:sz="12" w:space="0" w:color="666666"/>
              <w:right w:val="nil"/>
            </w:tcBorders>
            <w:shd w:val="clear" w:color="auto" w:fill="FFFFFF"/>
            <w:tcMar>
              <w:top w:w="0" w:type="dxa"/>
              <w:left w:w="0" w:type="dxa"/>
              <w:bottom w:w="0" w:type="dxa"/>
              <w:right w:w="0" w:type="dxa"/>
            </w:tcMar>
            <w:vAlign w:val="center"/>
          </w:tcPr>
          <w:p w14:paraId="30FEABB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sz w:val="16"/>
                <w:szCs w:val="16"/>
              </w:rPr>
            </w:pPr>
            <w:r w:rsidRPr="00C7329F">
              <w:rPr>
                <w:rFonts w:ascii="Arial" w:hAnsi="Arial" w:cs="Arial"/>
                <w:color w:val="000000"/>
                <w:sz w:val="16"/>
                <w:szCs w:val="16"/>
              </w:rPr>
              <w:t>1</w:t>
            </w:r>
          </w:p>
        </w:tc>
      </w:tr>
    </w:tbl>
    <w:p w14:paraId="03812F60" w14:textId="77777777" w:rsidR="00485AF1" w:rsidRDefault="00485AF1" w:rsidP="00485AF1">
      <w:pPr>
        <w:jc w:val="center"/>
      </w:pPr>
    </w:p>
    <w:p w14:paraId="0E032229" w14:textId="77777777" w:rsidR="00485AF1" w:rsidRDefault="00485AF1" w:rsidP="00485AF1">
      <w:pPr>
        <w:spacing w:before="0" w:after="160" w:line="259" w:lineRule="auto"/>
        <w:rPr>
          <w:b/>
        </w:rPr>
      </w:pPr>
      <w:r>
        <w:rPr>
          <w:b/>
        </w:rPr>
        <w:br w:type="page"/>
      </w:r>
    </w:p>
    <w:p w14:paraId="29423FC9" w14:textId="11E752AE" w:rsidR="00485AF1" w:rsidRDefault="00485AF1" w:rsidP="00485AF1">
      <w:pPr>
        <w:pStyle w:val="TableCaption"/>
      </w:pPr>
      <w:r>
        <w:rPr>
          <w:b/>
        </w:rPr>
        <w:lastRenderedPageBreak/>
        <w:t>Table 4</w:t>
      </w:r>
      <w:r>
        <w:t>: Harvest Strategy results for nominal Reference Points for Central Zone SMUs, with suggested target catch ranges. OT= Optimal Target.</w:t>
      </w:r>
    </w:p>
    <w:tbl>
      <w:tblPr>
        <w:tblW w:w="14065" w:type="dxa"/>
        <w:jc w:val="center"/>
        <w:tblLayout w:type="fixed"/>
        <w:tblLook w:val="04A0" w:firstRow="1" w:lastRow="0" w:firstColumn="1" w:lastColumn="0" w:noHBand="0" w:noVBand="1"/>
      </w:tblPr>
      <w:tblGrid>
        <w:gridCol w:w="1852"/>
        <w:gridCol w:w="926"/>
        <w:gridCol w:w="1110"/>
        <w:gridCol w:w="1266"/>
        <w:gridCol w:w="1296"/>
        <w:gridCol w:w="1220"/>
        <w:gridCol w:w="1002"/>
        <w:gridCol w:w="1142"/>
        <w:gridCol w:w="1589"/>
        <w:gridCol w:w="1366"/>
        <w:gridCol w:w="1296"/>
      </w:tblGrid>
      <w:tr w:rsidR="00C7329F" w:rsidRPr="00C7329F" w14:paraId="1BFAF8EA" w14:textId="77777777" w:rsidTr="00C7329F">
        <w:trPr>
          <w:tblHeader/>
          <w:jc w:val="center"/>
        </w:trPr>
        <w:tc>
          <w:tcPr>
            <w:tcW w:w="1852"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00B529A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SMU</w:t>
            </w:r>
          </w:p>
        </w:tc>
        <w:tc>
          <w:tcPr>
            <w:tcW w:w="92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410C066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4yr gradient</w:t>
            </w:r>
          </w:p>
        </w:tc>
        <w:tc>
          <w:tcPr>
            <w:tcW w:w="1110"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055E2DE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Primary Indicator</w:t>
            </w:r>
          </w:p>
        </w:tc>
        <w:tc>
          <w:tcPr>
            <w:tcW w:w="126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0913DABA" w14:textId="3E1C391A"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 xml:space="preserve">2yr ratio  </w:t>
            </w:r>
            <w:r w:rsidR="00BD6B8C">
              <w:rPr>
                <w:rFonts w:ascii="Arial" w:eastAsia="Arial" w:hAnsi="Arial" w:cs="Arial"/>
                <w:color w:val="000000"/>
                <w:sz w:val="16"/>
                <w:szCs w:val="16"/>
              </w:rPr>
              <w:t xml:space="preserve">  </w:t>
            </w:r>
            <w:proofErr w:type="gramStart"/>
            <w:r w:rsidR="00BD6B8C">
              <w:rPr>
                <w:rFonts w:ascii="Arial" w:eastAsia="Arial" w:hAnsi="Arial" w:cs="Arial"/>
                <w:color w:val="000000"/>
                <w:sz w:val="16"/>
                <w:szCs w:val="16"/>
              </w:rPr>
              <w:t xml:space="preserve">  </w:t>
            </w:r>
            <w:r w:rsidRPr="00C7329F">
              <w:rPr>
                <w:rFonts w:ascii="Arial" w:eastAsia="Arial" w:hAnsi="Arial" w:cs="Arial"/>
                <w:color w:val="000000"/>
                <w:sz w:val="16"/>
                <w:szCs w:val="16"/>
              </w:rPr>
              <w:t xml:space="preserve"> (</w:t>
            </w:r>
            <w:proofErr w:type="gramEnd"/>
            <w:r w:rsidRPr="00C7329F">
              <w:rPr>
                <w:rFonts w:ascii="Arial" w:eastAsia="Arial" w:hAnsi="Arial" w:cs="Arial"/>
                <w:color w:val="000000"/>
                <w:sz w:val="16"/>
                <w:szCs w:val="16"/>
              </w:rPr>
              <w:t>% change)</w:t>
            </w:r>
          </w:p>
        </w:tc>
        <w:tc>
          <w:tcPr>
            <w:tcW w:w="129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9BAC2F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Secondary Indicator</w:t>
            </w:r>
          </w:p>
        </w:tc>
        <w:tc>
          <w:tcPr>
            <w:tcW w:w="1220"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6CD5B2A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Primary Category</w:t>
            </w:r>
          </w:p>
        </w:tc>
        <w:tc>
          <w:tcPr>
            <w:tcW w:w="1002"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5D338A5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 xml:space="preserve">Tertiary Indicator  </w:t>
            </w:r>
          </w:p>
        </w:tc>
        <w:tc>
          <w:tcPr>
            <w:tcW w:w="1142"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D4FAF3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Final Category</w:t>
            </w:r>
          </w:p>
        </w:tc>
        <w:tc>
          <w:tcPr>
            <w:tcW w:w="1589"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502530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2024/25 Target Catch (OT, t)</w:t>
            </w:r>
          </w:p>
        </w:tc>
        <w:tc>
          <w:tcPr>
            <w:tcW w:w="136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153849A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Total catch, Lower (t)</w:t>
            </w:r>
          </w:p>
        </w:tc>
        <w:tc>
          <w:tcPr>
            <w:tcW w:w="1296" w:type="dxa"/>
            <w:tcBorders>
              <w:top w:val="single" w:sz="12" w:space="0" w:color="666666"/>
              <w:left w:val="nil"/>
              <w:bottom w:val="single" w:sz="12" w:space="0" w:color="666666"/>
              <w:right w:val="nil"/>
            </w:tcBorders>
            <w:shd w:val="clear" w:color="auto" w:fill="FFFFFF"/>
            <w:tcMar>
              <w:top w:w="0" w:type="dxa"/>
              <w:left w:w="0" w:type="dxa"/>
              <w:bottom w:w="0" w:type="dxa"/>
              <w:right w:w="0" w:type="dxa"/>
            </w:tcMar>
            <w:vAlign w:val="center"/>
          </w:tcPr>
          <w:p w14:paraId="2B6D524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Total catch, Upper (t)</w:t>
            </w:r>
          </w:p>
        </w:tc>
      </w:tr>
      <w:tr w:rsidR="00C7329F" w:rsidRPr="00C7329F" w14:paraId="0CD3A76E" w14:textId="77777777" w:rsidTr="00C7329F">
        <w:trPr>
          <w:jc w:val="center"/>
        </w:trPr>
        <w:tc>
          <w:tcPr>
            <w:tcW w:w="1852"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062BF18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BACK BEACHES</w:t>
            </w:r>
          </w:p>
        </w:tc>
        <w:tc>
          <w:tcPr>
            <w:tcW w:w="92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5EDE0E6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5.30</w:t>
            </w:r>
          </w:p>
        </w:tc>
        <w:tc>
          <w:tcPr>
            <w:tcW w:w="1110"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07DA718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26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624172F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0.3</w:t>
            </w:r>
          </w:p>
        </w:tc>
        <w:tc>
          <w:tcPr>
            <w:tcW w:w="1296"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03E59AA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1A69948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002" w:type="dxa"/>
            <w:tcBorders>
              <w:top w:val="single" w:sz="12" w:space="0" w:color="666666"/>
              <w:left w:val="nil"/>
              <w:bottom w:val="nil"/>
              <w:right w:val="nil"/>
            </w:tcBorders>
            <w:shd w:val="clear" w:color="auto" w:fill="FFFFFF"/>
            <w:tcMar>
              <w:top w:w="0" w:type="dxa"/>
              <w:left w:w="0" w:type="dxa"/>
              <w:bottom w:w="0" w:type="dxa"/>
              <w:right w:w="0" w:type="dxa"/>
            </w:tcMar>
            <w:vAlign w:val="center"/>
          </w:tcPr>
          <w:p w14:paraId="5F733BC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single" w:sz="12" w:space="0" w:color="666666"/>
              <w:left w:val="nil"/>
              <w:bottom w:val="nil"/>
              <w:right w:val="nil"/>
            </w:tcBorders>
            <w:shd w:val="clear" w:color="auto" w:fill="92D050"/>
            <w:tcMar>
              <w:top w:w="0" w:type="dxa"/>
              <w:left w:w="0" w:type="dxa"/>
              <w:bottom w:w="0" w:type="dxa"/>
              <w:right w:w="0" w:type="dxa"/>
            </w:tcMar>
            <w:vAlign w:val="center"/>
          </w:tcPr>
          <w:p w14:paraId="62C856F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589" w:type="dxa"/>
            <w:tcBorders>
              <w:top w:val="single" w:sz="12" w:space="0" w:color="666666"/>
              <w:left w:val="nil"/>
              <w:bottom w:val="nil"/>
              <w:right w:val="nil"/>
            </w:tcBorders>
            <w:shd w:val="clear" w:color="auto" w:fill="FFFFFF"/>
            <w:tcMar>
              <w:top w:w="0" w:type="dxa"/>
              <w:left w:w="0" w:type="dxa"/>
              <w:bottom w:w="0" w:type="dxa"/>
              <w:right w:w="0" w:type="dxa"/>
            </w:tcMar>
            <w:vAlign w:val="bottom"/>
          </w:tcPr>
          <w:p w14:paraId="3ABD4B9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41.5</w:t>
            </w:r>
          </w:p>
        </w:tc>
        <w:tc>
          <w:tcPr>
            <w:tcW w:w="1366" w:type="dxa"/>
            <w:tcBorders>
              <w:top w:val="single" w:sz="12" w:space="0" w:color="666666"/>
              <w:left w:val="nil"/>
              <w:bottom w:val="nil"/>
              <w:right w:val="nil"/>
            </w:tcBorders>
            <w:shd w:val="clear" w:color="auto" w:fill="FFFFFF"/>
            <w:tcMar>
              <w:top w:w="0" w:type="dxa"/>
              <w:left w:w="0" w:type="dxa"/>
              <w:bottom w:w="0" w:type="dxa"/>
              <w:right w:w="0" w:type="dxa"/>
            </w:tcMar>
            <w:vAlign w:val="bottom"/>
          </w:tcPr>
          <w:p w14:paraId="0B0A0ED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41.5, 43.6</w:t>
            </w:r>
          </w:p>
        </w:tc>
        <w:tc>
          <w:tcPr>
            <w:tcW w:w="1296" w:type="dxa"/>
            <w:tcBorders>
              <w:top w:val="single" w:sz="12" w:space="0" w:color="666666"/>
              <w:left w:val="nil"/>
              <w:bottom w:val="nil"/>
              <w:right w:val="nil"/>
            </w:tcBorders>
            <w:shd w:val="clear" w:color="auto" w:fill="FFFFFF"/>
            <w:tcMar>
              <w:top w:w="0" w:type="dxa"/>
              <w:left w:w="0" w:type="dxa"/>
              <w:bottom w:w="0" w:type="dxa"/>
              <w:right w:w="0" w:type="dxa"/>
            </w:tcMar>
            <w:vAlign w:val="bottom"/>
          </w:tcPr>
          <w:p w14:paraId="1BE7206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47.7, 51.9</w:t>
            </w:r>
          </w:p>
        </w:tc>
      </w:tr>
      <w:tr w:rsidR="00C7329F" w:rsidRPr="00C7329F" w14:paraId="549FF897"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2ECAD26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CAPE LIPTRAP</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35F73A3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1.46</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68807C8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24357A1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-0.4</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3299AFA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4CF477B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59A10CA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126F61D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5608987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9.4</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22CF067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8.9</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7B38FF1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9.9</w:t>
            </w:r>
          </w:p>
        </w:tc>
      </w:tr>
      <w:tr w:rsidR="00C7329F" w:rsidRPr="00C7329F" w14:paraId="5CED497F"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181098D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CAPE OTWAY</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4FC43DB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-0.15</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36810FA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1042D9B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3.8</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6FA6AC4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682BEA1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77C1884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569687B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67E0D1F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49.0</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36E2E45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46.6</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395DC22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51.5</w:t>
            </w:r>
          </w:p>
        </w:tc>
      </w:tr>
      <w:tr w:rsidR="00C7329F" w:rsidRPr="00C7329F" w14:paraId="1627732A"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1629815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CLIFFY GROUP</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515428F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3.98</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24B492A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3E6BD5D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1.5</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49F818B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4DD7E18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6DF36D0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2EAA8AD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5F9D707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4.7</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35F1341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4.5</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0168378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4.9</w:t>
            </w:r>
          </w:p>
        </w:tc>
      </w:tr>
      <w:tr w:rsidR="00C7329F" w:rsidRPr="00C7329F" w14:paraId="3F9B64DA"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0279D76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FLINDERS</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1749FBF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6.89</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0C5373D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788F7D5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5.8</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33C87BB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220" w:type="dxa"/>
            <w:tcBorders>
              <w:top w:val="nil"/>
              <w:left w:val="nil"/>
              <w:bottom w:val="nil"/>
              <w:right w:val="nil"/>
            </w:tcBorders>
            <w:shd w:val="clear" w:color="auto" w:fill="92D050"/>
            <w:tcMar>
              <w:top w:w="0" w:type="dxa"/>
              <w:left w:w="0" w:type="dxa"/>
              <w:bottom w:w="0" w:type="dxa"/>
              <w:right w:w="0" w:type="dxa"/>
            </w:tcMar>
            <w:vAlign w:val="center"/>
          </w:tcPr>
          <w:p w14:paraId="2D3DE19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3A03F86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92D050"/>
            <w:tcMar>
              <w:top w:w="0" w:type="dxa"/>
              <w:left w:w="0" w:type="dxa"/>
              <w:bottom w:w="0" w:type="dxa"/>
              <w:right w:w="0" w:type="dxa"/>
            </w:tcMar>
            <w:vAlign w:val="center"/>
          </w:tcPr>
          <w:p w14:paraId="455C869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09A52C0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20.5</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2096A6B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19.5</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4E87823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21.5</w:t>
            </w:r>
          </w:p>
        </w:tc>
      </w:tr>
      <w:tr w:rsidR="00C7329F" w:rsidRPr="00C7329F" w14:paraId="15DF48D4"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4778D61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KILCUNDA</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01BAE4F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-0.77</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79EF783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72E348D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-2.2</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146F65A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109BC55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42EF206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6ABB024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23536F7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9.3</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52E7932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7.9</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1905FD9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8.8</w:t>
            </w:r>
          </w:p>
        </w:tc>
      </w:tr>
      <w:tr w:rsidR="00C7329F" w:rsidRPr="00C7329F" w14:paraId="493F5417"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31F9A9D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PHILLIP ISLAND</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51F6234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8.27</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6AB44A2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218CF76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4.1</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37FC30B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nil"/>
              <w:right w:val="nil"/>
            </w:tcBorders>
            <w:shd w:val="clear" w:color="auto" w:fill="92D050"/>
            <w:tcMar>
              <w:top w:w="0" w:type="dxa"/>
              <w:left w:w="0" w:type="dxa"/>
              <w:bottom w:w="0" w:type="dxa"/>
              <w:right w:w="0" w:type="dxa"/>
            </w:tcMar>
            <w:vAlign w:val="center"/>
          </w:tcPr>
          <w:p w14:paraId="60E4BCF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4231E7D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92D050"/>
            <w:tcMar>
              <w:top w:w="0" w:type="dxa"/>
              <w:left w:w="0" w:type="dxa"/>
              <w:bottom w:w="0" w:type="dxa"/>
              <w:right w:w="0" w:type="dxa"/>
            </w:tcMar>
            <w:vAlign w:val="center"/>
          </w:tcPr>
          <w:p w14:paraId="0F98A92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Increasing</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6E9D386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34.0</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208959A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32.3</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50402E5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35.7</w:t>
            </w:r>
          </w:p>
        </w:tc>
      </w:tr>
      <w:tr w:rsidR="00C7329F" w:rsidRPr="00C7329F" w14:paraId="391E4BD3"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1D89D9F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PROM EASTSIDE</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4C7A8F0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2.49</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14CDB3E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327C16F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-0.2</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5D88C37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62C0652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09F4913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06737F8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17EF9597"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4.8</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5D4A82E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4.6</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0E8C582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5.0</w:t>
            </w:r>
          </w:p>
        </w:tc>
      </w:tr>
      <w:tr w:rsidR="00C7329F" w:rsidRPr="00C7329F" w14:paraId="71D163A1"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5A4FA2F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PROM WESTSIDE</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3C2B91E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0.67</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6E884EC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7E42698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-1.5</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54D64B9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3C1F801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1F825CE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6732121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06ED850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21</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6114401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17.9</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60ECA70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20.0</w:t>
            </w:r>
          </w:p>
        </w:tc>
      </w:tr>
      <w:tr w:rsidR="00C7329F" w:rsidRPr="00C7329F" w14:paraId="1BA100A0" w14:textId="77777777" w:rsidTr="00C7329F">
        <w:trPr>
          <w:jc w:val="center"/>
        </w:trPr>
        <w:tc>
          <w:tcPr>
            <w:tcW w:w="1852" w:type="dxa"/>
            <w:tcBorders>
              <w:top w:val="nil"/>
              <w:left w:val="nil"/>
              <w:bottom w:val="nil"/>
              <w:right w:val="nil"/>
            </w:tcBorders>
            <w:shd w:val="clear" w:color="auto" w:fill="FFFFFF"/>
            <w:tcMar>
              <w:top w:w="0" w:type="dxa"/>
              <w:left w:w="0" w:type="dxa"/>
              <w:bottom w:w="0" w:type="dxa"/>
              <w:right w:w="0" w:type="dxa"/>
            </w:tcMar>
            <w:vAlign w:val="center"/>
          </w:tcPr>
          <w:p w14:paraId="08E8036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SHIPWRECK COAST</w:t>
            </w:r>
          </w:p>
        </w:tc>
        <w:tc>
          <w:tcPr>
            <w:tcW w:w="926" w:type="dxa"/>
            <w:tcBorders>
              <w:top w:val="nil"/>
              <w:left w:val="nil"/>
              <w:bottom w:val="nil"/>
              <w:right w:val="nil"/>
            </w:tcBorders>
            <w:shd w:val="clear" w:color="auto" w:fill="FFFFFF"/>
            <w:tcMar>
              <w:top w:w="0" w:type="dxa"/>
              <w:left w:w="0" w:type="dxa"/>
              <w:bottom w:w="0" w:type="dxa"/>
              <w:right w:w="0" w:type="dxa"/>
            </w:tcMar>
            <w:vAlign w:val="center"/>
          </w:tcPr>
          <w:p w14:paraId="47D6B60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4.98</w:t>
            </w:r>
          </w:p>
        </w:tc>
        <w:tc>
          <w:tcPr>
            <w:tcW w:w="1110" w:type="dxa"/>
            <w:tcBorders>
              <w:top w:val="nil"/>
              <w:left w:val="nil"/>
              <w:bottom w:val="nil"/>
              <w:right w:val="nil"/>
            </w:tcBorders>
            <w:shd w:val="clear" w:color="auto" w:fill="FFFFFF"/>
            <w:tcMar>
              <w:top w:w="0" w:type="dxa"/>
              <w:left w:w="0" w:type="dxa"/>
              <w:bottom w:w="0" w:type="dxa"/>
              <w:right w:w="0" w:type="dxa"/>
            </w:tcMar>
            <w:vAlign w:val="center"/>
          </w:tcPr>
          <w:p w14:paraId="1311BB7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66" w:type="dxa"/>
            <w:tcBorders>
              <w:top w:val="nil"/>
              <w:left w:val="nil"/>
              <w:bottom w:val="nil"/>
              <w:right w:val="nil"/>
            </w:tcBorders>
            <w:shd w:val="clear" w:color="auto" w:fill="FFFFFF"/>
            <w:tcMar>
              <w:top w:w="0" w:type="dxa"/>
              <w:left w:w="0" w:type="dxa"/>
              <w:bottom w:w="0" w:type="dxa"/>
              <w:right w:w="0" w:type="dxa"/>
            </w:tcMar>
            <w:vAlign w:val="center"/>
          </w:tcPr>
          <w:p w14:paraId="2A52131C"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1.4</w:t>
            </w:r>
          </w:p>
        </w:tc>
        <w:tc>
          <w:tcPr>
            <w:tcW w:w="1296" w:type="dxa"/>
            <w:tcBorders>
              <w:top w:val="nil"/>
              <w:left w:val="nil"/>
              <w:bottom w:val="nil"/>
              <w:right w:val="nil"/>
            </w:tcBorders>
            <w:shd w:val="clear" w:color="auto" w:fill="FFFFFF"/>
            <w:tcMar>
              <w:top w:w="0" w:type="dxa"/>
              <w:left w:w="0" w:type="dxa"/>
              <w:bottom w:w="0" w:type="dxa"/>
              <w:right w:w="0" w:type="dxa"/>
            </w:tcMar>
            <w:vAlign w:val="center"/>
          </w:tcPr>
          <w:p w14:paraId="29B3E03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nil"/>
              <w:right w:val="nil"/>
            </w:tcBorders>
            <w:shd w:val="clear" w:color="auto" w:fill="FFFF00"/>
            <w:tcMar>
              <w:top w:w="0" w:type="dxa"/>
              <w:left w:w="0" w:type="dxa"/>
              <w:bottom w:w="0" w:type="dxa"/>
              <w:right w:w="0" w:type="dxa"/>
            </w:tcMar>
            <w:vAlign w:val="center"/>
          </w:tcPr>
          <w:p w14:paraId="74AD0C3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002" w:type="dxa"/>
            <w:tcBorders>
              <w:top w:val="nil"/>
              <w:left w:val="nil"/>
              <w:bottom w:val="nil"/>
              <w:right w:val="nil"/>
            </w:tcBorders>
            <w:shd w:val="clear" w:color="auto" w:fill="FFFFFF"/>
            <w:tcMar>
              <w:top w:w="0" w:type="dxa"/>
              <w:left w:w="0" w:type="dxa"/>
              <w:bottom w:w="0" w:type="dxa"/>
              <w:right w:w="0" w:type="dxa"/>
            </w:tcMar>
            <w:vAlign w:val="center"/>
          </w:tcPr>
          <w:p w14:paraId="2DBABEA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nil"/>
              <w:right w:val="nil"/>
            </w:tcBorders>
            <w:shd w:val="clear" w:color="auto" w:fill="FFFF00"/>
            <w:tcMar>
              <w:top w:w="0" w:type="dxa"/>
              <w:left w:w="0" w:type="dxa"/>
              <w:bottom w:w="0" w:type="dxa"/>
              <w:right w:w="0" w:type="dxa"/>
            </w:tcMar>
            <w:vAlign w:val="center"/>
          </w:tcPr>
          <w:p w14:paraId="7031AFE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589" w:type="dxa"/>
            <w:tcBorders>
              <w:top w:val="nil"/>
              <w:left w:val="nil"/>
              <w:bottom w:val="nil"/>
              <w:right w:val="nil"/>
            </w:tcBorders>
            <w:shd w:val="clear" w:color="auto" w:fill="FFFFFF"/>
            <w:tcMar>
              <w:top w:w="0" w:type="dxa"/>
              <w:left w:w="0" w:type="dxa"/>
              <w:bottom w:w="0" w:type="dxa"/>
              <w:right w:w="0" w:type="dxa"/>
            </w:tcMar>
            <w:vAlign w:val="center"/>
          </w:tcPr>
          <w:p w14:paraId="3D367F45"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29.2</w:t>
            </w:r>
          </w:p>
        </w:tc>
        <w:tc>
          <w:tcPr>
            <w:tcW w:w="1366" w:type="dxa"/>
            <w:tcBorders>
              <w:top w:val="nil"/>
              <w:left w:val="nil"/>
              <w:bottom w:val="nil"/>
              <w:right w:val="nil"/>
            </w:tcBorders>
            <w:shd w:val="clear" w:color="auto" w:fill="FFFFFF"/>
            <w:tcMar>
              <w:top w:w="0" w:type="dxa"/>
              <w:left w:w="0" w:type="dxa"/>
              <w:bottom w:w="0" w:type="dxa"/>
              <w:right w:w="0" w:type="dxa"/>
            </w:tcMar>
            <w:vAlign w:val="bottom"/>
          </w:tcPr>
          <w:p w14:paraId="6EBD5D3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27.7</w:t>
            </w:r>
          </w:p>
        </w:tc>
        <w:tc>
          <w:tcPr>
            <w:tcW w:w="1296" w:type="dxa"/>
            <w:tcBorders>
              <w:top w:val="nil"/>
              <w:left w:val="nil"/>
              <w:bottom w:val="nil"/>
              <w:right w:val="nil"/>
            </w:tcBorders>
            <w:shd w:val="clear" w:color="auto" w:fill="FFFFFF"/>
            <w:tcMar>
              <w:top w:w="0" w:type="dxa"/>
              <w:left w:w="0" w:type="dxa"/>
              <w:bottom w:w="0" w:type="dxa"/>
              <w:right w:w="0" w:type="dxa"/>
            </w:tcMar>
            <w:vAlign w:val="bottom"/>
          </w:tcPr>
          <w:p w14:paraId="71AD2CE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30.7</w:t>
            </w:r>
          </w:p>
        </w:tc>
      </w:tr>
      <w:tr w:rsidR="00C7329F" w:rsidRPr="00C7329F" w14:paraId="28E459CF" w14:textId="77777777" w:rsidTr="00C7329F">
        <w:trPr>
          <w:jc w:val="center"/>
        </w:trPr>
        <w:tc>
          <w:tcPr>
            <w:tcW w:w="185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AA1B81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SURFCOAST</w:t>
            </w:r>
          </w:p>
        </w:tc>
        <w:tc>
          <w:tcPr>
            <w:tcW w:w="92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9202C82"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4.35</w:t>
            </w:r>
          </w:p>
        </w:tc>
        <w:tc>
          <w:tcPr>
            <w:tcW w:w="1110"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258757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6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69FCC1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 xml:space="preserve"> 1.9</w:t>
            </w:r>
          </w:p>
        </w:tc>
        <w:tc>
          <w:tcPr>
            <w:tcW w:w="1296"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B64A6F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220" w:type="dxa"/>
            <w:tcBorders>
              <w:top w:val="nil"/>
              <w:left w:val="nil"/>
              <w:bottom w:val="single" w:sz="8" w:space="0" w:color="000000"/>
              <w:right w:val="nil"/>
            </w:tcBorders>
            <w:shd w:val="clear" w:color="auto" w:fill="FFFF00"/>
            <w:tcMar>
              <w:top w:w="0" w:type="dxa"/>
              <w:left w:w="0" w:type="dxa"/>
              <w:bottom w:w="0" w:type="dxa"/>
              <w:right w:w="0" w:type="dxa"/>
            </w:tcMar>
            <w:vAlign w:val="center"/>
          </w:tcPr>
          <w:p w14:paraId="0F65C55F"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00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4E51823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NA</w:t>
            </w:r>
          </w:p>
        </w:tc>
        <w:tc>
          <w:tcPr>
            <w:tcW w:w="1142" w:type="dxa"/>
            <w:tcBorders>
              <w:top w:val="nil"/>
              <w:left w:val="nil"/>
              <w:bottom w:val="single" w:sz="8" w:space="0" w:color="000000"/>
              <w:right w:val="nil"/>
            </w:tcBorders>
            <w:shd w:val="clear" w:color="auto" w:fill="FFFF00"/>
            <w:tcMar>
              <w:top w:w="0" w:type="dxa"/>
              <w:left w:w="0" w:type="dxa"/>
              <w:bottom w:w="0" w:type="dxa"/>
              <w:right w:w="0" w:type="dxa"/>
            </w:tcMar>
            <w:vAlign w:val="center"/>
          </w:tcPr>
          <w:p w14:paraId="27FC3984"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Stable</w:t>
            </w:r>
          </w:p>
        </w:tc>
        <w:tc>
          <w:tcPr>
            <w:tcW w:w="1589"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2373AC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1.7</w:t>
            </w:r>
          </w:p>
        </w:tc>
        <w:tc>
          <w:tcPr>
            <w:tcW w:w="1366"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6BD66BC9"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1.6</w:t>
            </w:r>
          </w:p>
        </w:tc>
        <w:tc>
          <w:tcPr>
            <w:tcW w:w="1296"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1BF1DE2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hAnsi="Arial" w:cs="Arial"/>
                <w:color w:val="000000"/>
                <w:sz w:val="16"/>
                <w:szCs w:val="16"/>
              </w:rPr>
            </w:pPr>
            <w:r w:rsidRPr="00C7329F">
              <w:rPr>
                <w:rFonts w:ascii="Arial" w:hAnsi="Arial" w:cs="Arial"/>
                <w:color w:val="000000"/>
                <w:sz w:val="16"/>
                <w:szCs w:val="16"/>
              </w:rPr>
              <w:t>1.8</w:t>
            </w:r>
          </w:p>
        </w:tc>
      </w:tr>
      <w:tr w:rsidR="00C7329F" w:rsidRPr="00C7329F" w14:paraId="139D7DF7" w14:textId="77777777" w:rsidTr="00C7329F">
        <w:trPr>
          <w:jc w:val="center"/>
        </w:trPr>
        <w:tc>
          <w:tcPr>
            <w:tcW w:w="1852"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5B56134B"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eastAsia="Arial" w:hAnsi="Arial" w:cs="Arial"/>
                <w:color w:val="000000"/>
                <w:sz w:val="16"/>
                <w:szCs w:val="16"/>
              </w:rPr>
              <w:t>Total</w:t>
            </w:r>
          </w:p>
        </w:tc>
        <w:tc>
          <w:tcPr>
            <w:tcW w:w="926"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102F0DD3"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10"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7832088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266"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327D2730"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296"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06552CB1"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220"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0CA02406"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002"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7692A39D"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142"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729BA90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p>
        </w:tc>
        <w:tc>
          <w:tcPr>
            <w:tcW w:w="1589"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bottom"/>
          </w:tcPr>
          <w:p w14:paraId="58B0806E"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225.1</w:t>
            </w:r>
          </w:p>
        </w:tc>
        <w:tc>
          <w:tcPr>
            <w:tcW w:w="1366"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063BE4CA"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213.0, 218.1</w:t>
            </w:r>
          </w:p>
        </w:tc>
        <w:tc>
          <w:tcPr>
            <w:tcW w:w="1296" w:type="dxa"/>
            <w:tcBorders>
              <w:top w:val="single" w:sz="8" w:space="0" w:color="000000"/>
              <w:left w:val="nil"/>
              <w:bottom w:val="single" w:sz="12" w:space="0" w:color="666666"/>
              <w:right w:val="nil"/>
            </w:tcBorders>
            <w:shd w:val="clear" w:color="auto" w:fill="FFFFFF"/>
            <w:tcMar>
              <w:top w:w="0" w:type="dxa"/>
              <w:left w:w="0" w:type="dxa"/>
              <w:bottom w:w="0" w:type="dxa"/>
              <w:right w:w="0" w:type="dxa"/>
            </w:tcMar>
            <w:vAlign w:val="center"/>
          </w:tcPr>
          <w:p w14:paraId="42C4D148" w14:textId="77777777" w:rsidR="00C7329F" w:rsidRPr="00C7329F" w:rsidRDefault="00C7329F" w:rsidP="008161A5">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16"/>
                <w:szCs w:val="16"/>
              </w:rPr>
            </w:pPr>
            <w:r w:rsidRPr="00C7329F">
              <w:rPr>
                <w:rFonts w:ascii="Arial" w:hAnsi="Arial" w:cs="Arial"/>
                <w:color w:val="000000"/>
                <w:sz w:val="16"/>
                <w:szCs w:val="16"/>
              </w:rPr>
              <w:t>240.6, 241.7</w:t>
            </w:r>
          </w:p>
        </w:tc>
      </w:tr>
    </w:tbl>
    <w:p w14:paraId="50BF6526" w14:textId="77777777" w:rsidR="00485AF1" w:rsidRDefault="00485AF1" w:rsidP="00485AF1"/>
    <w:p w14:paraId="5ADBBD94" w14:textId="77777777" w:rsidR="005D3BD0" w:rsidRDefault="005D3BD0" w:rsidP="005D3BD0">
      <w:pPr>
        <w:sectPr w:rsidR="005D3BD0" w:rsidSect="00B7781E">
          <w:pgSz w:w="16838" w:h="11906" w:orient="landscape"/>
          <w:pgMar w:top="1440" w:right="1440" w:bottom="1440" w:left="1440" w:header="708" w:footer="708" w:gutter="0"/>
          <w:cols w:space="708"/>
          <w:titlePg/>
          <w:docGrid w:linePitch="360"/>
        </w:sectPr>
      </w:pPr>
    </w:p>
    <w:p w14:paraId="3B04C117" w14:textId="77777777" w:rsidR="005D3BD0" w:rsidRDefault="005D3BD0" w:rsidP="005D3BD0"/>
    <w:p w14:paraId="40705F87" w14:textId="7231797E" w:rsidR="005D3BD0" w:rsidRDefault="004B110B" w:rsidP="005D3BD0">
      <w:r>
        <w:rPr>
          <w:noProof/>
        </w:rPr>
        <w:drawing>
          <wp:inline distT="0" distB="0" distL="0" distR="0" wp14:anchorId="6F0EC285" wp14:editId="244949F3">
            <wp:extent cx="5727700" cy="6873240"/>
            <wp:effectExtent l="0" t="0" r="6350" b="3810"/>
            <wp:docPr id="22" name="Picture" descr="Figure 1: Standardised CPUE for each SMU in the Central Zone from 2016 to 2019. Dashed line and equation represent line of best linear regression fit (i.e. Primary Indicator) for time step 1 through to time step 4, while the solid line represents the ratio from the two most recent years (i.e. Secondary Indicator). Note: y-axes differ between SMUs."/>
            <wp:cNvGraphicFramePr/>
            <a:graphic xmlns:a="http://schemas.openxmlformats.org/drawingml/2006/main">
              <a:graphicData uri="http://schemas.openxmlformats.org/drawingml/2006/picture">
                <pic:pic xmlns:pic="http://schemas.openxmlformats.org/drawingml/2006/picture">
                  <pic:nvPicPr>
                    <pic:cNvPr id="22" name="Picture" descr="Figure 1: Standardised CPUE for each SMU in the Central Zone from 2016 to 2019. Dashed line and equation represent line of best linear regression fit (i.e. Primary Indicator) for time step 1 through to time step 4, while the solid line represents the ratio from the two most recent years (i.e. Secondary Indicator). Note: y-axes differ between SMUs."/>
                    <pic:cNvPicPr/>
                  </pic:nvPicPr>
                  <pic:blipFill>
                    <a:blip r:embed="rId19"/>
                    <a:stretch>
                      <a:fillRect/>
                    </a:stretch>
                  </pic:blipFill>
                  <pic:spPr bwMode="auto">
                    <a:xfrm>
                      <a:off x="0" y="0"/>
                      <a:ext cx="5727700" cy="6873240"/>
                    </a:xfrm>
                    <a:prstGeom prst="rect">
                      <a:avLst/>
                    </a:prstGeom>
                    <a:noFill/>
                    <a:ln w="9525">
                      <a:noFill/>
                      <a:headEnd/>
                      <a:tailEnd/>
                    </a:ln>
                  </pic:spPr>
                </pic:pic>
              </a:graphicData>
            </a:graphic>
          </wp:inline>
        </w:drawing>
      </w:r>
    </w:p>
    <w:p w14:paraId="320DA585" w14:textId="7521216A" w:rsidR="005D3BD0" w:rsidRDefault="005D3BD0" w:rsidP="005D3BD0">
      <w:r>
        <w:t>Figure 1: Standardised CPUE for each SMU in the Central Zone from 20</w:t>
      </w:r>
      <w:r w:rsidR="004B110B">
        <w:t>20</w:t>
      </w:r>
      <w:r>
        <w:t xml:space="preserve"> to 20</w:t>
      </w:r>
      <w:r w:rsidR="00501BAD">
        <w:t>2</w:t>
      </w:r>
      <w:r w:rsidR="004B110B">
        <w:t>3</w:t>
      </w:r>
      <w:r>
        <w:t>. Dashed line and equation represent line of best linear regression fit (i.e. Primary Indicator) for time step 1 through to time step 4, while the solid line represents the ratio from the two most recent years (i.e. Secondary Indicator). Note: y-axes differ between SMUs.</w:t>
      </w:r>
    </w:p>
    <w:p w14:paraId="5093B33C" w14:textId="77777777" w:rsidR="005D3BD0" w:rsidRDefault="005D3BD0" w:rsidP="005D3BD0">
      <w:r>
        <w:br w:type="page"/>
      </w:r>
    </w:p>
    <w:p w14:paraId="4922595D" w14:textId="570444F3" w:rsidR="005D3BD0" w:rsidRDefault="005D3BD0" w:rsidP="005D3BD0"/>
    <w:p w14:paraId="45CB1A34" w14:textId="7EF678D0" w:rsidR="005D3BD0" w:rsidRDefault="004B110B" w:rsidP="005D3BD0">
      <w:r>
        <w:rPr>
          <w:noProof/>
        </w:rPr>
        <w:drawing>
          <wp:inline distT="0" distB="0" distL="0" distR="0" wp14:anchorId="5085CE67" wp14:editId="384C3596">
            <wp:extent cx="5727700" cy="6873240"/>
            <wp:effectExtent l="0" t="0" r="6350" b="3810"/>
            <wp:docPr id="25" name="Picture" descr="Figure 3: Standardised and nominal CPUE (black and grey lines, respectively) for the Central Zone from 1979 to 2019. Note that the Reference Points are calculated from rules applied to the 3-year running average of standardised CPUE between 1989 and 2015 (see Appendix)."/>
            <wp:cNvGraphicFramePr/>
            <a:graphic xmlns:a="http://schemas.openxmlformats.org/drawingml/2006/main">
              <a:graphicData uri="http://schemas.openxmlformats.org/drawingml/2006/picture">
                <pic:pic xmlns:pic="http://schemas.openxmlformats.org/drawingml/2006/picture">
                  <pic:nvPicPr>
                    <pic:cNvPr id="25" name="Picture" descr="Figure 3: Standardised and nominal CPUE (black and grey lines, respectively) for the Central Zone from 1979 to 2019. Note that the Reference Points are calculated from rules applied to the 3-year running average of standardised CPUE between 1989 and 2015 (see Appendix)."/>
                    <pic:cNvPicPr/>
                  </pic:nvPicPr>
                  <pic:blipFill>
                    <a:blip r:embed="rId20"/>
                    <a:stretch>
                      <a:fillRect/>
                    </a:stretch>
                  </pic:blipFill>
                  <pic:spPr bwMode="auto">
                    <a:xfrm>
                      <a:off x="0" y="0"/>
                      <a:ext cx="5727700" cy="6873240"/>
                    </a:xfrm>
                    <a:prstGeom prst="rect">
                      <a:avLst/>
                    </a:prstGeom>
                    <a:noFill/>
                    <a:ln w="9525">
                      <a:noFill/>
                      <a:headEnd/>
                      <a:tailEnd/>
                    </a:ln>
                  </pic:spPr>
                </pic:pic>
              </a:graphicData>
            </a:graphic>
          </wp:inline>
        </w:drawing>
      </w:r>
    </w:p>
    <w:p w14:paraId="1BB9196E" w14:textId="12E8A797" w:rsidR="005D3BD0" w:rsidRDefault="005D3BD0" w:rsidP="005D3BD0">
      <w:r>
        <w:t xml:space="preserve">Figure </w:t>
      </w:r>
      <w:r w:rsidR="003F540E">
        <w:t>2</w:t>
      </w:r>
      <w:r>
        <w:t xml:space="preserve">: </w:t>
      </w:r>
      <w:r w:rsidR="004B110B">
        <w:t>N</w:t>
      </w:r>
      <w:r>
        <w:t>ominal CPUE (</w:t>
      </w:r>
      <w:r w:rsidR="004B110B">
        <w:t>grey</w:t>
      </w:r>
      <w:r>
        <w:t xml:space="preserve"> lines) for the Central Zone from 1979 to 20</w:t>
      </w:r>
      <w:r w:rsidR="00501BAD">
        <w:t>2</w:t>
      </w:r>
      <w:r w:rsidR="004B110B">
        <w:t>3 and standardised CPUE (Black lines) from 2003 to 2023</w:t>
      </w:r>
      <w:r>
        <w:t xml:space="preserve">. Note that the </w:t>
      </w:r>
      <w:r w:rsidR="00995AC6">
        <w:t>RPs</w:t>
      </w:r>
      <w:r>
        <w:t xml:space="preserve"> are calculated from rules applied to the 3-year running average of </w:t>
      </w:r>
      <w:r w:rsidR="004B110B">
        <w:t xml:space="preserve">smoothed </w:t>
      </w:r>
      <w:r>
        <w:t>standardised CPUE between 1989 and 2015 (see Appendix).</w:t>
      </w:r>
    </w:p>
    <w:p w14:paraId="271150F4" w14:textId="77777777" w:rsidR="005D3BD0" w:rsidRDefault="005D3BD0" w:rsidP="005D3BD0">
      <w:r>
        <w:br w:type="page"/>
      </w:r>
    </w:p>
    <w:p w14:paraId="5E5B58C3" w14:textId="77777777" w:rsidR="005D3BD0" w:rsidRDefault="005D3BD0" w:rsidP="005D3BD0">
      <w:pPr>
        <w:pStyle w:val="Heading1"/>
        <w:numPr>
          <w:ilvl w:val="0"/>
          <w:numId w:val="20"/>
        </w:numPr>
        <w:ind w:left="0" w:firstLine="0"/>
      </w:pPr>
      <w:bookmarkStart w:id="8" w:name="_Toc161910813"/>
      <w:bookmarkStart w:id="9" w:name="discussion"/>
      <w:bookmarkEnd w:id="5"/>
      <w:r>
        <w:lastRenderedPageBreak/>
        <w:t>Discussion</w:t>
      </w:r>
      <w:bookmarkEnd w:id="8"/>
    </w:p>
    <w:p w14:paraId="2456EF64" w14:textId="7088378F" w:rsidR="00D0210A" w:rsidRDefault="005D3BD0" w:rsidP="005D3BD0">
      <w:r>
        <w:t xml:space="preserve">The results from the </w:t>
      </w:r>
      <w:r w:rsidR="00601E39">
        <w:t xml:space="preserve">Draft </w:t>
      </w:r>
      <w:r>
        <w:t xml:space="preserve">Harvest Strategy for the Central Zone </w:t>
      </w:r>
      <w:r w:rsidR="00D0210A">
        <w:t xml:space="preserve">reflect </w:t>
      </w:r>
      <w:r w:rsidR="00623328">
        <w:t xml:space="preserve">stable or </w:t>
      </w:r>
      <w:r w:rsidR="00D0210A">
        <w:t>improv</w:t>
      </w:r>
      <w:r w:rsidR="00623328">
        <w:t>ing</w:t>
      </w:r>
      <w:r w:rsidR="00D0210A">
        <w:t xml:space="preserve"> CPUE trends </w:t>
      </w:r>
      <w:r w:rsidR="00623328">
        <w:t>in recent years</w:t>
      </w:r>
      <w:r w:rsidR="00D0210A">
        <w:t xml:space="preserve">, with </w:t>
      </w:r>
      <w:r w:rsidR="00623328">
        <w:t xml:space="preserve">three </w:t>
      </w:r>
      <w:r w:rsidR="00D0210A">
        <w:t>SMUs having an Increasing outcome (Back Beaches, Phillip Island</w:t>
      </w:r>
      <w:r w:rsidR="00623328">
        <w:t xml:space="preserve"> and</w:t>
      </w:r>
      <w:r w:rsidR="00D0210A">
        <w:t xml:space="preserve"> Flinders) and </w:t>
      </w:r>
      <w:r w:rsidR="00623328">
        <w:t xml:space="preserve">all other </w:t>
      </w:r>
      <w:r w:rsidR="00D0210A">
        <w:t xml:space="preserve">SMUs </w:t>
      </w:r>
      <w:r w:rsidR="00623328">
        <w:t xml:space="preserve">having a </w:t>
      </w:r>
      <w:r w:rsidR="00601E39">
        <w:t>S</w:t>
      </w:r>
      <w:r w:rsidR="00623328">
        <w:t xml:space="preserve">table </w:t>
      </w:r>
      <w:r w:rsidR="00D0210A">
        <w:t xml:space="preserve">outcome. Overall, this resulted in a suggested TACC range from </w:t>
      </w:r>
      <w:r w:rsidR="00623328">
        <w:t>218.2 t to 255.3 t</w:t>
      </w:r>
      <w:r w:rsidR="00D0210A">
        <w:t xml:space="preserve">, with the current </w:t>
      </w:r>
      <w:r w:rsidR="00E06B3B">
        <w:t>20</w:t>
      </w:r>
      <w:r w:rsidR="00D0210A">
        <w:t>2</w:t>
      </w:r>
      <w:r w:rsidR="00623328">
        <w:t>4</w:t>
      </w:r>
      <w:r w:rsidR="00D0210A">
        <w:t>/2</w:t>
      </w:r>
      <w:r w:rsidR="00623328">
        <w:t>5</w:t>
      </w:r>
      <w:r w:rsidR="00D0210A">
        <w:t xml:space="preserve"> TACC at 22</w:t>
      </w:r>
      <w:r w:rsidR="00623328">
        <w:t>5.1</w:t>
      </w:r>
      <w:r w:rsidR="00D0210A">
        <w:t xml:space="preserve"> t.</w:t>
      </w:r>
    </w:p>
    <w:p w14:paraId="3DD8908E" w14:textId="6EE7B3A4" w:rsidR="00B80E75" w:rsidRDefault="00B80E75" w:rsidP="00314DF5">
      <w:r>
        <w:t xml:space="preserve">Previous Stock Assessment and Draft Harvest Strategy reports have identified the need for a review of components of the Draft Harvest Strategy. In </w:t>
      </w:r>
      <w:r w:rsidR="00601E39">
        <w:t>2025</w:t>
      </w:r>
      <w:r>
        <w:t xml:space="preserve">, a revised CPUE standardisation model was applied to both the Draft Harvest Strategy and the Stock Assessment Report, following recommendations from the ASWG. The data used were filtered based on an agreed set of criteria </w:t>
      </w:r>
      <w:r w:rsidR="00601E39">
        <w:t xml:space="preserve">also </w:t>
      </w:r>
      <w:r>
        <w:t xml:space="preserve">recommended by the ASWG. In </w:t>
      </w:r>
      <w:r w:rsidR="00601E39">
        <w:t>this report</w:t>
      </w:r>
      <w:r>
        <w:t xml:space="preserve">, the outcomes from the Draft Harvest Strategy compared the results from assessment against standardised CPUE </w:t>
      </w:r>
      <w:r w:rsidR="00995AC6">
        <w:t>RPs</w:t>
      </w:r>
      <w:r>
        <w:t xml:space="preserve">, as used for Draft Harvest Strategy outputs in recent years, versus the original nominal </w:t>
      </w:r>
      <w:r w:rsidR="00995AC6">
        <w:t>RPs</w:t>
      </w:r>
      <w:r>
        <w:t xml:space="preserve"> published in VFA (2019a). </w:t>
      </w:r>
    </w:p>
    <w:p w14:paraId="4DAA7652" w14:textId="1AFC57AE" w:rsidR="00AB324A" w:rsidRDefault="001137F7" w:rsidP="00314DF5">
      <w:r>
        <w:t xml:space="preserve">The standardised </w:t>
      </w:r>
      <w:r w:rsidR="00995AC6">
        <w:t>RPs</w:t>
      </w:r>
      <w:r>
        <w:t xml:space="preserve"> a</w:t>
      </w:r>
      <w:r w:rsidR="00AB324A">
        <w:t xml:space="preserve">re based on a </w:t>
      </w:r>
      <w:r>
        <w:t>dataset that extend</w:t>
      </w:r>
      <w:r w:rsidR="00AB324A">
        <w:t>s</w:t>
      </w:r>
      <w:r>
        <w:t xml:space="preserve"> back to 1978 to</w:t>
      </w:r>
      <w:r w:rsidR="00AB324A">
        <w:t xml:space="preserve"> include the current reference period 1988 to 2015. </w:t>
      </w:r>
      <w:r>
        <w:t xml:space="preserve"> Previous Draft Harvest Strategy reports have used the same long-term dataset for both the CPUE measure and </w:t>
      </w:r>
      <w:r w:rsidR="00995AC6">
        <w:t>RPs</w:t>
      </w:r>
      <w:r>
        <w:t xml:space="preserve">. However, </w:t>
      </w:r>
      <w:r w:rsidR="00AB324A">
        <w:t xml:space="preserve">the </w:t>
      </w:r>
      <w:r w:rsidR="00601E39">
        <w:t>S</w:t>
      </w:r>
      <w:r w:rsidR="00AB324A">
        <w:t xml:space="preserve">tock </w:t>
      </w:r>
      <w:r w:rsidR="00601E39">
        <w:t>A</w:t>
      </w:r>
      <w:r w:rsidR="00AB324A">
        <w:t xml:space="preserve">ssessment </w:t>
      </w:r>
      <w:r w:rsidR="00601E39">
        <w:t>R</w:t>
      </w:r>
      <w:r w:rsidR="00AB324A">
        <w:t xml:space="preserve">eport presents standardised </w:t>
      </w:r>
      <w:r>
        <w:t xml:space="preserve">CPUE outputs </w:t>
      </w:r>
      <w:r w:rsidR="00620524">
        <w:t xml:space="preserve">only </w:t>
      </w:r>
      <w:r w:rsidR="00AB324A">
        <w:t xml:space="preserve">from 2003 onward. This has meant that the results for the last four years of CPUE trends at the SMU scale have been different between </w:t>
      </w:r>
      <w:r>
        <w:t>Stock Assessment and Draft Harvest Strategy report</w:t>
      </w:r>
      <w:r w:rsidR="00AB324A">
        <w:t>s, which has drawn some criticism. On this basis, the CPUE measure in this report utilised the revised CPUE standardisation model based on filtered data from 2003 onward, as these were considered the most reliable and the results are comparable to the Stock Assessment Report.</w:t>
      </w:r>
      <w:r w:rsidR="00620524">
        <w:t xml:space="preserve"> </w:t>
      </w:r>
      <w:r w:rsidR="00601E39">
        <w:t>This creates further uncertainty in the relevance of the RPs.</w:t>
      </w:r>
    </w:p>
    <w:p w14:paraId="50D79DC5" w14:textId="77777777" w:rsidR="00995AC6" w:rsidRDefault="00620524" w:rsidP="00314DF5">
      <w:r>
        <w:t xml:space="preserve">Comparison of standardised and nominal </w:t>
      </w:r>
      <w:r w:rsidR="00995AC6">
        <w:t>RPs</w:t>
      </w:r>
      <w:r>
        <w:t xml:space="preserve"> indicated that the nominal dataset was overall more conservative, however the differences were neither consistent nor logical. For example, using the standardised </w:t>
      </w:r>
      <w:r w:rsidR="00995AC6">
        <w:t>RPs</w:t>
      </w:r>
      <w:r>
        <w:t xml:space="preserve"> the Flinders SMU ha</w:t>
      </w:r>
      <w:r w:rsidR="00995AC6">
        <w:t>d</w:t>
      </w:r>
      <w:r>
        <w:t xml:space="preserve"> been above the Threshold level for three years and thus CCR1 was applied. Given it had an Increasing Final Category, the suggested OT range was a 0% to 25% increase. Comparing the nominal </w:t>
      </w:r>
      <w:r w:rsidR="00995AC6">
        <w:t>RPs</w:t>
      </w:r>
      <w:r>
        <w:t xml:space="preserve"> for the Flinders SMU, the CPUE measure ha</w:t>
      </w:r>
      <w:r w:rsidR="00995AC6">
        <w:t>d</w:t>
      </w:r>
      <w:r>
        <w:t xml:space="preserve"> been between the Limit and Threshold RPs for 18 consecutive years and thus CCR2 was applied</w:t>
      </w:r>
      <w:r w:rsidR="00995AC6">
        <w:t>, which resulted in a suggested OT range of -5% to +5%</w:t>
      </w:r>
      <w:r>
        <w:t xml:space="preserve">. </w:t>
      </w:r>
      <w:r w:rsidR="00995AC6">
        <w:t xml:space="preserve">The reverse occurred for the Prom </w:t>
      </w:r>
      <w:proofErr w:type="spellStart"/>
      <w:r w:rsidR="00995AC6">
        <w:t>Eastside</w:t>
      </w:r>
      <w:proofErr w:type="spellEnd"/>
      <w:r w:rsidR="00995AC6">
        <w:t xml:space="preserve"> SMU, which had CCR2 applied under standardised RPs but CCR1 applied under the nominal RPs. </w:t>
      </w:r>
    </w:p>
    <w:p w14:paraId="661363A6" w14:textId="6601852A" w:rsidR="005D3BD0" w:rsidRDefault="00995AC6" w:rsidP="00314DF5">
      <w:r>
        <w:t xml:space="preserve">In conclusion, there is an urgent need to reassess the RPs for the Central Zone, particularly the </w:t>
      </w:r>
      <w:r w:rsidR="00601E39">
        <w:t>r</w:t>
      </w:r>
      <w:r>
        <w:t xml:space="preserve">eference </w:t>
      </w:r>
      <w:r w:rsidR="00601E39">
        <w:t>p</w:t>
      </w:r>
      <w:r>
        <w:t>eriod</w:t>
      </w:r>
      <w:r w:rsidR="00601E39">
        <w:t xml:space="preserve"> which was </w:t>
      </w:r>
      <w:r>
        <w:t xml:space="preserve">chosen from the start of the quota introduction in 1988, to a contemporary date (2015) at the time they were established. There is now another ten years of data available, and there is a better understanding of the CPUE dataset </w:t>
      </w:r>
      <w:r w:rsidR="000F5CFB">
        <w:t xml:space="preserve">with new filters and a simplified standardisation model. Also, there is now a better understanding of the history of the fishery, in particular the current fishery footprint which has contracted substantially toward shallow water reefs in the last two decades. It would seem logical that the next step in improving the Harvest Strategy would be to develop revised </w:t>
      </w:r>
      <w:r w:rsidR="00A614DD">
        <w:t xml:space="preserve">RPs </w:t>
      </w:r>
      <w:r w:rsidR="000F5CFB">
        <w:t>through the ASWG, based on a more contemporary period of the fishery beginning sometime on or after 2003</w:t>
      </w:r>
      <w:r w:rsidR="00A614DD">
        <w:t xml:space="preserve"> where data is more reliable</w:t>
      </w:r>
      <w:r w:rsidR="000F5CFB">
        <w:t>.</w:t>
      </w:r>
    </w:p>
    <w:p w14:paraId="25150A4F" w14:textId="63AE267D" w:rsidR="000F5CFB" w:rsidRDefault="000F5CFB" w:rsidP="00314DF5">
      <w:r>
        <w:t xml:space="preserve">The FRDC Project 2019-118 </w:t>
      </w:r>
      <w:r w:rsidRPr="00C37ECA">
        <w:rPr>
          <w:i/>
          <w:iCs/>
        </w:rPr>
        <w:t>“Drawing strength from each other: simulation testing of Australia’s abalone harvest strategies”</w:t>
      </w:r>
      <w:r>
        <w:t xml:space="preserve"> includes an MSE of the current Draft Harvest Strategy for Central and Eastern Zones. The results from this study may be useful in the re-evaluation of the Draft Harvest Strategy through the ASWG. In addition, Tasmania and South Australia have recently developed approaches to address hyperstability using diver logger data. The applicability of this approach for the Central Zone should be investigated.</w:t>
      </w:r>
    </w:p>
    <w:p w14:paraId="6E408071" w14:textId="77777777" w:rsidR="005D3BD0" w:rsidRDefault="005D3BD0" w:rsidP="005D3BD0">
      <w:pPr>
        <w:pStyle w:val="Heading1"/>
        <w:numPr>
          <w:ilvl w:val="0"/>
          <w:numId w:val="20"/>
        </w:numPr>
        <w:ind w:left="0" w:firstLine="0"/>
      </w:pPr>
      <w:bookmarkStart w:id="10" w:name="_Toc161910815"/>
      <w:bookmarkStart w:id="11" w:name="references"/>
      <w:bookmarkEnd w:id="9"/>
      <w:r>
        <w:lastRenderedPageBreak/>
        <w:t>References</w:t>
      </w:r>
      <w:bookmarkEnd w:id="10"/>
    </w:p>
    <w:p w14:paraId="3B8C6D28" w14:textId="77777777" w:rsidR="005D3BD0" w:rsidRDefault="005D3BD0" w:rsidP="005D3BD0">
      <w:bookmarkStart w:id="12" w:name="ref-DAWR2018"/>
      <w:bookmarkStart w:id="13" w:name="refs"/>
      <w:r>
        <w:t>DAWR. 2018. “Commonwealth Fisheries Harvest Strategy Policy. Second Edition.” Melbourne: Department of Agriculture; Water Resources, Canberra, Australia.</w:t>
      </w:r>
    </w:p>
    <w:p w14:paraId="263690AC" w14:textId="77777777" w:rsidR="00D0210A" w:rsidRDefault="00D0210A" w:rsidP="00D0210A">
      <w:bookmarkStart w:id="14" w:name="ref-VFA2019a"/>
      <w:bookmarkEnd w:id="12"/>
      <w:r w:rsidRPr="00B2336D">
        <w:t>Dichmont, C.M, Dixon, C.D., and Potts, J. (2022). Developing a new CPUE standardisation for the Central and Eastern Zones of the Victorian Abalone Fishery. MRAG Asia Pacific, Brisbane, Australia.</w:t>
      </w:r>
    </w:p>
    <w:p w14:paraId="154465FC" w14:textId="42E90C89" w:rsidR="005D3BD0" w:rsidRDefault="005D3BD0" w:rsidP="005D3BD0">
      <w:r w:rsidRPr="004E4B87">
        <w:t>Dixon, C.D., Potts, J. and Dichmont, C.M. (2022). Draft Stock Assessment for the Central Zone of the Victorian Abalone Fishery 2020/21. MRAG Asia Pacific, Brisbane, Australia.</w:t>
      </w:r>
    </w:p>
    <w:p w14:paraId="0192CD33" w14:textId="06226C11" w:rsidR="00732287" w:rsidRDefault="00732287" w:rsidP="005D3BD0">
      <w:r w:rsidRPr="004E4B87">
        <w:t xml:space="preserve">Dixon, C.D., </w:t>
      </w:r>
      <w:r>
        <w:t xml:space="preserve">Lowe, J. and </w:t>
      </w:r>
      <w:r w:rsidRPr="004E4B87">
        <w:t>Potts, J. (202</w:t>
      </w:r>
      <w:r>
        <w:t>3</w:t>
      </w:r>
      <w:r w:rsidRPr="004E4B87">
        <w:t>). Draft Stock Assessment for the Central Zone of the Victorian Abalone Fishery 202</w:t>
      </w:r>
      <w:r>
        <w:t>1</w:t>
      </w:r>
      <w:r w:rsidRPr="004E4B87">
        <w:t>/2</w:t>
      </w:r>
      <w:r>
        <w:t>2</w:t>
      </w:r>
      <w:r w:rsidRPr="004E4B87">
        <w:t>. MRAG Asia Pacific, Brisbane, Australia.</w:t>
      </w:r>
    </w:p>
    <w:p w14:paraId="4A95020E" w14:textId="1309B090" w:rsidR="00772B96" w:rsidRDefault="00772B96" w:rsidP="005D3BD0">
      <w:bookmarkStart w:id="15" w:name="_Hlk161309508"/>
      <w:r>
        <w:t xml:space="preserve">Dixon (2023). Review </w:t>
      </w:r>
      <w:r w:rsidRPr="00772B96">
        <w:t xml:space="preserve">of fishery independent surveys for the </w:t>
      </w:r>
      <w:r>
        <w:t>C</w:t>
      </w:r>
      <w:r w:rsidRPr="00772B96">
        <w:t xml:space="preserve">entral and </w:t>
      </w:r>
      <w:r>
        <w:t>E</w:t>
      </w:r>
      <w:r w:rsidRPr="00772B96">
        <w:t xml:space="preserve">astern zones of the Victorian </w:t>
      </w:r>
      <w:r>
        <w:t>A</w:t>
      </w:r>
      <w:r w:rsidRPr="00772B96">
        <w:t xml:space="preserve">balone </w:t>
      </w:r>
      <w:r>
        <w:t>F</w:t>
      </w:r>
      <w:r w:rsidRPr="00772B96">
        <w:t>ishery</w:t>
      </w:r>
      <w:r>
        <w:t xml:space="preserve">. </w:t>
      </w:r>
      <w:r w:rsidRPr="004E4B87">
        <w:t>MRAG Asia Pacific, Brisbane, Australia.</w:t>
      </w:r>
    </w:p>
    <w:bookmarkEnd w:id="15"/>
    <w:p w14:paraId="7C092ED6" w14:textId="652EAC4D" w:rsidR="005D3BD0" w:rsidRDefault="005D3BD0" w:rsidP="005D3BD0">
      <w:r>
        <w:t xml:space="preserve">VFA. 2019a. “Draft Harvest Strategy Victorian Central and Eastern Zone </w:t>
      </w:r>
      <w:proofErr w:type="spellStart"/>
      <w:r>
        <w:t>Blacklip</w:t>
      </w:r>
      <w:proofErr w:type="spellEnd"/>
      <w:r>
        <w:t xml:space="preserve"> Abalone Fishery. Draft Version 2. VFA, February 2019.”</w:t>
      </w:r>
    </w:p>
    <w:p w14:paraId="0756D416" w14:textId="77777777" w:rsidR="005D3BD0" w:rsidRDefault="005D3BD0" w:rsidP="005D3BD0">
      <w:bookmarkStart w:id="16" w:name="ref-VFA2019b"/>
      <w:bookmarkEnd w:id="14"/>
      <w:r>
        <w:t>VFA. 2019b. “Victorian Abalone - Methods used for fishery assessment, Version 1.4 30 June 2019.”</w:t>
      </w:r>
    </w:p>
    <w:bookmarkEnd w:id="13"/>
    <w:bookmarkEnd w:id="16"/>
    <w:p w14:paraId="29130BB6" w14:textId="77777777" w:rsidR="005D3BD0" w:rsidRDefault="005D3BD0" w:rsidP="005D3BD0">
      <w:r>
        <w:br w:type="page"/>
      </w:r>
    </w:p>
    <w:p w14:paraId="5AB5160A" w14:textId="77777777" w:rsidR="005D3BD0" w:rsidRDefault="005D3BD0" w:rsidP="005D3BD0">
      <w:pPr>
        <w:pStyle w:val="Heading1"/>
        <w:numPr>
          <w:ilvl w:val="0"/>
          <w:numId w:val="20"/>
        </w:numPr>
        <w:ind w:left="0" w:firstLine="0"/>
      </w:pPr>
      <w:bookmarkStart w:id="17" w:name="_Toc161910816"/>
      <w:bookmarkStart w:id="18" w:name="appendix-1"/>
      <w:bookmarkEnd w:id="11"/>
      <w:r>
        <w:lastRenderedPageBreak/>
        <w:t>Appendix 1</w:t>
      </w:r>
      <w:bookmarkEnd w:id="17"/>
    </w:p>
    <w:p w14:paraId="701B5E10" w14:textId="77777777" w:rsidR="005D3BD0" w:rsidRDefault="005D3BD0" w:rsidP="005D3BD0">
      <w:pPr>
        <w:pStyle w:val="Heading2"/>
      </w:pPr>
      <w:bookmarkStart w:id="19" w:name="_Toc161910817"/>
      <w:bookmarkStart w:id="20" w:name="Xbf599b3aa0715486484b063f985357e27f68092"/>
      <w:r>
        <w:t>Step 1. Calculate nominal CPUE from raw data provided by VFA</w:t>
      </w:r>
      <w:bookmarkEnd w:id="19"/>
    </w:p>
    <w:p w14:paraId="64F4833F" w14:textId="77777777" w:rsidR="005D3BD0" w:rsidRDefault="005D3BD0" w:rsidP="005D3BD0">
      <w:r>
        <w:t xml:space="preserve">Raw data provided by VFA contains a unique record of catch per diver per day, for each Reef Code. Using these data, the arithmetic mean CPUE for each Quota Year and SMU was calculated. Throughout this report, these data are referred to as the </w:t>
      </w:r>
      <w:r>
        <w:rPr>
          <w:i/>
          <w:iCs/>
        </w:rPr>
        <w:t>nominal CPUE data</w:t>
      </w:r>
      <w:r>
        <w:t>.</w:t>
      </w:r>
    </w:p>
    <w:p w14:paraId="135BF669" w14:textId="4F448172" w:rsidR="005D3BD0" w:rsidRDefault="005D3BD0" w:rsidP="005D3BD0">
      <w:pPr>
        <w:pStyle w:val="Heading2"/>
      </w:pPr>
      <w:bookmarkStart w:id="21" w:name="_Toc161910818"/>
      <w:bookmarkStart w:id="22" w:name="X4b8f2c5713f87d86d67f1d75b7f97001f429a03"/>
      <w:bookmarkEnd w:id="20"/>
      <w:r>
        <w:t xml:space="preserve">Step 2. </w:t>
      </w:r>
      <w:bookmarkEnd w:id="21"/>
      <w:r w:rsidR="001E5450">
        <w:t>Applying data filters and c</w:t>
      </w:r>
      <w:r w:rsidR="006A374C">
        <w:t>alculat</w:t>
      </w:r>
      <w:r w:rsidR="001E5450">
        <w:t>ing</w:t>
      </w:r>
      <w:r w:rsidR="006A374C">
        <w:t xml:space="preserve"> </w:t>
      </w:r>
      <w:r w:rsidR="001E5450">
        <w:t>the standardised CPUE measure</w:t>
      </w:r>
    </w:p>
    <w:p w14:paraId="14422D1A" w14:textId="16DC66B7" w:rsidR="001E5450" w:rsidRPr="00BB2DDC" w:rsidRDefault="001E5450" w:rsidP="001E5450">
      <w:r>
        <w:t>The following filters were applied to raw c</w:t>
      </w:r>
      <w:r w:rsidRPr="00BB2DDC">
        <w:t>atch, effort and CPUE data from 2003 onward:</w:t>
      </w:r>
    </w:p>
    <w:p w14:paraId="49C8FE36" w14:textId="77777777" w:rsidR="001E5450" w:rsidRPr="00BB2DDC" w:rsidRDefault="001E5450" w:rsidP="001E5450">
      <w:pPr>
        <w:numPr>
          <w:ilvl w:val="0"/>
          <w:numId w:val="28"/>
        </w:numPr>
      </w:pPr>
      <w:r w:rsidRPr="00BB2DDC">
        <w:t xml:space="preserve">Removed CPUE &lt;25 kg/h and &gt;250 kg/h at the </w:t>
      </w:r>
      <w:proofErr w:type="spellStart"/>
      <w:r w:rsidRPr="00BB2DDC">
        <w:t>reefcode</w:t>
      </w:r>
      <w:proofErr w:type="spellEnd"/>
      <w:r w:rsidRPr="00BB2DDC">
        <w:t>/day scale</w:t>
      </w:r>
    </w:p>
    <w:p w14:paraId="3ECD2732" w14:textId="77777777" w:rsidR="001E5450" w:rsidRPr="00BB2DDC" w:rsidRDefault="001E5450" w:rsidP="001E5450">
      <w:pPr>
        <w:numPr>
          <w:ilvl w:val="0"/>
          <w:numId w:val="28"/>
        </w:numPr>
      </w:pPr>
      <w:r w:rsidRPr="00BB2DDC">
        <w:t xml:space="preserve">Removed daily catches &lt;20 kg/day and </w:t>
      </w:r>
      <w:r>
        <w:t xml:space="preserve">&gt;1300 kg/day for the Shipwreck SMU and </w:t>
      </w:r>
      <w:r w:rsidRPr="00BB2DDC">
        <w:t>&gt;800 kg/day</w:t>
      </w:r>
      <w:r>
        <w:t xml:space="preserve"> for all other SMUs</w:t>
      </w:r>
    </w:p>
    <w:p w14:paraId="5F65913D" w14:textId="77777777" w:rsidR="001E5450" w:rsidRPr="00BB2DDC" w:rsidRDefault="001E5450" w:rsidP="001E5450">
      <w:pPr>
        <w:numPr>
          <w:ilvl w:val="0"/>
          <w:numId w:val="28"/>
        </w:numPr>
      </w:pPr>
      <w:r w:rsidRPr="00BB2DDC">
        <w:t>Removed daily effort &lt;20 minutes/day and &gt;9 hours/day</w:t>
      </w:r>
    </w:p>
    <w:p w14:paraId="4941BCE2" w14:textId="66F8486E" w:rsidR="001E5450" w:rsidRDefault="001E5450" w:rsidP="001E5450">
      <w:r>
        <w:t xml:space="preserve">The standardised CPUE was then calculated using a </w:t>
      </w:r>
      <w:r w:rsidRPr="005E3686">
        <w:t>linear mixed-effects model</w:t>
      </w:r>
      <w:r>
        <w:t xml:space="preserve">, </w:t>
      </w:r>
      <w:r w:rsidRPr="005E3686">
        <w:t>specified as follows:</w:t>
      </w:r>
    </w:p>
    <w:p w14:paraId="79F81924" w14:textId="77777777" w:rsidR="001E5450" w:rsidRDefault="001E5450" w:rsidP="001E5450">
      <w:r w:rsidRPr="005E3686">
        <w:rPr>
          <w:noProof/>
        </w:rPr>
        <w:drawing>
          <wp:inline distT="0" distB="0" distL="0" distR="0" wp14:anchorId="3DE981A0" wp14:editId="421EA13B">
            <wp:extent cx="5102892" cy="960120"/>
            <wp:effectExtent l="0" t="0" r="2540" b="0"/>
            <wp:docPr id="1852918274" name="Picture 1"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18274" name="Picture 1" descr="A math equations on a white background&#10;&#10;Description automatically generated"/>
                    <pic:cNvPicPr/>
                  </pic:nvPicPr>
                  <pic:blipFill rotWithShape="1">
                    <a:blip r:embed="rId21"/>
                    <a:srcRect b="8696"/>
                    <a:stretch/>
                  </pic:blipFill>
                  <pic:spPr bwMode="auto">
                    <a:xfrm>
                      <a:off x="0" y="0"/>
                      <a:ext cx="5135497" cy="966255"/>
                    </a:xfrm>
                    <a:prstGeom prst="rect">
                      <a:avLst/>
                    </a:prstGeom>
                    <a:ln>
                      <a:noFill/>
                    </a:ln>
                    <a:extLst>
                      <a:ext uri="{53640926-AAD7-44D8-BBD7-CCE9431645EC}">
                        <a14:shadowObscured xmlns:a14="http://schemas.microsoft.com/office/drawing/2010/main"/>
                      </a:ext>
                    </a:extLst>
                  </pic:spPr>
                </pic:pic>
              </a:graphicData>
            </a:graphic>
          </wp:inline>
        </w:drawing>
      </w:r>
    </w:p>
    <w:p w14:paraId="4E4F43BC" w14:textId="3E9B2E6D" w:rsidR="005D3BD0" w:rsidRDefault="005D3BD0" w:rsidP="005D3BD0">
      <w:r>
        <w:t xml:space="preserve">Throughout this report, this is referred to as the </w:t>
      </w:r>
      <w:r>
        <w:rPr>
          <w:i/>
          <w:iCs/>
        </w:rPr>
        <w:t>standardised CPUE</w:t>
      </w:r>
      <w:r>
        <w:t>.</w:t>
      </w:r>
    </w:p>
    <w:p w14:paraId="51E66C32" w14:textId="4BD6A887" w:rsidR="005D3BD0" w:rsidRDefault="005D3BD0" w:rsidP="005D3BD0">
      <w:pPr>
        <w:pStyle w:val="Heading2"/>
      </w:pPr>
      <w:bookmarkStart w:id="23" w:name="_Toc161910819"/>
      <w:bookmarkStart w:id="24" w:name="Xbeaa5d62eeeac5e626a0008edec100e404a3fae"/>
      <w:bookmarkEnd w:id="22"/>
      <w:r>
        <w:t xml:space="preserve">Step 3. </w:t>
      </w:r>
      <w:r w:rsidR="00A323B4">
        <w:t xml:space="preserve">Calculation of standardised Reference Points </w:t>
      </w:r>
      <w:r>
        <w:t xml:space="preserve">for the reference period </w:t>
      </w:r>
      <w:bookmarkEnd w:id="23"/>
    </w:p>
    <w:p w14:paraId="0FD19F65" w14:textId="412B36E3" w:rsidR="005D3BD0" w:rsidRDefault="00A323B4" w:rsidP="005D3BD0">
      <w:r>
        <w:t>For the standardised Reference Points, the revised standardisation model in Step 2 was applied to historic CPUE data. P</w:t>
      </w:r>
      <w:r w:rsidR="005D3BD0">
        <w:t xml:space="preserve">eaks and troughs in annual standardised CPUE were smoothed by using a running three-year average. These data are referred to as the </w:t>
      </w:r>
      <w:r w:rsidR="005D3BD0">
        <w:rPr>
          <w:i/>
          <w:iCs/>
        </w:rPr>
        <w:t>smoothed standardised CPUE</w:t>
      </w:r>
      <w:r w:rsidR="005D3BD0">
        <w:t xml:space="preserve"> throughout this report.</w:t>
      </w:r>
    </w:p>
    <w:p w14:paraId="77DCA860" w14:textId="77777777" w:rsidR="005D3BD0" w:rsidRDefault="005D3BD0" w:rsidP="005D3BD0">
      <w:r>
        <w:t>Reference Points (RPs) are based on the smoothed standardised CPUE for the reference period 1989 to 2015, as 1989 was the first year the TACC was established. The limit, threshold and target reference points were based on the following rules:</w:t>
      </w:r>
    </w:p>
    <w:p w14:paraId="67345E0A" w14:textId="77777777" w:rsidR="005D3BD0" w:rsidRDefault="005D3BD0" w:rsidP="005D3BD0">
      <w:pPr>
        <w:numPr>
          <w:ilvl w:val="0"/>
          <w:numId w:val="24"/>
        </w:numPr>
      </w:pPr>
      <w:r>
        <w:t>The Limit RP was 2/3 of the minimum smoothed standardised CPUE in the series, rounded up to the nearest 10 (e.g., 2/3rds of 63 kg/hr would be 42 kg/hr, rounded up to 50 kg/hr).</w:t>
      </w:r>
    </w:p>
    <w:p w14:paraId="5F088683" w14:textId="77777777" w:rsidR="005D3BD0" w:rsidRDefault="005D3BD0" w:rsidP="005D3BD0">
      <w:pPr>
        <w:numPr>
          <w:ilvl w:val="0"/>
          <w:numId w:val="24"/>
        </w:numPr>
      </w:pPr>
      <w:r>
        <w:t>The Threshold RP was the minimum CPUE in the series, rounded up to the nearest 10.</w:t>
      </w:r>
    </w:p>
    <w:p w14:paraId="651D4A78" w14:textId="77777777" w:rsidR="005D3BD0" w:rsidRDefault="005D3BD0" w:rsidP="005D3BD0">
      <w:pPr>
        <w:numPr>
          <w:ilvl w:val="0"/>
          <w:numId w:val="24"/>
        </w:numPr>
      </w:pPr>
      <w:r>
        <w:t>The Target RP was the maximum CPUE in the series, rounded down to the nearest 10.</w:t>
      </w:r>
    </w:p>
    <w:p w14:paraId="2FBED99A" w14:textId="77777777" w:rsidR="005D3BD0" w:rsidRDefault="005D3BD0" w:rsidP="005D3BD0">
      <w:r>
        <w:t xml:space="preserve">In situations when the </w:t>
      </w:r>
      <w:r>
        <w:rPr>
          <w:i/>
          <w:iCs/>
        </w:rPr>
        <w:t>Limit and Threshold</w:t>
      </w:r>
      <w:r>
        <w:t xml:space="preserve"> are equal, or the </w:t>
      </w:r>
      <w:r>
        <w:rPr>
          <w:i/>
          <w:iCs/>
        </w:rPr>
        <w:t>Threshold and Target</w:t>
      </w:r>
      <w:r>
        <w:t xml:space="preserve"> are equal, firstly the Threshold was increased and the Target was increased, resulting in a conservative outcome.</w:t>
      </w:r>
    </w:p>
    <w:p w14:paraId="47AEB406" w14:textId="77777777" w:rsidR="005D3BD0" w:rsidRDefault="005D3BD0" w:rsidP="005D3BD0">
      <w:pPr>
        <w:pStyle w:val="Heading2"/>
      </w:pPr>
      <w:bookmarkStart w:id="25" w:name="_Toc161910820"/>
      <w:bookmarkStart w:id="26" w:name="X052bb181035d994cfe6a81baee7280affc41aa4"/>
      <w:bookmarkEnd w:id="24"/>
      <w:r>
        <w:t>Step 4. Categorise CPUE for current and previous five years of data against the Reference Points</w:t>
      </w:r>
      <w:bookmarkEnd w:id="25"/>
    </w:p>
    <w:p w14:paraId="143D242C" w14:textId="440F1903" w:rsidR="005D3BD0" w:rsidRDefault="005D3BD0" w:rsidP="005D3BD0">
      <w:r>
        <w:t xml:space="preserve">For the current year, and previous five years of data, the standardised CPUE calculated in Step 2 for each SMU is categorised against the RP calculated in Step 3 using the Catch Control Rules defined in Table </w:t>
      </w:r>
      <w:r w:rsidR="00223A77">
        <w:t>5</w:t>
      </w:r>
      <w:r>
        <w:t xml:space="preserve">. If the CPUE is below the Limit Threshold, it is categorised “Below Limit” (and coloured red, Table </w:t>
      </w:r>
      <w:r w:rsidR="00223A77">
        <w:t>5</w:t>
      </w:r>
      <w:r>
        <w:t xml:space="preserve">), if the CPUE is between the Limit and the Target Threshold, it is categorised as “Limit to </w:t>
      </w:r>
      <w:r>
        <w:lastRenderedPageBreak/>
        <w:t xml:space="preserve">Threshold” (coloured orange, Table </w:t>
      </w:r>
      <w:r w:rsidR="00223A77">
        <w:t>5</w:t>
      </w:r>
      <w:r>
        <w:t xml:space="preserve">), and if the CPUE is above the Target Threshold, it is categorised as “Above Threshold” (coloured green, Table </w:t>
      </w:r>
      <w:r w:rsidR="00223A77">
        <w:t>5</w:t>
      </w:r>
      <w:r>
        <w:t>).</w:t>
      </w:r>
    </w:p>
    <w:p w14:paraId="08A1653C" w14:textId="77777777" w:rsidR="005D3BD0" w:rsidRDefault="005D3BD0" w:rsidP="005D3BD0">
      <w:pPr>
        <w:pStyle w:val="Heading2"/>
      </w:pPr>
      <w:bookmarkStart w:id="27" w:name="_Toc161910821"/>
      <w:bookmarkStart w:id="28" w:name="Xa255731cde2c1dc0c3347623fce0c6d6eb92b9e"/>
      <w:bookmarkEnd w:id="26"/>
      <w:r>
        <w:t>Step 5. Determine which Catch Control Rule applies</w:t>
      </w:r>
      <w:bookmarkEnd w:id="27"/>
    </w:p>
    <w:p w14:paraId="32B55995" w14:textId="611D2DCE" w:rsidR="005D3BD0" w:rsidRDefault="005D3BD0" w:rsidP="005D3BD0">
      <w:r>
        <w:t xml:space="preserve">To determine which Catch Control Rule (CCR) applies, the categorisation of the current year’s CPUE and duration at the </w:t>
      </w:r>
      <w:proofErr w:type="gramStart"/>
      <w:r>
        <w:t>current status</w:t>
      </w:r>
      <w:proofErr w:type="gramEnd"/>
      <w:r>
        <w:t xml:space="preserve"> is matched against the CCR provided in Table </w:t>
      </w:r>
      <w:r w:rsidR="00223A77">
        <w:t>5</w:t>
      </w:r>
      <w:r>
        <w:t xml:space="preserve">. For example, if the current CPUE is above the Threshold reference point, and has been for the previous 2 years, Catch Control Rule 1 (CCR1) applies, but if it has been above the Threshold reference point for greater than 2 years, Catch Control Rule 1 applies with an OT of 125% (Table </w:t>
      </w:r>
      <w:r w:rsidR="00223A77">
        <w:t>5</w:t>
      </w:r>
      <w:r>
        <w:t xml:space="preserve">). If the current CPUE has been between the Limit and the Threshold reference points for the previous 5 years, CCR1 applies; but if for greater than five years, Catch Control Rule 2 applies (CCR2). In instances when the CPUE has fallen below the Limit reference point for the previous 2 years, CCR2 applies, and if for greater than 2 years, then the fishery is </w:t>
      </w:r>
      <w:proofErr w:type="gramStart"/>
      <w:r>
        <w:t>closed</w:t>
      </w:r>
      <w:proofErr w:type="gramEnd"/>
      <w:r>
        <w:t xml:space="preserve"> and a structured fishing survey is implemented (Table </w:t>
      </w:r>
      <w:r w:rsidR="00223A77">
        <w:t>5</w:t>
      </w:r>
      <w:r>
        <w:t>).</w:t>
      </w:r>
    </w:p>
    <w:p w14:paraId="723A781A" w14:textId="77777777" w:rsidR="005D3BD0" w:rsidRDefault="005D3BD0" w:rsidP="005D3BD0">
      <w:r>
        <w:t xml:space="preserve"> </w:t>
      </w:r>
    </w:p>
    <w:p w14:paraId="481E6885" w14:textId="5DADCF47" w:rsidR="005D3BD0" w:rsidRDefault="005D3BD0" w:rsidP="005D3BD0">
      <w:pPr>
        <w:pStyle w:val="TableCaption"/>
      </w:pPr>
      <w:r>
        <w:rPr>
          <w:b/>
        </w:rPr>
        <w:t xml:space="preserve">Table </w:t>
      </w:r>
      <w:r w:rsidR="00223A77">
        <w:rPr>
          <w:b/>
        </w:rPr>
        <w:t>5</w:t>
      </w:r>
      <w:r>
        <w:t>: Table 3: Applicable catch control rules (CCR).</w:t>
      </w:r>
    </w:p>
    <w:tbl>
      <w:tblPr>
        <w:tblW w:w="0" w:type="auto"/>
        <w:jc w:val="center"/>
        <w:tblLayout w:type="fixed"/>
        <w:tblLook w:val="0420" w:firstRow="1" w:lastRow="0" w:firstColumn="0" w:lastColumn="0" w:noHBand="0" w:noVBand="1"/>
      </w:tblPr>
      <w:tblGrid>
        <w:gridCol w:w="2159"/>
        <w:gridCol w:w="1462"/>
        <w:gridCol w:w="2160"/>
        <w:gridCol w:w="1218"/>
        <w:gridCol w:w="1756"/>
      </w:tblGrid>
      <w:tr w:rsidR="005D3BD0" w14:paraId="34F7708E" w14:textId="77777777" w:rsidTr="00D55CD7">
        <w:trPr>
          <w:cantSplit/>
          <w:tblHeader/>
          <w:jc w:val="center"/>
        </w:trPr>
        <w:tc>
          <w:tcPr>
            <w:tcW w:w="2159" w:type="dxa"/>
            <w:tcBorders>
              <w:top w:val="single" w:sz="16" w:space="0" w:color="000000"/>
              <w:bottom w:val="single" w:sz="16" w:space="0" w:color="FFFFFF"/>
            </w:tcBorders>
            <w:shd w:val="clear" w:color="auto" w:fill="FFFFFF"/>
            <w:tcMar>
              <w:top w:w="0" w:type="dxa"/>
              <w:left w:w="0" w:type="dxa"/>
              <w:bottom w:w="0" w:type="dxa"/>
              <w:right w:w="0" w:type="dxa"/>
            </w:tcMar>
            <w:vAlign w:val="center"/>
          </w:tcPr>
          <w:p w14:paraId="519C7F85" w14:textId="77777777" w:rsidR="005D3BD0" w:rsidRDefault="005D3BD0" w:rsidP="00D55CD7">
            <w:pPr>
              <w:keepNext/>
              <w:spacing w:before="100" w:after="100"/>
              <w:ind w:left="100" w:right="100"/>
              <w:jc w:val="center"/>
            </w:pPr>
          </w:p>
        </w:tc>
        <w:tc>
          <w:tcPr>
            <w:tcW w:w="6596"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7BD4FCE9"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 xml:space="preserve">Duration at </w:t>
            </w:r>
            <w:proofErr w:type="gramStart"/>
            <w:r>
              <w:rPr>
                <w:rFonts w:ascii="Helvetica" w:eastAsia="Helvetica" w:hAnsi="Helvetica" w:cs="Helvetica"/>
                <w:color w:val="000000"/>
                <w:sz w:val="20"/>
                <w:szCs w:val="20"/>
              </w:rPr>
              <w:t>current status</w:t>
            </w:r>
            <w:proofErr w:type="gramEnd"/>
          </w:p>
        </w:tc>
      </w:tr>
      <w:tr w:rsidR="005D3BD0" w14:paraId="78E2295E" w14:textId="77777777" w:rsidTr="00D55CD7">
        <w:trPr>
          <w:cantSplit/>
          <w:tblHeader/>
          <w:jc w:val="center"/>
        </w:trPr>
        <w:tc>
          <w:tcPr>
            <w:tcW w:w="2159" w:type="dxa"/>
            <w:tcBorders>
              <w:top w:val="single" w:sz="16" w:space="0" w:color="FFFFFF"/>
              <w:bottom w:val="single" w:sz="16" w:space="0" w:color="666666"/>
            </w:tcBorders>
            <w:shd w:val="clear" w:color="auto" w:fill="FFFFFF"/>
            <w:tcMar>
              <w:top w:w="0" w:type="dxa"/>
              <w:left w:w="0" w:type="dxa"/>
              <w:bottom w:w="0" w:type="dxa"/>
              <w:right w:w="0" w:type="dxa"/>
            </w:tcMar>
            <w:vAlign w:val="center"/>
          </w:tcPr>
          <w:p w14:paraId="13A5BF72"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Current Status</w:t>
            </w:r>
          </w:p>
        </w:tc>
        <w:tc>
          <w:tcPr>
            <w:tcW w:w="1462" w:type="dxa"/>
            <w:tcBorders>
              <w:top w:val="single" w:sz="8" w:space="0" w:color="000000"/>
              <w:bottom w:val="single" w:sz="16" w:space="0" w:color="666666"/>
            </w:tcBorders>
            <w:shd w:val="clear" w:color="auto" w:fill="FFFFFF"/>
            <w:tcMar>
              <w:top w:w="0" w:type="dxa"/>
              <w:left w:w="0" w:type="dxa"/>
              <w:bottom w:w="0" w:type="dxa"/>
              <w:right w:w="0" w:type="dxa"/>
            </w:tcMar>
            <w:vAlign w:val="center"/>
          </w:tcPr>
          <w:p w14:paraId="58AE334E"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 2yrs</w:t>
            </w:r>
          </w:p>
        </w:tc>
        <w:tc>
          <w:tcPr>
            <w:tcW w:w="2160" w:type="dxa"/>
            <w:tcBorders>
              <w:top w:val="single" w:sz="8" w:space="0" w:color="000000"/>
              <w:bottom w:val="single" w:sz="16" w:space="0" w:color="666666"/>
            </w:tcBorders>
            <w:shd w:val="clear" w:color="auto" w:fill="FFFFFF"/>
            <w:tcMar>
              <w:top w:w="0" w:type="dxa"/>
              <w:left w:w="0" w:type="dxa"/>
              <w:bottom w:w="0" w:type="dxa"/>
              <w:right w:w="0" w:type="dxa"/>
            </w:tcMar>
            <w:vAlign w:val="center"/>
          </w:tcPr>
          <w:p w14:paraId="2DF32EB3"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&gt;2yrs</w:t>
            </w:r>
          </w:p>
        </w:tc>
        <w:tc>
          <w:tcPr>
            <w:tcW w:w="1218" w:type="dxa"/>
            <w:tcBorders>
              <w:top w:val="single" w:sz="8" w:space="0" w:color="000000"/>
              <w:bottom w:val="single" w:sz="16" w:space="0" w:color="666666"/>
            </w:tcBorders>
            <w:shd w:val="clear" w:color="auto" w:fill="FFFFFF"/>
            <w:tcMar>
              <w:top w:w="0" w:type="dxa"/>
              <w:left w:w="0" w:type="dxa"/>
              <w:bottom w:w="0" w:type="dxa"/>
              <w:right w:w="0" w:type="dxa"/>
            </w:tcMar>
            <w:vAlign w:val="center"/>
          </w:tcPr>
          <w:p w14:paraId="65534A10"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 5yrs</w:t>
            </w:r>
          </w:p>
        </w:tc>
        <w:tc>
          <w:tcPr>
            <w:tcW w:w="1756" w:type="dxa"/>
            <w:tcBorders>
              <w:top w:val="single" w:sz="8" w:space="0" w:color="000000"/>
              <w:bottom w:val="single" w:sz="16" w:space="0" w:color="666666"/>
            </w:tcBorders>
            <w:shd w:val="clear" w:color="auto" w:fill="FFFFFF"/>
            <w:tcMar>
              <w:top w:w="0" w:type="dxa"/>
              <w:left w:w="0" w:type="dxa"/>
              <w:bottom w:w="0" w:type="dxa"/>
              <w:right w:w="0" w:type="dxa"/>
            </w:tcMar>
            <w:vAlign w:val="center"/>
          </w:tcPr>
          <w:p w14:paraId="474D3B21"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&gt;5yrs</w:t>
            </w:r>
          </w:p>
        </w:tc>
      </w:tr>
      <w:tr w:rsidR="005D3BD0" w14:paraId="4A98FA54" w14:textId="77777777" w:rsidTr="00D55CD7">
        <w:trPr>
          <w:cantSplit/>
          <w:jc w:val="center"/>
        </w:trPr>
        <w:tc>
          <w:tcPr>
            <w:tcW w:w="2159" w:type="dxa"/>
            <w:shd w:val="clear" w:color="auto" w:fill="228B22"/>
            <w:tcMar>
              <w:top w:w="0" w:type="dxa"/>
              <w:left w:w="0" w:type="dxa"/>
              <w:bottom w:w="0" w:type="dxa"/>
              <w:right w:w="0" w:type="dxa"/>
            </w:tcMar>
            <w:vAlign w:val="center"/>
          </w:tcPr>
          <w:p w14:paraId="1759E6D3"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Above Threshold</w:t>
            </w:r>
          </w:p>
        </w:tc>
        <w:tc>
          <w:tcPr>
            <w:tcW w:w="1462" w:type="dxa"/>
            <w:shd w:val="clear" w:color="auto" w:fill="FFFFFF"/>
            <w:tcMar>
              <w:top w:w="0" w:type="dxa"/>
              <w:left w:w="0" w:type="dxa"/>
              <w:bottom w:w="0" w:type="dxa"/>
              <w:right w:w="0" w:type="dxa"/>
            </w:tcMar>
            <w:vAlign w:val="center"/>
          </w:tcPr>
          <w:p w14:paraId="6EF8E0E0"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CCR1</w:t>
            </w:r>
          </w:p>
        </w:tc>
        <w:tc>
          <w:tcPr>
            <w:tcW w:w="2160" w:type="dxa"/>
            <w:shd w:val="clear" w:color="auto" w:fill="FFFFFF"/>
            <w:tcMar>
              <w:top w:w="0" w:type="dxa"/>
              <w:left w:w="0" w:type="dxa"/>
              <w:bottom w:w="0" w:type="dxa"/>
              <w:right w:w="0" w:type="dxa"/>
            </w:tcMar>
            <w:vAlign w:val="center"/>
          </w:tcPr>
          <w:p w14:paraId="5CD7E25E" w14:textId="77777777" w:rsidR="005D3BD0" w:rsidRDefault="005D3BD0" w:rsidP="00D55CD7">
            <w:pPr>
              <w:keepNext/>
              <w:spacing w:before="100" w:after="100"/>
              <w:ind w:left="100" w:right="100"/>
              <w:jc w:val="center"/>
            </w:pPr>
          </w:p>
        </w:tc>
        <w:tc>
          <w:tcPr>
            <w:tcW w:w="1218" w:type="dxa"/>
            <w:shd w:val="clear" w:color="auto" w:fill="FFFFFF"/>
            <w:tcMar>
              <w:top w:w="0" w:type="dxa"/>
              <w:left w:w="0" w:type="dxa"/>
              <w:bottom w:w="0" w:type="dxa"/>
              <w:right w:w="0" w:type="dxa"/>
            </w:tcMar>
            <w:vAlign w:val="center"/>
          </w:tcPr>
          <w:p w14:paraId="611406B0" w14:textId="77777777" w:rsidR="005D3BD0" w:rsidRDefault="005D3BD0" w:rsidP="00D55CD7">
            <w:pPr>
              <w:keepNext/>
              <w:spacing w:before="100" w:after="100"/>
              <w:ind w:left="100" w:right="100"/>
              <w:jc w:val="center"/>
            </w:pPr>
          </w:p>
        </w:tc>
        <w:tc>
          <w:tcPr>
            <w:tcW w:w="1756" w:type="dxa"/>
            <w:shd w:val="clear" w:color="auto" w:fill="FFFFFF"/>
            <w:tcMar>
              <w:top w:w="0" w:type="dxa"/>
              <w:left w:w="0" w:type="dxa"/>
              <w:bottom w:w="0" w:type="dxa"/>
              <w:right w:w="0" w:type="dxa"/>
            </w:tcMar>
            <w:vAlign w:val="center"/>
          </w:tcPr>
          <w:p w14:paraId="58518645" w14:textId="77777777" w:rsidR="005D3BD0" w:rsidRDefault="005D3BD0" w:rsidP="00D55CD7">
            <w:pPr>
              <w:keepNext/>
              <w:spacing w:before="100" w:after="100"/>
              <w:ind w:left="100" w:right="100"/>
              <w:jc w:val="center"/>
            </w:pPr>
          </w:p>
        </w:tc>
      </w:tr>
      <w:tr w:rsidR="005D3BD0" w14:paraId="5010056F" w14:textId="77777777" w:rsidTr="00D55CD7">
        <w:trPr>
          <w:cantSplit/>
          <w:jc w:val="center"/>
        </w:trPr>
        <w:tc>
          <w:tcPr>
            <w:tcW w:w="2159" w:type="dxa"/>
            <w:shd w:val="clear" w:color="auto" w:fill="228B22"/>
            <w:tcMar>
              <w:top w:w="0" w:type="dxa"/>
              <w:left w:w="0" w:type="dxa"/>
              <w:bottom w:w="0" w:type="dxa"/>
              <w:right w:w="0" w:type="dxa"/>
            </w:tcMar>
            <w:vAlign w:val="center"/>
          </w:tcPr>
          <w:p w14:paraId="69C84C9E"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Above Threshold</w:t>
            </w:r>
          </w:p>
        </w:tc>
        <w:tc>
          <w:tcPr>
            <w:tcW w:w="1462" w:type="dxa"/>
            <w:shd w:val="clear" w:color="auto" w:fill="FFFFFF"/>
            <w:tcMar>
              <w:top w:w="0" w:type="dxa"/>
              <w:left w:w="0" w:type="dxa"/>
              <w:bottom w:w="0" w:type="dxa"/>
              <w:right w:w="0" w:type="dxa"/>
            </w:tcMar>
            <w:vAlign w:val="center"/>
          </w:tcPr>
          <w:p w14:paraId="44303D03" w14:textId="77777777" w:rsidR="005D3BD0" w:rsidRDefault="005D3BD0" w:rsidP="00D55CD7">
            <w:pPr>
              <w:keepNext/>
              <w:spacing w:before="100" w:after="100"/>
              <w:ind w:left="100" w:right="100"/>
              <w:jc w:val="center"/>
            </w:pPr>
          </w:p>
        </w:tc>
        <w:tc>
          <w:tcPr>
            <w:tcW w:w="2160" w:type="dxa"/>
            <w:shd w:val="clear" w:color="auto" w:fill="FFFFFF"/>
            <w:tcMar>
              <w:top w:w="0" w:type="dxa"/>
              <w:left w:w="0" w:type="dxa"/>
              <w:bottom w:w="0" w:type="dxa"/>
              <w:right w:w="0" w:type="dxa"/>
            </w:tcMar>
            <w:vAlign w:val="center"/>
          </w:tcPr>
          <w:p w14:paraId="09A18059"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CCR1, 125%</w:t>
            </w:r>
          </w:p>
        </w:tc>
        <w:tc>
          <w:tcPr>
            <w:tcW w:w="1218" w:type="dxa"/>
            <w:shd w:val="clear" w:color="auto" w:fill="FFFFFF"/>
            <w:tcMar>
              <w:top w:w="0" w:type="dxa"/>
              <w:left w:w="0" w:type="dxa"/>
              <w:bottom w:w="0" w:type="dxa"/>
              <w:right w:w="0" w:type="dxa"/>
            </w:tcMar>
            <w:vAlign w:val="center"/>
          </w:tcPr>
          <w:p w14:paraId="13C58B29" w14:textId="77777777" w:rsidR="005D3BD0" w:rsidRDefault="005D3BD0" w:rsidP="00D55CD7">
            <w:pPr>
              <w:keepNext/>
              <w:spacing w:before="100" w:after="100"/>
              <w:ind w:left="100" w:right="100"/>
              <w:jc w:val="center"/>
            </w:pPr>
          </w:p>
        </w:tc>
        <w:tc>
          <w:tcPr>
            <w:tcW w:w="1756" w:type="dxa"/>
            <w:shd w:val="clear" w:color="auto" w:fill="FFFFFF"/>
            <w:tcMar>
              <w:top w:w="0" w:type="dxa"/>
              <w:left w:w="0" w:type="dxa"/>
              <w:bottom w:w="0" w:type="dxa"/>
              <w:right w:w="0" w:type="dxa"/>
            </w:tcMar>
            <w:vAlign w:val="center"/>
          </w:tcPr>
          <w:p w14:paraId="1C78598C" w14:textId="77777777" w:rsidR="005D3BD0" w:rsidRDefault="005D3BD0" w:rsidP="00D55CD7">
            <w:pPr>
              <w:keepNext/>
              <w:spacing w:before="100" w:after="100"/>
              <w:ind w:left="100" w:right="100"/>
              <w:jc w:val="center"/>
            </w:pPr>
          </w:p>
        </w:tc>
      </w:tr>
      <w:tr w:rsidR="005D3BD0" w14:paraId="3A0C3FF8" w14:textId="77777777" w:rsidTr="00D55CD7">
        <w:trPr>
          <w:cantSplit/>
          <w:jc w:val="center"/>
        </w:trPr>
        <w:tc>
          <w:tcPr>
            <w:tcW w:w="2159" w:type="dxa"/>
            <w:shd w:val="clear" w:color="auto" w:fill="FFA500"/>
            <w:tcMar>
              <w:top w:w="0" w:type="dxa"/>
              <w:left w:w="0" w:type="dxa"/>
              <w:bottom w:w="0" w:type="dxa"/>
              <w:right w:w="0" w:type="dxa"/>
            </w:tcMar>
            <w:vAlign w:val="center"/>
          </w:tcPr>
          <w:p w14:paraId="11AD484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Limit to Threshold</w:t>
            </w:r>
          </w:p>
        </w:tc>
        <w:tc>
          <w:tcPr>
            <w:tcW w:w="1462" w:type="dxa"/>
            <w:shd w:val="clear" w:color="auto" w:fill="FFFFFF"/>
            <w:tcMar>
              <w:top w:w="0" w:type="dxa"/>
              <w:left w:w="0" w:type="dxa"/>
              <w:bottom w:w="0" w:type="dxa"/>
              <w:right w:w="0" w:type="dxa"/>
            </w:tcMar>
            <w:vAlign w:val="center"/>
          </w:tcPr>
          <w:p w14:paraId="3FBB3E56" w14:textId="77777777" w:rsidR="005D3BD0" w:rsidRDefault="005D3BD0" w:rsidP="00D55CD7">
            <w:pPr>
              <w:keepNext/>
              <w:spacing w:before="100" w:after="100"/>
              <w:ind w:left="100" w:right="100"/>
              <w:jc w:val="center"/>
            </w:pPr>
          </w:p>
        </w:tc>
        <w:tc>
          <w:tcPr>
            <w:tcW w:w="2160" w:type="dxa"/>
            <w:shd w:val="clear" w:color="auto" w:fill="FFFFFF"/>
            <w:tcMar>
              <w:top w:w="0" w:type="dxa"/>
              <w:left w:w="0" w:type="dxa"/>
              <w:bottom w:w="0" w:type="dxa"/>
              <w:right w:w="0" w:type="dxa"/>
            </w:tcMar>
            <w:vAlign w:val="center"/>
          </w:tcPr>
          <w:p w14:paraId="0D5341F6" w14:textId="77777777" w:rsidR="005D3BD0" w:rsidRDefault="005D3BD0" w:rsidP="00D55CD7">
            <w:pPr>
              <w:keepNext/>
              <w:spacing w:before="100" w:after="100"/>
              <w:ind w:left="100" w:right="100"/>
              <w:jc w:val="center"/>
            </w:pPr>
          </w:p>
        </w:tc>
        <w:tc>
          <w:tcPr>
            <w:tcW w:w="1218" w:type="dxa"/>
            <w:shd w:val="clear" w:color="auto" w:fill="FFFFFF"/>
            <w:tcMar>
              <w:top w:w="0" w:type="dxa"/>
              <w:left w:w="0" w:type="dxa"/>
              <w:bottom w:w="0" w:type="dxa"/>
              <w:right w:w="0" w:type="dxa"/>
            </w:tcMar>
            <w:vAlign w:val="center"/>
          </w:tcPr>
          <w:p w14:paraId="4E16303D"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CCR1</w:t>
            </w:r>
          </w:p>
        </w:tc>
        <w:tc>
          <w:tcPr>
            <w:tcW w:w="1756" w:type="dxa"/>
            <w:shd w:val="clear" w:color="auto" w:fill="FFFFFF"/>
            <w:tcMar>
              <w:top w:w="0" w:type="dxa"/>
              <w:left w:w="0" w:type="dxa"/>
              <w:bottom w:w="0" w:type="dxa"/>
              <w:right w:w="0" w:type="dxa"/>
            </w:tcMar>
            <w:vAlign w:val="center"/>
          </w:tcPr>
          <w:p w14:paraId="44458501" w14:textId="77777777" w:rsidR="005D3BD0" w:rsidRDefault="005D3BD0" w:rsidP="00D55CD7">
            <w:pPr>
              <w:keepNext/>
              <w:spacing w:before="100" w:after="100"/>
              <w:ind w:left="100" w:right="100"/>
              <w:jc w:val="center"/>
            </w:pPr>
          </w:p>
        </w:tc>
      </w:tr>
      <w:tr w:rsidR="005D3BD0" w14:paraId="150D6DCA" w14:textId="77777777" w:rsidTr="00D55CD7">
        <w:trPr>
          <w:cantSplit/>
          <w:jc w:val="center"/>
        </w:trPr>
        <w:tc>
          <w:tcPr>
            <w:tcW w:w="2159" w:type="dxa"/>
            <w:shd w:val="clear" w:color="auto" w:fill="FFA500"/>
            <w:tcMar>
              <w:top w:w="0" w:type="dxa"/>
              <w:left w:w="0" w:type="dxa"/>
              <w:bottom w:w="0" w:type="dxa"/>
              <w:right w:w="0" w:type="dxa"/>
            </w:tcMar>
            <w:vAlign w:val="center"/>
          </w:tcPr>
          <w:p w14:paraId="02FEE750"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Limit to Threshold</w:t>
            </w:r>
          </w:p>
        </w:tc>
        <w:tc>
          <w:tcPr>
            <w:tcW w:w="1462" w:type="dxa"/>
            <w:shd w:val="clear" w:color="auto" w:fill="FFFFFF"/>
            <w:tcMar>
              <w:top w:w="0" w:type="dxa"/>
              <w:left w:w="0" w:type="dxa"/>
              <w:bottom w:w="0" w:type="dxa"/>
              <w:right w:w="0" w:type="dxa"/>
            </w:tcMar>
            <w:vAlign w:val="center"/>
          </w:tcPr>
          <w:p w14:paraId="07FC8FDA" w14:textId="77777777" w:rsidR="005D3BD0" w:rsidRDefault="005D3BD0" w:rsidP="00D55CD7">
            <w:pPr>
              <w:keepNext/>
              <w:spacing w:before="100" w:after="100"/>
              <w:ind w:left="100" w:right="100"/>
              <w:jc w:val="center"/>
            </w:pPr>
          </w:p>
        </w:tc>
        <w:tc>
          <w:tcPr>
            <w:tcW w:w="2160" w:type="dxa"/>
            <w:shd w:val="clear" w:color="auto" w:fill="FFFFFF"/>
            <w:tcMar>
              <w:top w:w="0" w:type="dxa"/>
              <w:left w:w="0" w:type="dxa"/>
              <w:bottom w:w="0" w:type="dxa"/>
              <w:right w:w="0" w:type="dxa"/>
            </w:tcMar>
            <w:vAlign w:val="center"/>
          </w:tcPr>
          <w:p w14:paraId="7F2762FA" w14:textId="77777777" w:rsidR="005D3BD0" w:rsidRDefault="005D3BD0" w:rsidP="00D55CD7">
            <w:pPr>
              <w:keepNext/>
              <w:spacing w:before="100" w:after="100"/>
              <w:ind w:left="100" w:right="100"/>
              <w:jc w:val="center"/>
            </w:pPr>
          </w:p>
        </w:tc>
        <w:tc>
          <w:tcPr>
            <w:tcW w:w="1218" w:type="dxa"/>
            <w:shd w:val="clear" w:color="auto" w:fill="FFFFFF"/>
            <w:tcMar>
              <w:top w:w="0" w:type="dxa"/>
              <w:left w:w="0" w:type="dxa"/>
              <w:bottom w:w="0" w:type="dxa"/>
              <w:right w:w="0" w:type="dxa"/>
            </w:tcMar>
            <w:vAlign w:val="center"/>
          </w:tcPr>
          <w:p w14:paraId="250D1E47" w14:textId="77777777" w:rsidR="005D3BD0" w:rsidRDefault="005D3BD0" w:rsidP="00D55CD7">
            <w:pPr>
              <w:keepNext/>
              <w:spacing w:before="100" w:after="100"/>
              <w:ind w:left="100" w:right="100"/>
              <w:jc w:val="center"/>
            </w:pPr>
          </w:p>
        </w:tc>
        <w:tc>
          <w:tcPr>
            <w:tcW w:w="1756" w:type="dxa"/>
            <w:shd w:val="clear" w:color="auto" w:fill="FFFFFF"/>
            <w:tcMar>
              <w:top w:w="0" w:type="dxa"/>
              <w:left w:w="0" w:type="dxa"/>
              <w:bottom w:w="0" w:type="dxa"/>
              <w:right w:w="0" w:type="dxa"/>
            </w:tcMar>
            <w:vAlign w:val="center"/>
          </w:tcPr>
          <w:p w14:paraId="034F521A"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CCR2</w:t>
            </w:r>
          </w:p>
        </w:tc>
      </w:tr>
      <w:tr w:rsidR="005D3BD0" w14:paraId="38C08DF9" w14:textId="77777777" w:rsidTr="00D55CD7">
        <w:trPr>
          <w:cantSplit/>
          <w:jc w:val="center"/>
        </w:trPr>
        <w:tc>
          <w:tcPr>
            <w:tcW w:w="2159" w:type="dxa"/>
            <w:shd w:val="clear" w:color="auto" w:fill="FF0000"/>
            <w:tcMar>
              <w:top w:w="0" w:type="dxa"/>
              <w:left w:w="0" w:type="dxa"/>
              <w:bottom w:w="0" w:type="dxa"/>
              <w:right w:w="0" w:type="dxa"/>
            </w:tcMar>
            <w:vAlign w:val="center"/>
          </w:tcPr>
          <w:p w14:paraId="3F3996A8"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Below Limit</w:t>
            </w:r>
          </w:p>
        </w:tc>
        <w:tc>
          <w:tcPr>
            <w:tcW w:w="1462" w:type="dxa"/>
            <w:shd w:val="clear" w:color="auto" w:fill="FFFFFF"/>
            <w:tcMar>
              <w:top w:w="0" w:type="dxa"/>
              <w:left w:w="0" w:type="dxa"/>
              <w:bottom w:w="0" w:type="dxa"/>
              <w:right w:w="0" w:type="dxa"/>
            </w:tcMar>
            <w:vAlign w:val="center"/>
          </w:tcPr>
          <w:p w14:paraId="1F558552"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CCR2</w:t>
            </w:r>
          </w:p>
        </w:tc>
        <w:tc>
          <w:tcPr>
            <w:tcW w:w="2160" w:type="dxa"/>
            <w:shd w:val="clear" w:color="auto" w:fill="FFFFFF"/>
            <w:tcMar>
              <w:top w:w="0" w:type="dxa"/>
              <w:left w:w="0" w:type="dxa"/>
              <w:bottom w:w="0" w:type="dxa"/>
              <w:right w:w="0" w:type="dxa"/>
            </w:tcMar>
            <w:vAlign w:val="center"/>
          </w:tcPr>
          <w:p w14:paraId="2EE86FE9" w14:textId="77777777" w:rsidR="005D3BD0" w:rsidRDefault="005D3BD0" w:rsidP="00D55CD7">
            <w:pPr>
              <w:keepNext/>
              <w:spacing w:before="100" w:after="100"/>
              <w:ind w:left="100" w:right="100"/>
              <w:jc w:val="center"/>
            </w:pPr>
          </w:p>
        </w:tc>
        <w:tc>
          <w:tcPr>
            <w:tcW w:w="1218" w:type="dxa"/>
            <w:shd w:val="clear" w:color="auto" w:fill="FFFFFF"/>
            <w:tcMar>
              <w:top w:w="0" w:type="dxa"/>
              <w:left w:w="0" w:type="dxa"/>
              <w:bottom w:w="0" w:type="dxa"/>
              <w:right w:w="0" w:type="dxa"/>
            </w:tcMar>
            <w:vAlign w:val="center"/>
          </w:tcPr>
          <w:p w14:paraId="2619FE4F" w14:textId="77777777" w:rsidR="005D3BD0" w:rsidRDefault="005D3BD0" w:rsidP="00D55CD7">
            <w:pPr>
              <w:keepNext/>
              <w:spacing w:before="100" w:after="100"/>
              <w:ind w:left="100" w:right="100"/>
              <w:jc w:val="center"/>
            </w:pPr>
          </w:p>
        </w:tc>
        <w:tc>
          <w:tcPr>
            <w:tcW w:w="1756" w:type="dxa"/>
            <w:shd w:val="clear" w:color="auto" w:fill="FFFFFF"/>
            <w:tcMar>
              <w:top w:w="0" w:type="dxa"/>
              <w:left w:w="0" w:type="dxa"/>
              <w:bottom w:w="0" w:type="dxa"/>
              <w:right w:w="0" w:type="dxa"/>
            </w:tcMar>
            <w:vAlign w:val="center"/>
          </w:tcPr>
          <w:p w14:paraId="4E3DED2C" w14:textId="77777777" w:rsidR="005D3BD0" w:rsidRDefault="005D3BD0" w:rsidP="00D55CD7">
            <w:pPr>
              <w:keepNext/>
              <w:spacing w:before="100" w:after="100"/>
              <w:ind w:left="100" w:right="100"/>
              <w:jc w:val="center"/>
            </w:pPr>
          </w:p>
        </w:tc>
      </w:tr>
      <w:tr w:rsidR="005D3BD0" w14:paraId="1C728D57" w14:textId="77777777" w:rsidTr="00D55CD7">
        <w:trPr>
          <w:cantSplit/>
          <w:jc w:val="center"/>
        </w:trPr>
        <w:tc>
          <w:tcPr>
            <w:tcW w:w="2159" w:type="dxa"/>
            <w:tcBorders>
              <w:bottom w:val="single" w:sz="16" w:space="0" w:color="666666"/>
            </w:tcBorders>
            <w:shd w:val="clear" w:color="auto" w:fill="FF0000"/>
            <w:tcMar>
              <w:top w:w="0" w:type="dxa"/>
              <w:left w:w="0" w:type="dxa"/>
              <w:bottom w:w="0" w:type="dxa"/>
              <w:right w:w="0" w:type="dxa"/>
            </w:tcMar>
            <w:vAlign w:val="center"/>
          </w:tcPr>
          <w:p w14:paraId="4E134CE4"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Below Limit</w:t>
            </w:r>
          </w:p>
        </w:tc>
        <w:tc>
          <w:tcPr>
            <w:tcW w:w="1462" w:type="dxa"/>
            <w:tcBorders>
              <w:bottom w:val="single" w:sz="16" w:space="0" w:color="666666"/>
            </w:tcBorders>
            <w:shd w:val="clear" w:color="auto" w:fill="FFFFFF"/>
            <w:tcMar>
              <w:top w:w="0" w:type="dxa"/>
              <w:left w:w="0" w:type="dxa"/>
              <w:bottom w:w="0" w:type="dxa"/>
              <w:right w:w="0" w:type="dxa"/>
            </w:tcMar>
            <w:vAlign w:val="center"/>
          </w:tcPr>
          <w:p w14:paraId="5579B2F3" w14:textId="77777777" w:rsidR="005D3BD0" w:rsidRDefault="005D3BD0" w:rsidP="00D55CD7">
            <w:pPr>
              <w:keepNext/>
              <w:spacing w:before="100" w:after="100"/>
              <w:ind w:left="100" w:right="100"/>
              <w:jc w:val="center"/>
            </w:pPr>
          </w:p>
        </w:tc>
        <w:tc>
          <w:tcPr>
            <w:tcW w:w="2160" w:type="dxa"/>
            <w:tcBorders>
              <w:bottom w:val="single" w:sz="16" w:space="0" w:color="666666"/>
            </w:tcBorders>
            <w:shd w:val="clear" w:color="auto" w:fill="FFFFFF"/>
            <w:tcMar>
              <w:top w:w="0" w:type="dxa"/>
              <w:left w:w="0" w:type="dxa"/>
              <w:bottom w:w="0" w:type="dxa"/>
              <w:right w:w="0" w:type="dxa"/>
            </w:tcMar>
            <w:vAlign w:val="center"/>
          </w:tcPr>
          <w:p w14:paraId="38D2F23D"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Close fishery &amp; implement structured fishing</w:t>
            </w:r>
          </w:p>
        </w:tc>
        <w:tc>
          <w:tcPr>
            <w:tcW w:w="1218" w:type="dxa"/>
            <w:tcBorders>
              <w:bottom w:val="single" w:sz="16" w:space="0" w:color="666666"/>
            </w:tcBorders>
            <w:shd w:val="clear" w:color="auto" w:fill="FFFFFF"/>
            <w:tcMar>
              <w:top w:w="0" w:type="dxa"/>
              <w:left w:w="0" w:type="dxa"/>
              <w:bottom w:w="0" w:type="dxa"/>
              <w:right w:w="0" w:type="dxa"/>
            </w:tcMar>
            <w:vAlign w:val="center"/>
          </w:tcPr>
          <w:p w14:paraId="0FA3DF76" w14:textId="77777777" w:rsidR="005D3BD0" w:rsidRDefault="005D3BD0" w:rsidP="00D55CD7">
            <w:pPr>
              <w:keepNext/>
              <w:spacing w:before="100" w:after="100"/>
              <w:ind w:left="100" w:right="100"/>
              <w:jc w:val="center"/>
            </w:pPr>
          </w:p>
        </w:tc>
        <w:tc>
          <w:tcPr>
            <w:tcW w:w="1756" w:type="dxa"/>
            <w:tcBorders>
              <w:bottom w:val="single" w:sz="16" w:space="0" w:color="666666"/>
            </w:tcBorders>
            <w:shd w:val="clear" w:color="auto" w:fill="FFFFFF"/>
            <w:tcMar>
              <w:top w:w="0" w:type="dxa"/>
              <w:left w:w="0" w:type="dxa"/>
              <w:bottom w:w="0" w:type="dxa"/>
              <w:right w:w="0" w:type="dxa"/>
            </w:tcMar>
            <w:vAlign w:val="center"/>
          </w:tcPr>
          <w:p w14:paraId="1CC0686B" w14:textId="77777777" w:rsidR="005D3BD0" w:rsidRDefault="005D3BD0" w:rsidP="00D55CD7">
            <w:pPr>
              <w:keepNext/>
              <w:spacing w:before="100" w:after="100"/>
              <w:ind w:left="100" w:right="100"/>
              <w:jc w:val="center"/>
            </w:pPr>
          </w:p>
        </w:tc>
      </w:tr>
    </w:tbl>
    <w:p w14:paraId="71A50C7B" w14:textId="77777777" w:rsidR="005D3BD0" w:rsidRDefault="005D3BD0" w:rsidP="005D3BD0">
      <w:r>
        <w:t xml:space="preserve"> </w:t>
      </w:r>
    </w:p>
    <w:p w14:paraId="63DCCEA1" w14:textId="77777777" w:rsidR="005D3BD0" w:rsidRDefault="005D3BD0" w:rsidP="005D3BD0">
      <w:pPr>
        <w:pStyle w:val="Heading2"/>
      </w:pPr>
      <w:bookmarkStart w:id="29" w:name="_Toc161910822"/>
      <w:bookmarkStart w:id="30" w:name="X74a0424ea8e09a627d49519b2939e215e612f65"/>
      <w:bookmarkEnd w:id="28"/>
      <w:r>
        <w:t>Step 6. Calculate the Primary Indictor (4yr gradient change) and categorise</w:t>
      </w:r>
      <w:bookmarkEnd w:id="29"/>
    </w:p>
    <w:p w14:paraId="28EFF1BF" w14:textId="2388C58D" w:rsidR="005D3BD0" w:rsidRDefault="005D3BD0" w:rsidP="005D3BD0">
      <w:r>
        <w:t xml:space="preserve">To calculate the Primary Performance Indicator (i.e. the four-year gradient) the four most recent years of data (2017 to 2020 quota years) were </w:t>
      </w:r>
      <w:proofErr w:type="gramStart"/>
      <w:r>
        <w:t>plotted</w:t>
      </w:r>
      <w:proofErr w:type="gramEnd"/>
      <w:r>
        <w:t xml:space="preserve"> and a linear regression line was fitted (see Appendix 1). The percentage change in CPUE over the four years as defined by the line of best fit, was calculated (see Appendix 1). This Primary Indicator was categorised against the rules defined in Table 4. For example, if the indicator is &gt; 5%, it is classified as Increasing; if the indicator is between -5 and 5%, it is classified as Stable, and if the indicator is less than -5%, it is classified as Decreasing (Table </w:t>
      </w:r>
      <w:r w:rsidR="00223A77">
        <w:t>6</w:t>
      </w:r>
      <w:r>
        <w:t>).</w:t>
      </w:r>
    </w:p>
    <w:p w14:paraId="1819FE83" w14:textId="77777777" w:rsidR="005D3BD0" w:rsidRDefault="005D3BD0" w:rsidP="005D3BD0">
      <w:r>
        <w:t xml:space="preserve"> </w:t>
      </w:r>
    </w:p>
    <w:p w14:paraId="255F4F53" w14:textId="77777777" w:rsidR="00223A77" w:rsidRDefault="00223A77">
      <w:pPr>
        <w:spacing w:before="0" w:after="160" w:line="259" w:lineRule="auto"/>
        <w:rPr>
          <w:b/>
        </w:rPr>
      </w:pPr>
      <w:r>
        <w:rPr>
          <w:b/>
        </w:rPr>
        <w:br w:type="page"/>
      </w:r>
    </w:p>
    <w:p w14:paraId="38459E10" w14:textId="0EE94095" w:rsidR="005D3BD0" w:rsidRDefault="005D3BD0" w:rsidP="005D3BD0">
      <w:pPr>
        <w:pStyle w:val="TableCaption"/>
      </w:pPr>
      <w:r>
        <w:rPr>
          <w:b/>
        </w:rPr>
        <w:lastRenderedPageBreak/>
        <w:t xml:space="preserve">Table </w:t>
      </w:r>
      <w:r w:rsidR="00223A77">
        <w:rPr>
          <w:b/>
        </w:rPr>
        <w:t>6</w:t>
      </w:r>
      <w:r>
        <w:t>: Table 4: Applicable performance indicator change rules.</w:t>
      </w:r>
    </w:p>
    <w:tbl>
      <w:tblPr>
        <w:tblW w:w="0" w:type="auto"/>
        <w:jc w:val="center"/>
        <w:tblLayout w:type="fixed"/>
        <w:tblLook w:val="0420" w:firstRow="1" w:lastRow="0" w:firstColumn="0" w:lastColumn="0" w:noHBand="0" w:noVBand="1"/>
      </w:tblPr>
      <w:tblGrid>
        <w:gridCol w:w="3168"/>
        <w:gridCol w:w="1523"/>
      </w:tblGrid>
      <w:tr w:rsidR="005D3BD0" w14:paraId="6F9E130A" w14:textId="77777777" w:rsidTr="00D55CD7">
        <w:trPr>
          <w:cantSplit/>
          <w:tblHeader/>
          <w:jc w:val="center"/>
        </w:trPr>
        <w:tc>
          <w:tcPr>
            <w:tcW w:w="316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CDA7A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Performance Indicator % Change</w:t>
            </w:r>
          </w:p>
        </w:tc>
        <w:tc>
          <w:tcPr>
            <w:tcW w:w="152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9A665DA"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Category</w:t>
            </w:r>
          </w:p>
        </w:tc>
      </w:tr>
      <w:tr w:rsidR="005D3BD0" w14:paraId="0FB2E2F5" w14:textId="77777777" w:rsidTr="00D55CD7">
        <w:trPr>
          <w:cantSplit/>
          <w:jc w:val="center"/>
        </w:trPr>
        <w:tc>
          <w:tcPr>
            <w:tcW w:w="3168" w:type="dxa"/>
            <w:shd w:val="clear" w:color="auto" w:fill="228B22"/>
            <w:tcMar>
              <w:top w:w="0" w:type="dxa"/>
              <w:left w:w="0" w:type="dxa"/>
              <w:bottom w:w="0" w:type="dxa"/>
              <w:right w:w="0" w:type="dxa"/>
            </w:tcMar>
            <w:vAlign w:val="center"/>
          </w:tcPr>
          <w:p w14:paraId="1E4D6557"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&gt;5%</w:t>
            </w:r>
          </w:p>
        </w:tc>
        <w:tc>
          <w:tcPr>
            <w:tcW w:w="1523" w:type="dxa"/>
            <w:shd w:val="clear" w:color="auto" w:fill="228B22"/>
            <w:tcMar>
              <w:top w:w="0" w:type="dxa"/>
              <w:left w:w="0" w:type="dxa"/>
              <w:bottom w:w="0" w:type="dxa"/>
              <w:right w:w="0" w:type="dxa"/>
            </w:tcMar>
            <w:vAlign w:val="center"/>
          </w:tcPr>
          <w:p w14:paraId="1A357414"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r>
      <w:tr w:rsidR="005D3BD0" w14:paraId="5CA0EE5C" w14:textId="77777777" w:rsidTr="00D55CD7">
        <w:trPr>
          <w:cantSplit/>
          <w:jc w:val="center"/>
        </w:trPr>
        <w:tc>
          <w:tcPr>
            <w:tcW w:w="3168" w:type="dxa"/>
            <w:shd w:val="clear" w:color="auto" w:fill="FFA500"/>
            <w:tcMar>
              <w:top w:w="0" w:type="dxa"/>
              <w:left w:w="0" w:type="dxa"/>
              <w:bottom w:w="0" w:type="dxa"/>
              <w:right w:w="0" w:type="dxa"/>
            </w:tcMar>
            <w:vAlign w:val="center"/>
          </w:tcPr>
          <w:p w14:paraId="5CB9939D"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-5 to 5%</w:t>
            </w:r>
          </w:p>
        </w:tc>
        <w:tc>
          <w:tcPr>
            <w:tcW w:w="1523" w:type="dxa"/>
            <w:shd w:val="clear" w:color="auto" w:fill="FFA500"/>
            <w:tcMar>
              <w:top w:w="0" w:type="dxa"/>
              <w:left w:w="0" w:type="dxa"/>
              <w:bottom w:w="0" w:type="dxa"/>
              <w:right w:w="0" w:type="dxa"/>
            </w:tcMar>
            <w:vAlign w:val="center"/>
          </w:tcPr>
          <w:p w14:paraId="5660DA3B"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r>
      <w:tr w:rsidR="005D3BD0" w14:paraId="59B0B9FA" w14:textId="77777777" w:rsidTr="00D55CD7">
        <w:trPr>
          <w:cantSplit/>
          <w:jc w:val="center"/>
        </w:trPr>
        <w:tc>
          <w:tcPr>
            <w:tcW w:w="3168" w:type="dxa"/>
            <w:tcBorders>
              <w:bottom w:val="single" w:sz="16" w:space="0" w:color="666666"/>
            </w:tcBorders>
            <w:shd w:val="clear" w:color="auto" w:fill="FF0000"/>
            <w:tcMar>
              <w:top w:w="0" w:type="dxa"/>
              <w:left w:w="0" w:type="dxa"/>
              <w:bottom w:w="0" w:type="dxa"/>
              <w:right w:w="0" w:type="dxa"/>
            </w:tcMar>
            <w:vAlign w:val="center"/>
          </w:tcPr>
          <w:p w14:paraId="24E532F7"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&lt;5%</w:t>
            </w:r>
          </w:p>
        </w:tc>
        <w:tc>
          <w:tcPr>
            <w:tcW w:w="1523" w:type="dxa"/>
            <w:tcBorders>
              <w:bottom w:val="single" w:sz="16" w:space="0" w:color="666666"/>
            </w:tcBorders>
            <w:shd w:val="clear" w:color="auto" w:fill="FF0000"/>
            <w:tcMar>
              <w:top w:w="0" w:type="dxa"/>
              <w:left w:w="0" w:type="dxa"/>
              <w:bottom w:w="0" w:type="dxa"/>
              <w:right w:w="0" w:type="dxa"/>
            </w:tcMar>
            <w:vAlign w:val="center"/>
          </w:tcPr>
          <w:p w14:paraId="07E0E4A8"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r>
    </w:tbl>
    <w:p w14:paraId="6BDB8775" w14:textId="77777777" w:rsidR="005D3BD0" w:rsidRDefault="005D3BD0" w:rsidP="005D3BD0">
      <w:r>
        <w:t xml:space="preserve"> </w:t>
      </w:r>
    </w:p>
    <w:p w14:paraId="5FE872F6" w14:textId="77777777" w:rsidR="005D3BD0" w:rsidRDefault="005D3BD0" w:rsidP="005D3BD0">
      <w:pPr>
        <w:pStyle w:val="Heading2"/>
      </w:pPr>
      <w:bookmarkStart w:id="31" w:name="_Toc161910823"/>
      <w:bookmarkStart w:id="32" w:name="X4d07f1b93cbb7ff253fd4a9ccf731989157a785"/>
      <w:bookmarkEnd w:id="30"/>
      <w:r>
        <w:t>Step 7. Calculate the Secondary Indicator (2yr ratio) and categorise</w:t>
      </w:r>
      <w:bookmarkEnd w:id="31"/>
    </w:p>
    <w:p w14:paraId="738F3117" w14:textId="577ACF4F" w:rsidR="005D3BD0" w:rsidRDefault="005D3BD0" w:rsidP="005D3BD0">
      <w:r>
        <w:t xml:space="preserve">To calculate the Secondary Performance Indicator, the ratio of the standardised mean CPUE estimates from 2020 were compared to the 2019 estimates. This Secondary Indicator was categorised against the rules in Table </w:t>
      </w:r>
      <w:r w:rsidR="00223A77">
        <w:t>6</w:t>
      </w:r>
      <w:r>
        <w:t>.</w:t>
      </w:r>
    </w:p>
    <w:p w14:paraId="575B2482" w14:textId="77777777" w:rsidR="005D3BD0" w:rsidRDefault="005D3BD0" w:rsidP="005D3BD0">
      <w:pPr>
        <w:pStyle w:val="Heading2"/>
      </w:pPr>
      <w:bookmarkStart w:id="33" w:name="_Toc161910824"/>
      <w:bookmarkStart w:id="34" w:name="X5bf993e23afc81ff301892dc87d7fe6105460bb"/>
      <w:bookmarkEnd w:id="32"/>
      <w:r>
        <w:t>Step 8. Calculate the Primary Categorisation Result based on the Primary and Secondary Indicators</w:t>
      </w:r>
      <w:bookmarkEnd w:id="33"/>
    </w:p>
    <w:p w14:paraId="5E947175" w14:textId="6A7D9EDF" w:rsidR="005D3BD0" w:rsidRDefault="005D3BD0" w:rsidP="005D3BD0">
      <w:r>
        <w:t xml:space="preserve">Based on the Primary Indicator calculated in Step 6 and the Secondary Indicatory calculated in Step 7, Table </w:t>
      </w:r>
      <w:r w:rsidR="00223A77">
        <w:t>7</w:t>
      </w:r>
      <w:r>
        <w:t xml:space="preserve"> is used to determine the Primary Categorisation. For example, if the Primary Indicator trend is Decreasing, regardless of the trend in the Secondary Indicator, the Primary Categorisation is always Decreasing. If the Primary Indicator trend is Stable, and the Secondary Indicatory trend is Decreasing, and the Primary Categorisation is Decreasing, otherwise it is Stable. If the Primary Indicator is Increasing and the Secondary indicator is Decreasing, the Primary Categorisation is Stable, otherwise it is Increasing (Table </w:t>
      </w:r>
      <w:r w:rsidR="00223A77">
        <w:t>7</w:t>
      </w:r>
      <w:r>
        <w:t>).</w:t>
      </w:r>
    </w:p>
    <w:p w14:paraId="7FD1745C" w14:textId="77777777" w:rsidR="005D3BD0" w:rsidRDefault="005D3BD0" w:rsidP="005D3BD0">
      <w:r>
        <w:t xml:space="preserve"> </w:t>
      </w:r>
    </w:p>
    <w:p w14:paraId="2169EBFA" w14:textId="4FB87392" w:rsidR="005D3BD0" w:rsidRDefault="005D3BD0" w:rsidP="005D3BD0">
      <w:pPr>
        <w:pStyle w:val="TableCaption"/>
      </w:pPr>
      <w:r>
        <w:rPr>
          <w:b/>
        </w:rPr>
        <w:t xml:space="preserve">Table </w:t>
      </w:r>
      <w:r w:rsidR="00223A77">
        <w:rPr>
          <w:b/>
        </w:rPr>
        <w:t>7</w:t>
      </w:r>
      <w:r>
        <w:t>: Primary Categorisation rules.</w:t>
      </w:r>
    </w:p>
    <w:tbl>
      <w:tblPr>
        <w:tblW w:w="0" w:type="auto"/>
        <w:jc w:val="center"/>
        <w:tblLayout w:type="fixed"/>
        <w:tblLook w:val="0420" w:firstRow="1" w:lastRow="0" w:firstColumn="0" w:lastColumn="0" w:noHBand="0" w:noVBand="1"/>
      </w:tblPr>
      <w:tblGrid>
        <w:gridCol w:w="1080"/>
        <w:gridCol w:w="1584"/>
        <w:gridCol w:w="1584"/>
        <w:gridCol w:w="1584"/>
        <w:gridCol w:w="1584"/>
        <w:gridCol w:w="1584"/>
      </w:tblGrid>
      <w:tr w:rsidR="005D3BD0" w14:paraId="7BE47C68" w14:textId="77777777" w:rsidTr="00D55CD7">
        <w:trPr>
          <w:cantSplit/>
          <w:tblHeader/>
          <w:jc w:val="center"/>
        </w:trPr>
        <w:tc>
          <w:tcPr>
            <w:tcW w:w="1080" w:type="dxa"/>
            <w:shd w:val="clear" w:color="auto" w:fill="FFFFFF"/>
            <w:tcMar>
              <w:top w:w="0" w:type="dxa"/>
              <w:left w:w="0" w:type="dxa"/>
              <w:bottom w:w="0" w:type="dxa"/>
              <w:right w:w="0" w:type="dxa"/>
            </w:tcMar>
            <w:vAlign w:val="center"/>
          </w:tcPr>
          <w:p w14:paraId="778EA7B7" w14:textId="77777777" w:rsidR="005D3BD0" w:rsidRDefault="005D3BD0" w:rsidP="00D55CD7">
            <w:pPr>
              <w:keepNext/>
              <w:spacing w:before="100" w:after="100"/>
              <w:ind w:left="100" w:right="100"/>
              <w:jc w:val="center"/>
            </w:pPr>
          </w:p>
        </w:tc>
        <w:tc>
          <w:tcPr>
            <w:tcW w:w="1584" w:type="dxa"/>
            <w:tcBorders>
              <w:right w:val="single" w:sz="8" w:space="0" w:color="000000"/>
            </w:tcBorders>
            <w:shd w:val="clear" w:color="auto" w:fill="FFFFFF"/>
            <w:tcMar>
              <w:top w:w="0" w:type="dxa"/>
              <w:left w:w="0" w:type="dxa"/>
              <w:bottom w:w="0" w:type="dxa"/>
              <w:right w:w="0" w:type="dxa"/>
            </w:tcMar>
            <w:vAlign w:val="center"/>
          </w:tcPr>
          <w:p w14:paraId="36C505C7" w14:textId="77777777" w:rsidR="005D3BD0" w:rsidRDefault="005D3BD0" w:rsidP="00D55CD7">
            <w:pPr>
              <w:keepNext/>
              <w:spacing w:before="100" w:after="100"/>
              <w:ind w:left="100" w:right="100"/>
              <w:jc w:val="center"/>
            </w:pPr>
          </w:p>
        </w:tc>
        <w:tc>
          <w:tcPr>
            <w:tcW w:w="6336" w:type="dxa"/>
            <w:gridSpan w:val="4"/>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3F7B6528"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Secondary Indicator trend</w:t>
            </w:r>
          </w:p>
        </w:tc>
      </w:tr>
      <w:tr w:rsidR="005D3BD0" w14:paraId="7F67EA39" w14:textId="77777777" w:rsidTr="00D55CD7">
        <w:trPr>
          <w:cantSplit/>
          <w:jc w:val="center"/>
        </w:trPr>
        <w:tc>
          <w:tcPr>
            <w:tcW w:w="1080" w:type="dxa"/>
            <w:tcBorders>
              <w:bottom w:val="single" w:sz="8" w:space="0" w:color="FFFFFF"/>
            </w:tcBorders>
            <w:shd w:val="clear" w:color="auto" w:fill="FFFFFF"/>
            <w:tcMar>
              <w:top w:w="0" w:type="dxa"/>
              <w:left w:w="0" w:type="dxa"/>
              <w:bottom w:w="0" w:type="dxa"/>
              <w:right w:w="0" w:type="dxa"/>
            </w:tcMar>
            <w:vAlign w:val="center"/>
          </w:tcPr>
          <w:p w14:paraId="07858990" w14:textId="77777777" w:rsidR="005D3BD0" w:rsidRDefault="005D3BD0" w:rsidP="00D55CD7">
            <w:pPr>
              <w:keepNext/>
              <w:spacing w:before="100" w:after="100"/>
              <w:ind w:left="100" w:right="100"/>
              <w:jc w:val="center"/>
            </w:pPr>
          </w:p>
        </w:tc>
        <w:tc>
          <w:tcPr>
            <w:tcW w:w="1584" w:type="dxa"/>
            <w:tcBorders>
              <w:bottom w:val="single" w:sz="8" w:space="0" w:color="FFFFFF"/>
              <w:right w:val="single" w:sz="8" w:space="0" w:color="000000"/>
            </w:tcBorders>
            <w:shd w:val="clear" w:color="auto" w:fill="FFFFFF"/>
            <w:tcMar>
              <w:top w:w="0" w:type="dxa"/>
              <w:left w:w="0" w:type="dxa"/>
              <w:bottom w:w="0" w:type="dxa"/>
              <w:right w:w="0" w:type="dxa"/>
            </w:tcMar>
            <w:vAlign w:val="center"/>
          </w:tcPr>
          <w:p w14:paraId="28FAFC75" w14:textId="77777777" w:rsidR="005D3BD0" w:rsidRDefault="005D3BD0" w:rsidP="00D55CD7">
            <w:pPr>
              <w:keepNext/>
              <w:spacing w:before="100" w:after="100"/>
              <w:ind w:left="100" w:right="100"/>
              <w:jc w:val="center"/>
            </w:pPr>
          </w:p>
        </w:tc>
        <w:tc>
          <w:tcPr>
            <w:tcW w:w="1584"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3FB3CF3F" w14:textId="77777777" w:rsidR="005D3BD0" w:rsidRDefault="005D3BD0" w:rsidP="00D55CD7">
            <w:pPr>
              <w:keepNext/>
              <w:spacing w:before="100" w:after="100"/>
              <w:ind w:left="100" w:right="100"/>
              <w:jc w:val="center"/>
            </w:pPr>
          </w:p>
        </w:tc>
        <w:tc>
          <w:tcPr>
            <w:tcW w:w="1584" w:type="dxa"/>
            <w:tcBorders>
              <w:bottom w:val="single" w:sz="8" w:space="0" w:color="000000"/>
            </w:tcBorders>
            <w:shd w:val="clear" w:color="auto" w:fill="FFFFFF"/>
            <w:tcMar>
              <w:top w:w="0" w:type="dxa"/>
              <w:left w:w="0" w:type="dxa"/>
              <w:bottom w:w="0" w:type="dxa"/>
              <w:right w:w="0" w:type="dxa"/>
            </w:tcMar>
            <w:vAlign w:val="center"/>
          </w:tcPr>
          <w:p w14:paraId="70228D4F" w14:textId="77777777" w:rsidR="005D3BD0" w:rsidRDefault="005D3BD0" w:rsidP="00D55CD7">
            <w:pPr>
              <w:keepNext/>
              <w:spacing w:before="100" w:after="100"/>
              <w:ind w:left="100" w:right="100"/>
              <w:jc w:val="center"/>
            </w:pPr>
          </w:p>
        </w:tc>
        <w:tc>
          <w:tcPr>
            <w:tcW w:w="1584" w:type="dxa"/>
            <w:tcBorders>
              <w:bottom w:val="single" w:sz="8" w:space="0" w:color="000000"/>
            </w:tcBorders>
            <w:shd w:val="clear" w:color="auto" w:fill="FFFFFF"/>
            <w:tcMar>
              <w:top w:w="0" w:type="dxa"/>
              <w:left w:w="0" w:type="dxa"/>
              <w:bottom w:w="0" w:type="dxa"/>
              <w:right w:w="0" w:type="dxa"/>
            </w:tcMar>
            <w:vAlign w:val="center"/>
          </w:tcPr>
          <w:p w14:paraId="7893FF57" w14:textId="77777777" w:rsidR="005D3BD0" w:rsidRDefault="005D3BD0" w:rsidP="00D55CD7">
            <w:pPr>
              <w:keepNext/>
              <w:spacing w:before="100" w:after="100"/>
              <w:ind w:left="100" w:right="100"/>
              <w:jc w:val="center"/>
            </w:pPr>
          </w:p>
        </w:tc>
        <w:tc>
          <w:tcPr>
            <w:tcW w:w="1584"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60B79F52" w14:textId="77777777" w:rsidR="005D3BD0" w:rsidRDefault="005D3BD0" w:rsidP="00D55CD7">
            <w:pPr>
              <w:keepNext/>
              <w:spacing w:before="100" w:after="100"/>
              <w:ind w:left="100" w:right="100"/>
              <w:jc w:val="center"/>
            </w:pPr>
          </w:p>
        </w:tc>
      </w:tr>
      <w:tr w:rsidR="005D3BD0" w14:paraId="21775A24" w14:textId="77777777" w:rsidTr="00D55CD7">
        <w:trPr>
          <w:cantSplit/>
          <w:jc w:val="center"/>
        </w:trPr>
        <w:tc>
          <w:tcPr>
            <w:tcW w:w="1080" w:type="dxa"/>
            <w:tcBorders>
              <w:top w:val="single" w:sz="8" w:space="0" w:color="FFFFFF"/>
              <w:bottom w:val="single" w:sz="8" w:space="0" w:color="000000"/>
            </w:tcBorders>
            <w:shd w:val="clear" w:color="auto" w:fill="FFFFFF"/>
            <w:tcMar>
              <w:top w:w="0" w:type="dxa"/>
              <w:left w:w="0" w:type="dxa"/>
              <w:bottom w:w="0" w:type="dxa"/>
              <w:right w:w="0" w:type="dxa"/>
            </w:tcMar>
            <w:vAlign w:val="center"/>
          </w:tcPr>
          <w:p w14:paraId="509179F4" w14:textId="77777777" w:rsidR="005D3BD0" w:rsidRDefault="005D3BD0" w:rsidP="00D55CD7">
            <w:pPr>
              <w:keepNext/>
              <w:spacing w:before="100" w:after="100"/>
              <w:ind w:left="100" w:right="100"/>
              <w:jc w:val="center"/>
            </w:pPr>
          </w:p>
        </w:tc>
        <w:tc>
          <w:tcPr>
            <w:tcW w:w="1584" w:type="dxa"/>
            <w:tcBorders>
              <w:top w:val="single" w:sz="8" w:space="0" w:color="FFFFFF"/>
              <w:bottom w:val="single" w:sz="8" w:space="0" w:color="000000"/>
              <w:right w:val="single" w:sz="8" w:space="0" w:color="000000"/>
            </w:tcBorders>
            <w:shd w:val="clear" w:color="auto" w:fill="FFFFFF"/>
            <w:tcMar>
              <w:top w:w="0" w:type="dxa"/>
              <w:left w:w="0" w:type="dxa"/>
              <w:bottom w:w="0" w:type="dxa"/>
              <w:right w:w="0" w:type="dxa"/>
            </w:tcMar>
            <w:vAlign w:val="center"/>
          </w:tcPr>
          <w:p w14:paraId="7800592F" w14:textId="77777777" w:rsidR="005D3BD0" w:rsidRDefault="005D3BD0" w:rsidP="00D55CD7">
            <w:pPr>
              <w:keepNext/>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center"/>
          </w:tcPr>
          <w:p w14:paraId="406A4E38"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A500"/>
            <w:tcMar>
              <w:top w:w="0" w:type="dxa"/>
              <w:left w:w="0" w:type="dxa"/>
              <w:bottom w:w="0" w:type="dxa"/>
              <w:right w:w="0" w:type="dxa"/>
            </w:tcMar>
            <w:vAlign w:val="center"/>
          </w:tcPr>
          <w:p w14:paraId="494794C8"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14:paraId="5A239FB6"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B2E7E7"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NA</w:t>
            </w:r>
          </w:p>
        </w:tc>
      </w:tr>
      <w:tr w:rsidR="005D3BD0" w14:paraId="386C25E7" w14:textId="77777777" w:rsidTr="00D55CD7">
        <w:trPr>
          <w:cantSplit/>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extDirection w:val="btLr"/>
            <w:vAlign w:val="center"/>
          </w:tcPr>
          <w:p w14:paraId="7AC9ED0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Primary Indicator Trend</w:t>
            </w:r>
          </w:p>
        </w:tc>
        <w:tc>
          <w:tcPr>
            <w:tcW w:w="1584"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center"/>
          </w:tcPr>
          <w:p w14:paraId="2F96BFC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47B239"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8CFD63"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E1A026"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C99BD6"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r>
      <w:tr w:rsidR="005D3BD0" w14:paraId="1B7E87DB" w14:textId="77777777" w:rsidTr="00D55CD7">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F6DB7F" w14:textId="77777777" w:rsidR="005D3BD0" w:rsidRDefault="005D3BD0" w:rsidP="00D55CD7">
            <w:pPr>
              <w:keepNext/>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FFA500"/>
            <w:tcMar>
              <w:top w:w="0" w:type="dxa"/>
              <w:left w:w="0" w:type="dxa"/>
              <w:bottom w:w="0" w:type="dxa"/>
              <w:right w:w="0" w:type="dxa"/>
            </w:tcMar>
            <w:vAlign w:val="center"/>
          </w:tcPr>
          <w:p w14:paraId="444F630A"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97508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F9E380"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997AC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07A62B"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r>
      <w:tr w:rsidR="005D3BD0" w14:paraId="6996C15B" w14:textId="77777777" w:rsidTr="00D55CD7">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2E93EE" w14:textId="77777777" w:rsidR="005D3BD0" w:rsidRDefault="005D3BD0" w:rsidP="00D55CD7">
            <w:pPr>
              <w:keepNext/>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14:paraId="75EDF437"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BECB41"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885E6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9A241B"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67EA5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r>
    </w:tbl>
    <w:p w14:paraId="5784BCAA" w14:textId="77777777" w:rsidR="005D3BD0" w:rsidRDefault="005D3BD0" w:rsidP="005D3BD0">
      <w:r>
        <w:t xml:space="preserve"> </w:t>
      </w:r>
    </w:p>
    <w:p w14:paraId="1A46A239" w14:textId="77777777" w:rsidR="005D3BD0" w:rsidRDefault="005D3BD0" w:rsidP="005D3BD0">
      <w:pPr>
        <w:pStyle w:val="Heading2"/>
      </w:pPr>
      <w:bookmarkStart w:id="35" w:name="_Toc161910825"/>
      <w:bookmarkStart w:id="36" w:name="Xae8fe8d1c87d37dff14b512af0c949ec9971f47"/>
      <w:bookmarkEnd w:id="34"/>
      <w:r>
        <w:t>Step 9. Calculate the Tertiary Indicator (4yr gradient change) and categorise</w:t>
      </w:r>
      <w:bookmarkEnd w:id="35"/>
    </w:p>
    <w:p w14:paraId="2DA818B6" w14:textId="77777777" w:rsidR="00A323B4" w:rsidRDefault="00A323B4" w:rsidP="005D3BD0">
      <w:r>
        <w:t xml:space="preserve">Note no FIS data were collected in </w:t>
      </w:r>
      <w:proofErr w:type="gramStart"/>
      <w:r>
        <w:t>2024</w:t>
      </w:r>
      <w:proofErr w:type="gramEnd"/>
      <w:r>
        <w:t xml:space="preserve"> so the following was not </w:t>
      </w:r>
      <w:proofErr w:type="spellStart"/>
      <w:r>
        <w:t>caulcated</w:t>
      </w:r>
      <w:proofErr w:type="spellEnd"/>
      <w:r>
        <w:t>.</w:t>
      </w:r>
    </w:p>
    <w:p w14:paraId="22CA1DBB" w14:textId="68A2190E" w:rsidR="005D3BD0" w:rsidRDefault="005D3BD0" w:rsidP="005D3BD0">
      <w:r>
        <w:t>The Tertiary Indicator, for each SMU, was calculated as followed:</w:t>
      </w:r>
    </w:p>
    <w:p w14:paraId="3EE34B2D" w14:textId="77777777" w:rsidR="005D3BD0" w:rsidRDefault="005D3BD0" w:rsidP="005D3BD0">
      <w:pPr>
        <w:numPr>
          <w:ilvl w:val="0"/>
          <w:numId w:val="26"/>
        </w:numPr>
      </w:pPr>
      <w:r>
        <w:t>Obtain the legislated LML for the target SMU</w:t>
      </w:r>
    </w:p>
    <w:p w14:paraId="30C7D8B0" w14:textId="77777777" w:rsidR="005D3BD0" w:rsidRDefault="005D3BD0" w:rsidP="005D3BD0">
      <w:pPr>
        <w:numPr>
          <w:ilvl w:val="0"/>
          <w:numId w:val="26"/>
        </w:numPr>
      </w:pPr>
      <w:r>
        <w:lastRenderedPageBreak/>
        <w:t xml:space="preserve">Using the Length Frequency data set, convert the measured length of abalone within the target SMU to weight using the following relationship: </w:t>
      </w:r>
      <m:oMath>
        <m:r>
          <w:rPr>
            <w:rFonts w:ascii="Cambria Math" w:hAnsi="Cambria Math"/>
          </w:rPr>
          <m:t>Weight</m:t>
        </m:r>
        <m:r>
          <m:rPr>
            <m:sty m:val="p"/>
          </m:rPr>
          <w:rPr>
            <w:rFonts w:ascii="Cambria Math" w:hAnsi="Cambria Math"/>
          </w:rPr>
          <m:t>=</m:t>
        </m:r>
        <m:r>
          <w:rPr>
            <w:rFonts w:ascii="Cambria Math" w:hAnsi="Cambria Math"/>
          </w:rPr>
          <m:t>3.34</m:t>
        </m:r>
        <m:r>
          <m:rPr>
            <m:sty m:val="p"/>
          </m:rPr>
          <w:rPr>
            <w:rFonts w:ascii="Cambria Math" w:hAnsi="Cambria Math"/>
          </w:rPr>
          <m:t>*</m:t>
        </m:r>
        <m:sSup>
          <m:sSupPr>
            <m:ctrlPr>
              <w:rPr>
                <w:rFonts w:ascii="Cambria Math" w:hAnsi="Cambria Math"/>
              </w:rPr>
            </m:ctrlPr>
          </m:sSupPr>
          <m:e>
            <m:r>
              <w:rPr>
                <w:rFonts w:ascii="Cambria Math" w:hAnsi="Cambria Math"/>
              </w:rPr>
              <m:t>10</m:t>
            </m:r>
          </m:e>
          <m:sup>
            <m:r>
              <m:rPr>
                <m:sty m:val="p"/>
              </m:rPr>
              <w:rPr>
                <w:rFonts w:ascii="Cambria Math" w:hAnsi="Cambria Math"/>
              </w:rPr>
              <m:t>-</m:t>
            </m:r>
            <m:r>
              <w:rPr>
                <w:rFonts w:ascii="Cambria Math" w:hAnsi="Cambria Math"/>
              </w:rPr>
              <m:t>4</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Length</m:t>
                </m:r>
              </m:e>
            </m:d>
          </m:e>
          <m:sup>
            <m:r>
              <w:rPr>
                <w:rFonts w:ascii="Cambria Math" w:hAnsi="Cambria Math"/>
              </w:rPr>
              <m:t>2.857</m:t>
            </m:r>
          </m:sup>
        </m:sSup>
      </m:oMath>
    </w:p>
    <w:p w14:paraId="7DD09B85" w14:textId="77777777" w:rsidR="005D3BD0" w:rsidRDefault="005D3BD0" w:rsidP="005D3BD0">
      <w:pPr>
        <w:numPr>
          <w:ilvl w:val="0"/>
          <w:numId w:val="26"/>
        </w:numPr>
      </w:pPr>
      <w:r>
        <w:t>Using the Length Frequency data set, determine the number of abalone that are 0-20 mm (N20) and 0-40 mm (N40) below the LML, for each Site within the target SMU, per year (i.e., between 2016 and 2020).</w:t>
      </w:r>
    </w:p>
    <w:p w14:paraId="46EB3760" w14:textId="77777777" w:rsidR="005D3BD0" w:rsidRDefault="005D3BD0" w:rsidP="005D3BD0">
      <w:pPr>
        <w:numPr>
          <w:ilvl w:val="0"/>
          <w:numId w:val="26"/>
        </w:numPr>
      </w:pPr>
      <w:r>
        <w:t>Using the Length Frequency data set, estimate the average weight (calculated in (2)) of N20 abalone (calculated in (3)) for each Site within the target SMU, per year.</w:t>
      </w:r>
    </w:p>
    <w:p w14:paraId="48B833AB" w14:textId="77777777" w:rsidR="005D3BD0" w:rsidRDefault="005D3BD0" w:rsidP="005D3BD0">
      <w:pPr>
        <w:numPr>
          <w:ilvl w:val="0"/>
          <w:numId w:val="26"/>
        </w:numPr>
      </w:pPr>
      <w:r>
        <w:t>Estimate the total weight of N20 abalone by multiplying the number of individuals in the N20 class (from (3)) with the average weight of individuals in that class (from (4))</w:t>
      </w:r>
    </w:p>
    <w:p w14:paraId="5DA30022" w14:textId="77777777" w:rsidR="005D3BD0" w:rsidRDefault="005D3BD0" w:rsidP="005D3BD0">
      <w:pPr>
        <w:numPr>
          <w:ilvl w:val="0"/>
          <w:numId w:val="26"/>
        </w:numPr>
      </w:pPr>
      <w:r>
        <w:t>Calculate the ratio of N20 to N40 abalone (from (5)) for the target SMU, per year (i.e., summed over Site within SMU)</w:t>
      </w:r>
    </w:p>
    <w:p w14:paraId="51491076" w14:textId="77777777" w:rsidR="005D3BD0" w:rsidRDefault="005D3BD0" w:rsidP="005D3BD0">
      <w:pPr>
        <w:numPr>
          <w:ilvl w:val="0"/>
          <w:numId w:val="26"/>
        </w:numPr>
      </w:pPr>
      <w:r>
        <w:t>Estimate the average weight per individual abalone in the N20 group, weighted by the sample size from each Site</w:t>
      </w:r>
    </w:p>
    <w:p w14:paraId="7B095F39" w14:textId="77777777" w:rsidR="005D3BD0" w:rsidRDefault="005D3BD0" w:rsidP="005D3BD0">
      <w:pPr>
        <w:numPr>
          <w:ilvl w:val="0"/>
          <w:numId w:val="26"/>
        </w:numPr>
      </w:pPr>
      <w:r>
        <w:t xml:space="preserve">Adjust the </w:t>
      </w:r>
      <w:proofErr w:type="spellStart"/>
      <w:r>
        <w:t>Genstat</w:t>
      </w:r>
      <w:proofErr w:type="spellEnd"/>
      <w:r>
        <w:t xml:space="preserve"> standardised abundances from the FIS with the ratio in (6). This is the number of </w:t>
      </w:r>
      <w:proofErr w:type="spellStart"/>
      <w:r>
        <w:t>PreRecruits</w:t>
      </w:r>
      <w:proofErr w:type="spellEnd"/>
      <w:r>
        <w:t xml:space="preserve"> Corrected.</w:t>
      </w:r>
    </w:p>
    <w:p w14:paraId="3196FE2D" w14:textId="77777777" w:rsidR="005D3BD0" w:rsidRDefault="005D3BD0" w:rsidP="005D3BD0">
      <w:pPr>
        <w:numPr>
          <w:ilvl w:val="0"/>
          <w:numId w:val="26"/>
        </w:numPr>
      </w:pPr>
      <w:r>
        <w:t xml:space="preserve">Multiply the </w:t>
      </w:r>
      <w:proofErr w:type="spellStart"/>
      <w:r>
        <w:t>PreRecruits.Corrected</w:t>
      </w:r>
      <w:proofErr w:type="spellEnd"/>
      <w:r>
        <w:t xml:space="preserve"> (from (8)) by the average weighted mean of each N20 abalone in (5) to obtain the Final Grams Per 30 m Transect.</w:t>
      </w:r>
    </w:p>
    <w:p w14:paraId="08A1D08E" w14:textId="77777777" w:rsidR="005D3BD0" w:rsidRDefault="005D3BD0" w:rsidP="005D3BD0">
      <w:pPr>
        <w:numPr>
          <w:ilvl w:val="0"/>
          <w:numId w:val="26"/>
        </w:numPr>
      </w:pPr>
      <w:r>
        <w:t>Fit a simple linear model to the final grams of abalone per 30 m transect and estimate the 4 yr percent gradient change.</w:t>
      </w:r>
    </w:p>
    <w:p w14:paraId="42CA80A6" w14:textId="77777777" w:rsidR="005D3BD0" w:rsidRDefault="005D3BD0" w:rsidP="005D3BD0">
      <w:pPr>
        <w:pStyle w:val="Heading2"/>
      </w:pPr>
      <w:bookmarkStart w:id="37" w:name="_Toc161910826"/>
      <w:bookmarkStart w:id="38" w:name="step-10.-determine-the-final-category"/>
      <w:bookmarkEnd w:id="36"/>
      <w:r>
        <w:t>Step 10. Determine the final category</w:t>
      </w:r>
      <w:bookmarkEnd w:id="37"/>
    </w:p>
    <w:p w14:paraId="6DB62875" w14:textId="78BA2354" w:rsidR="005D3BD0" w:rsidRDefault="005D3BD0" w:rsidP="005D3BD0">
      <w:r>
        <w:t>The Final Categorisation Rules are defined in Table 6 and depend on the Primary categorisation and the trend of the Tertiary Indicator. For example, if the Primary categorisation is Decreasing and the Tertiary Indicator trend is Increasing, the Final Categorisation is Stable, otherwise it is Decreasing. If the Primary categorisation is Stable, regardless of the Tertiary Indicator, the Final Categorisation is Stable. If the Primary Categorisation is Increasing, and the Ter</w:t>
      </w:r>
      <w:r w:rsidR="00F63403">
        <w:t>ti</w:t>
      </w:r>
      <w:r>
        <w:t xml:space="preserve">ary indicator is Decreasing, the Final </w:t>
      </w:r>
      <w:proofErr w:type="spellStart"/>
      <w:r>
        <w:t>Categorsation</w:t>
      </w:r>
      <w:proofErr w:type="spellEnd"/>
      <w:r>
        <w:t xml:space="preserve"> is Stable, otherwise it is Increasing (Table </w:t>
      </w:r>
      <w:r w:rsidR="00223A77">
        <w:t>8</w:t>
      </w:r>
      <w:r>
        <w:t>).</w:t>
      </w:r>
    </w:p>
    <w:p w14:paraId="003B0DA3" w14:textId="77777777" w:rsidR="005D3BD0" w:rsidRDefault="005D3BD0" w:rsidP="005D3BD0">
      <w:r>
        <w:t xml:space="preserve"> </w:t>
      </w:r>
    </w:p>
    <w:p w14:paraId="7486E6E0" w14:textId="4053598E" w:rsidR="005D3BD0" w:rsidRDefault="005D3BD0" w:rsidP="005D3BD0">
      <w:pPr>
        <w:pStyle w:val="TableCaption"/>
      </w:pPr>
      <w:r>
        <w:rPr>
          <w:b/>
        </w:rPr>
        <w:t xml:space="preserve">Table </w:t>
      </w:r>
      <w:r w:rsidR="00223A77">
        <w:rPr>
          <w:b/>
        </w:rPr>
        <w:t>8</w:t>
      </w:r>
      <w:r>
        <w:t>: Final Categorisation rules.</w:t>
      </w:r>
    </w:p>
    <w:tbl>
      <w:tblPr>
        <w:tblW w:w="0" w:type="auto"/>
        <w:jc w:val="center"/>
        <w:tblLayout w:type="fixed"/>
        <w:tblLook w:val="0420" w:firstRow="1" w:lastRow="0" w:firstColumn="0" w:lastColumn="0" w:noHBand="0" w:noVBand="1"/>
      </w:tblPr>
      <w:tblGrid>
        <w:gridCol w:w="1080"/>
        <w:gridCol w:w="1584"/>
        <w:gridCol w:w="1584"/>
        <w:gridCol w:w="1584"/>
        <w:gridCol w:w="1584"/>
      </w:tblGrid>
      <w:tr w:rsidR="005D3BD0" w14:paraId="6E089B05" w14:textId="77777777" w:rsidTr="00D55CD7">
        <w:trPr>
          <w:cantSplit/>
          <w:tblHeader/>
          <w:jc w:val="center"/>
        </w:trPr>
        <w:tc>
          <w:tcPr>
            <w:tcW w:w="1080" w:type="dxa"/>
            <w:shd w:val="clear" w:color="auto" w:fill="FFFFFF"/>
            <w:tcMar>
              <w:top w:w="0" w:type="dxa"/>
              <w:left w:w="0" w:type="dxa"/>
              <w:bottom w:w="0" w:type="dxa"/>
              <w:right w:w="0" w:type="dxa"/>
            </w:tcMar>
            <w:vAlign w:val="center"/>
          </w:tcPr>
          <w:p w14:paraId="76541636" w14:textId="77777777" w:rsidR="005D3BD0" w:rsidRDefault="005D3BD0" w:rsidP="00D55CD7">
            <w:pPr>
              <w:keepNext/>
              <w:spacing w:before="100" w:after="100"/>
              <w:ind w:left="100" w:right="100"/>
              <w:jc w:val="center"/>
            </w:pPr>
          </w:p>
        </w:tc>
        <w:tc>
          <w:tcPr>
            <w:tcW w:w="1584" w:type="dxa"/>
            <w:tcBorders>
              <w:right w:val="single" w:sz="8" w:space="0" w:color="000000"/>
            </w:tcBorders>
            <w:shd w:val="clear" w:color="auto" w:fill="FFFFFF"/>
            <w:tcMar>
              <w:top w:w="0" w:type="dxa"/>
              <w:left w:w="0" w:type="dxa"/>
              <w:bottom w:w="0" w:type="dxa"/>
              <w:right w:w="0" w:type="dxa"/>
            </w:tcMar>
            <w:vAlign w:val="center"/>
          </w:tcPr>
          <w:p w14:paraId="12E500FE" w14:textId="77777777" w:rsidR="005D3BD0" w:rsidRDefault="005D3BD0" w:rsidP="00D55CD7">
            <w:pPr>
              <w:keepNext/>
              <w:spacing w:before="100" w:after="100"/>
              <w:ind w:left="100" w:right="100"/>
              <w:jc w:val="center"/>
            </w:pPr>
          </w:p>
        </w:tc>
        <w:tc>
          <w:tcPr>
            <w:tcW w:w="4752" w:type="dxa"/>
            <w:gridSpan w:val="3"/>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tcPr>
          <w:p w14:paraId="7663CEF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Tertiary Indicator trend</w:t>
            </w:r>
          </w:p>
        </w:tc>
      </w:tr>
      <w:tr w:rsidR="005D3BD0" w14:paraId="7B57A5FD" w14:textId="77777777" w:rsidTr="00D55CD7">
        <w:trPr>
          <w:cantSplit/>
          <w:jc w:val="center"/>
        </w:trPr>
        <w:tc>
          <w:tcPr>
            <w:tcW w:w="1080" w:type="dxa"/>
            <w:tcBorders>
              <w:bottom w:val="single" w:sz="8" w:space="0" w:color="FFFFFF"/>
            </w:tcBorders>
            <w:shd w:val="clear" w:color="auto" w:fill="FFFFFF"/>
            <w:tcMar>
              <w:top w:w="0" w:type="dxa"/>
              <w:left w:w="0" w:type="dxa"/>
              <w:bottom w:w="0" w:type="dxa"/>
              <w:right w:w="0" w:type="dxa"/>
            </w:tcMar>
            <w:vAlign w:val="center"/>
          </w:tcPr>
          <w:p w14:paraId="5B300A39" w14:textId="77777777" w:rsidR="005D3BD0" w:rsidRDefault="005D3BD0" w:rsidP="00D55CD7">
            <w:pPr>
              <w:keepNext/>
              <w:spacing w:before="100" w:after="100"/>
              <w:ind w:left="100" w:right="100"/>
              <w:jc w:val="center"/>
            </w:pPr>
          </w:p>
        </w:tc>
        <w:tc>
          <w:tcPr>
            <w:tcW w:w="1584" w:type="dxa"/>
            <w:tcBorders>
              <w:bottom w:val="single" w:sz="8" w:space="0" w:color="FFFFFF"/>
              <w:right w:val="single" w:sz="8" w:space="0" w:color="000000"/>
            </w:tcBorders>
            <w:shd w:val="clear" w:color="auto" w:fill="FFFFFF"/>
            <w:tcMar>
              <w:top w:w="0" w:type="dxa"/>
              <w:left w:w="0" w:type="dxa"/>
              <w:bottom w:w="0" w:type="dxa"/>
              <w:right w:w="0" w:type="dxa"/>
            </w:tcMar>
            <w:vAlign w:val="center"/>
          </w:tcPr>
          <w:p w14:paraId="5D050CD7" w14:textId="77777777" w:rsidR="005D3BD0" w:rsidRDefault="005D3BD0" w:rsidP="00D55CD7">
            <w:pPr>
              <w:keepNext/>
              <w:spacing w:before="100" w:after="100"/>
              <w:ind w:left="100" w:right="100"/>
              <w:jc w:val="center"/>
            </w:pPr>
          </w:p>
        </w:tc>
        <w:tc>
          <w:tcPr>
            <w:tcW w:w="1584" w:type="dxa"/>
            <w:tcBorders>
              <w:left w:val="single" w:sz="8" w:space="0" w:color="000000"/>
              <w:bottom w:val="single" w:sz="8" w:space="0" w:color="000000"/>
            </w:tcBorders>
            <w:shd w:val="clear" w:color="auto" w:fill="FFFFFF"/>
            <w:tcMar>
              <w:top w:w="0" w:type="dxa"/>
              <w:left w:w="0" w:type="dxa"/>
              <w:bottom w:w="0" w:type="dxa"/>
              <w:right w:w="0" w:type="dxa"/>
            </w:tcMar>
            <w:vAlign w:val="center"/>
          </w:tcPr>
          <w:p w14:paraId="25CA6FAB" w14:textId="77777777" w:rsidR="005D3BD0" w:rsidRDefault="005D3BD0" w:rsidP="00D55CD7">
            <w:pPr>
              <w:keepNext/>
              <w:spacing w:before="100" w:after="100"/>
              <w:ind w:left="100" w:right="100"/>
              <w:jc w:val="center"/>
            </w:pPr>
          </w:p>
        </w:tc>
        <w:tc>
          <w:tcPr>
            <w:tcW w:w="1584" w:type="dxa"/>
            <w:tcBorders>
              <w:bottom w:val="single" w:sz="8" w:space="0" w:color="000000"/>
            </w:tcBorders>
            <w:shd w:val="clear" w:color="auto" w:fill="FFFFFF"/>
            <w:tcMar>
              <w:top w:w="0" w:type="dxa"/>
              <w:left w:w="0" w:type="dxa"/>
              <w:bottom w:w="0" w:type="dxa"/>
              <w:right w:w="0" w:type="dxa"/>
            </w:tcMar>
            <w:vAlign w:val="center"/>
          </w:tcPr>
          <w:p w14:paraId="622ACB9C" w14:textId="77777777" w:rsidR="005D3BD0" w:rsidRDefault="005D3BD0" w:rsidP="00D55CD7">
            <w:pPr>
              <w:keepNext/>
              <w:spacing w:before="100" w:after="100"/>
              <w:ind w:left="100" w:right="100"/>
              <w:jc w:val="center"/>
            </w:pPr>
          </w:p>
        </w:tc>
        <w:tc>
          <w:tcPr>
            <w:tcW w:w="1584"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1ED20D5F" w14:textId="77777777" w:rsidR="005D3BD0" w:rsidRDefault="005D3BD0" w:rsidP="00D55CD7">
            <w:pPr>
              <w:keepNext/>
              <w:spacing w:before="100" w:after="100"/>
              <w:ind w:left="100" w:right="100"/>
              <w:jc w:val="center"/>
            </w:pPr>
          </w:p>
        </w:tc>
      </w:tr>
      <w:tr w:rsidR="005D3BD0" w14:paraId="2D7111B7" w14:textId="77777777" w:rsidTr="00D55CD7">
        <w:trPr>
          <w:cantSplit/>
          <w:jc w:val="center"/>
        </w:trPr>
        <w:tc>
          <w:tcPr>
            <w:tcW w:w="1080" w:type="dxa"/>
            <w:tcBorders>
              <w:top w:val="single" w:sz="8" w:space="0" w:color="FFFFFF"/>
              <w:bottom w:val="single" w:sz="8" w:space="0" w:color="000000"/>
            </w:tcBorders>
            <w:shd w:val="clear" w:color="auto" w:fill="FFFFFF"/>
            <w:tcMar>
              <w:top w:w="0" w:type="dxa"/>
              <w:left w:w="0" w:type="dxa"/>
              <w:bottom w:w="0" w:type="dxa"/>
              <w:right w:w="0" w:type="dxa"/>
            </w:tcMar>
            <w:vAlign w:val="center"/>
          </w:tcPr>
          <w:p w14:paraId="6C87C8C1" w14:textId="77777777" w:rsidR="005D3BD0" w:rsidRDefault="005D3BD0" w:rsidP="00D55CD7">
            <w:pPr>
              <w:keepNext/>
              <w:spacing w:before="100" w:after="100"/>
              <w:ind w:left="100" w:right="100"/>
              <w:jc w:val="center"/>
            </w:pPr>
          </w:p>
        </w:tc>
        <w:tc>
          <w:tcPr>
            <w:tcW w:w="1584" w:type="dxa"/>
            <w:tcBorders>
              <w:top w:val="single" w:sz="8" w:space="0" w:color="FFFFFF"/>
              <w:bottom w:val="single" w:sz="8" w:space="0" w:color="000000"/>
              <w:right w:val="single" w:sz="8" w:space="0" w:color="000000"/>
            </w:tcBorders>
            <w:shd w:val="clear" w:color="auto" w:fill="FFFFFF"/>
            <w:tcMar>
              <w:top w:w="0" w:type="dxa"/>
              <w:left w:w="0" w:type="dxa"/>
              <w:bottom w:w="0" w:type="dxa"/>
              <w:right w:w="0" w:type="dxa"/>
            </w:tcMar>
            <w:vAlign w:val="center"/>
          </w:tcPr>
          <w:p w14:paraId="302D790B" w14:textId="77777777" w:rsidR="005D3BD0" w:rsidRDefault="005D3BD0" w:rsidP="00D55CD7">
            <w:pPr>
              <w:keepNext/>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center"/>
          </w:tcPr>
          <w:p w14:paraId="5B89683F"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A500"/>
            <w:tcMar>
              <w:top w:w="0" w:type="dxa"/>
              <w:left w:w="0" w:type="dxa"/>
              <w:bottom w:w="0" w:type="dxa"/>
              <w:right w:w="0" w:type="dxa"/>
            </w:tcMar>
            <w:vAlign w:val="center"/>
          </w:tcPr>
          <w:p w14:paraId="41711D24"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14:paraId="2B77C944"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r>
      <w:tr w:rsidR="005D3BD0" w14:paraId="410F414D" w14:textId="77777777" w:rsidTr="00D55CD7">
        <w:trPr>
          <w:cantSplit/>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extDirection w:val="btLr"/>
            <w:vAlign w:val="center"/>
          </w:tcPr>
          <w:p w14:paraId="65C1756A"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Primary Categorisation Result</w:t>
            </w:r>
          </w:p>
        </w:tc>
        <w:tc>
          <w:tcPr>
            <w:tcW w:w="1584"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center"/>
          </w:tcPr>
          <w:p w14:paraId="49C25ED7"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BD3732"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FB51E1"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8100FB"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r>
      <w:tr w:rsidR="005D3BD0" w14:paraId="641FA25B" w14:textId="77777777" w:rsidTr="00D55CD7">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48EF95" w14:textId="77777777" w:rsidR="005D3BD0" w:rsidRDefault="005D3BD0" w:rsidP="00D55CD7">
            <w:pPr>
              <w:keepNext/>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FFA500"/>
            <w:tcMar>
              <w:top w:w="0" w:type="dxa"/>
              <w:left w:w="0" w:type="dxa"/>
              <w:bottom w:w="0" w:type="dxa"/>
              <w:right w:w="0" w:type="dxa"/>
            </w:tcMar>
            <w:vAlign w:val="center"/>
          </w:tcPr>
          <w:p w14:paraId="661BDAFA"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AC9D5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1CBC7D"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77F5DB"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r>
      <w:tr w:rsidR="005D3BD0" w14:paraId="1B1F2983" w14:textId="77777777" w:rsidTr="00D55CD7">
        <w:trPr>
          <w:cantSplit/>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A4680F" w14:textId="77777777" w:rsidR="005D3BD0" w:rsidRDefault="005D3BD0" w:rsidP="00D55CD7">
            <w:pPr>
              <w:keepNext/>
              <w:spacing w:before="100" w:after="100"/>
              <w:ind w:left="100" w:right="100"/>
              <w:jc w:val="center"/>
            </w:pPr>
          </w:p>
        </w:tc>
        <w:tc>
          <w:tcPr>
            <w:tcW w:w="1584" w:type="dxa"/>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14:paraId="3A38C99D"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9B4E6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1C5C86"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1671F8"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r>
    </w:tbl>
    <w:p w14:paraId="15884828" w14:textId="77777777" w:rsidR="005D3BD0" w:rsidRDefault="005D3BD0" w:rsidP="005D3BD0">
      <w:r>
        <w:t xml:space="preserve"> </w:t>
      </w:r>
    </w:p>
    <w:p w14:paraId="2844D789" w14:textId="77777777" w:rsidR="005D3BD0" w:rsidRDefault="005D3BD0" w:rsidP="005D3BD0">
      <w:r>
        <w:t xml:space="preserve">NB., in situations when the resulting CCR is “1 -125%” (Step 5), the Final Category </w:t>
      </w:r>
      <w:r>
        <w:rPr>
          <w:i/>
          <w:iCs/>
        </w:rPr>
        <w:t>must be</w:t>
      </w:r>
      <w:r>
        <w:t xml:space="preserve"> Increasing, otherwise the CCR is overwritten as “1”.</w:t>
      </w:r>
    </w:p>
    <w:p w14:paraId="740D74AA" w14:textId="77777777" w:rsidR="005D3BD0" w:rsidRDefault="005D3BD0" w:rsidP="005D3BD0">
      <w:pPr>
        <w:pStyle w:val="Heading2"/>
      </w:pPr>
      <w:bookmarkStart w:id="39" w:name="_Toc161910827"/>
      <w:bookmarkStart w:id="40" w:name="X1a44f94389d6903ddbc67d78a52b8805bbdcd17"/>
      <w:bookmarkEnd w:id="38"/>
      <w:r>
        <w:lastRenderedPageBreak/>
        <w:t>Step 11. Determine the catch, lower and upper limits</w:t>
      </w:r>
      <w:bookmarkEnd w:id="39"/>
    </w:p>
    <w:p w14:paraId="43418C0D" w14:textId="2FEF5CC7" w:rsidR="005D3BD0" w:rsidRDefault="005D3BD0" w:rsidP="005D3BD0">
      <w:r>
        <w:t>Firstly, the percentage change applicable needs to be identif</w:t>
      </w:r>
      <w:r w:rsidR="00F63403">
        <w:t>i</w:t>
      </w:r>
      <w:r>
        <w:t xml:space="preserve">ed from Table </w:t>
      </w:r>
      <w:r w:rsidR="00223A77">
        <w:t>9</w:t>
      </w:r>
      <w:r>
        <w:t>, based on the CCR identified in Step 5 and the Final Category from Step 10. These percentage changes are used to calculate the lower and upper limits of Total Allowable Catch.</w:t>
      </w:r>
    </w:p>
    <w:p w14:paraId="44A6B6F3" w14:textId="71DA3A02" w:rsidR="005D3BD0" w:rsidRDefault="005D3BD0" w:rsidP="005D3BD0">
      <w:pPr>
        <w:pStyle w:val="TableCaption"/>
      </w:pPr>
      <w:r>
        <w:rPr>
          <w:b/>
        </w:rPr>
        <w:t xml:space="preserve">Table </w:t>
      </w:r>
      <w:r w:rsidR="00223A77">
        <w:rPr>
          <w:b/>
        </w:rPr>
        <w:t>9</w:t>
      </w:r>
      <w:r>
        <w:t>: Rules to calculate the percent change in OT based on CCR and Final Category.</w:t>
      </w:r>
    </w:p>
    <w:tbl>
      <w:tblPr>
        <w:tblW w:w="0" w:type="auto"/>
        <w:jc w:val="center"/>
        <w:tblLayout w:type="fixed"/>
        <w:tblLook w:val="0420" w:firstRow="1" w:lastRow="0" w:firstColumn="0" w:lastColumn="0" w:noHBand="0" w:noVBand="1"/>
      </w:tblPr>
      <w:tblGrid>
        <w:gridCol w:w="1291"/>
        <w:gridCol w:w="2367"/>
        <w:gridCol w:w="2783"/>
        <w:gridCol w:w="2783"/>
      </w:tblGrid>
      <w:tr w:rsidR="005D3BD0" w14:paraId="3E01F05B" w14:textId="77777777" w:rsidTr="00D55CD7">
        <w:trPr>
          <w:cantSplit/>
          <w:tblHeader/>
          <w:jc w:val="center"/>
        </w:trPr>
        <w:tc>
          <w:tcPr>
            <w:tcW w:w="1291"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C55527"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CCR</w:t>
            </w:r>
          </w:p>
        </w:tc>
        <w:tc>
          <w:tcPr>
            <w:tcW w:w="236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60A0F2"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Final Category</w:t>
            </w:r>
          </w:p>
        </w:tc>
        <w:tc>
          <w:tcPr>
            <w:tcW w:w="278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0B2D59"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Lower bound</w:t>
            </w:r>
          </w:p>
        </w:tc>
        <w:tc>
          <w:tcPr>
            <w:tcW w:w="2783"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CD7631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Upper bound</w:t>
            </w:r>
          </w:p>
        </w:tc>
      </w:tr>
      <w:tr w:rsidR="005D3BD0" w14:paraId="2301DF15" w14:textId="77777777" w:rsidTr="00D55CD7">
        <w:trPr>
          <w:cantSplit/>
          <w:jc w:val="center"/>
        </w:trPr>
        <w:tc>
          <w:tcPr>
            <w:tcW w:w="1291" w:type="dxa"/>
            <w:shd w:val="clear" w:color="auto" w:fill="FFFFFF"/>
            <w:tcMar>
              <w:top w:w="0" w:type="dxa"/>
              <w:left w:w="0" w:type="dxa"/>
              <w:bottom w:w="0" w:type="dxa"/>
              <w:right w:w="0" w:type="dxa"/>
            </w:tcMar>
            <w:vAlign w:val="center"/>
          </w:tcPr>
          <w:p w14:paraId="6B6E9BF6"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1 - 125%</w:t>
            </w:r>
          </w:p>
        </w:tc>
        <w:tc>
          <w:tcPr>
            <w:tcW w:w="2367" w:type="dxa"/>
            <w:shd w:val="clear" w:color="auto" w:fill="228B22"/>
            <w:tcMar>
              <w:top w:w="0" w:type="dxa"/>
              <w:left w:w="0" w:type="dxa"/>
              <w:bottom w:w="0" w:type="dxa"/>
              <w:right w:w="0" w:type="dxa"/>
            </w:tcMar>
            <w:vAlign w:val="center"/>
          </w:tcPr>
          <w:p w14:paraId="0D62227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2783" w:type="dxa"/>
            <w:shd w:val="clear" w:color="auto" w:fill="FFFFFF"/>
            <w:tcMar>
              <w:top w:w="0" w:type="dxa"/>
              <w:left w:w="0" w:type="dxa"/>
              <w:bottom w:w="0" w:type="dxa"/>
              <w:right w:w="0" w:type="dxa"/>
            </w:tcMar>
            <w:vAlign w:val="center"/>
          </w:tcPr>
          <w:p w14:paraId="08D0A02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0-5</w:t>
            </w:r>
          </w:p>
        </w:tc>
        <w:tc>
          <w:tcPr>
            <w:tcW w:w="2783" w:type="dxa"/>
            <w:shd w:val="clear" w:color="auto" w:fill="FFFFFF"/>
            <w:tcMar>
              <w:top w:w="0" w:type="dxa"/>
              <w:left w:w="0" w:type="dxa"/>
              <w:bottom w:w="0" w:type="dxa"/>
              <w:right w:w="0" w:type="dxa"/>
            </w:tcMar>
            <w:vAlign w:val="center"/>
          </w:tcPr>
          <w:p w14:paraId="469D7E44"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15-25</w:t>
            </w:r>
          </w:p>
        </w:tc>
      </w:tr>
      <w:tr w:rsidR="005D3BD0" w14:paraId="0228CD8B" w14:textId="77777777" w:rsidTr="00D55CD7">
        <w:trPr>
          <w:cantSplit/>
          <w:jc w:val="center"/>
        </w:trPr>
        <w:tc>
          <w:tcPr>
            <w:tcW w:w="1291" w:type="dxa"/>
            <w:shd w:val="clear" w:color="auto" w:fill="FFFFFF"/>
            <w:tcMar>
              <w:top w:w="0" w:type="dxa"/>
              <w:left w:w="0" w:type="dxa"/>
              <w:bottom w:w="0" w:type="dxa"/>
              <w:right w:w="0" w:type="dxa"/>
            </w:tcMar>
            <w:vAlign w:val="center"/>
          </w:tcPr>
          <w:p w14:paraId="19D7DD1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w:t>
            </w:r>
          </w:p>
        </w:tc>
        <w:tc>
          <w:tcPr>
            <w:tcW w:w="2367" w:type="dxa"/>
            <w:shd w:val="clear" w:color="auto" w:fill="228B22"/>
            <w:tcMar>
              <w:top w:w="0" w:type="dxa"/>
              <w:left w:w="0" w:type="dxa"/>
              <w:bottom w:w="0" w:type="dxa"/>
              <w:right w:w="0" w:type="dxa"/>
            </w:tcMar>
            <w:vAlign w:val="center"/>
          </w:tcPr>
          <w:p w14:paraId="094927CE"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2783" w:type="dxa"/>
            <w:shd w:val="clear" w:color="auto" w:fill="FFFFFF"/>
            <w:tcMar>
              <w:top w:w="0" w:type="dxa"/>
              <w:left w:w="0" w:type="dxa"/>
              <w:bottom w:w="0" w:type="dxa"/>
              <w:right w:w="0" w:type="dxa"/>
            </w:tcMar>
            <w:vAlign w:val="center"/>
          </w:tcPr>
          <w:p w14:paraId="5688ADA7"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0-5</w:t>
            </w:r>
          </w:p>
        </w:tc>
        <w:tc>
          <w:tcPr>
            <w:tcW w:w="2783" w:type="dxa"/>
            <w:shd w:val="clear" w:color="auto" w:fill="FFFFFF"/>
            <w:tcMar>
              <w:top w:w="0" w:type="dxa"/>
              <w:left w:w="0" w:type="dxa"/>
              <w:bottom w:w="0" w:type="dxa"/>
              <w:right w:w="0" w:type="dxa"/>
            </w:tcMar>
            <w:vAlign w:val="center"/>
          </w:tcPr>
          <w:p w14:paraId="547AB2C3"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15</w:t>
            </w:r>
          </w:p>
        </w:tc>
      </w:tr>
      <w:tr w:rsidR="005D3BD0" w14:paraId="027E9E5E" w14:textId="77777777" w:rsidTr="00D55CD7">
        <w:trPr>
          <w:cantSplit/>
          <w:jc w:val="center"/>
        </w:trPr>
        <w:tc>
          <w:tcPr>
            <w:tcW w:w="1291" w:type="dxa"/>
            <w:shd w:val="clear" w:color="auto" w:fill="FFFFFF"/>
            <w:tcMar>
              <w:top w:w="0" w:type="dxa"/>
              <w:left w:w="0" w:type="dxa"/>
              <w:bottom w:w="0" w:type="dxa"/>
              <w:right w:w="0" w:type="dxa"/>
            </w:tcMar>
            <w:vAlign w:val="center"/>
          </w:tcPr>
          <w:p w14:paraId="7261F3C8"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w:t>
            </w:r>
          </w:p>
        </w:tc>
        <w:tc>
          <w:tcPr>
            <w:tcW w:w="2367" w:type="dxa"/>
            <w:shd w:val="clear" w:color="auto" w:fill="FFA500"/>
            <w:tcMar>
              <w:top w:w="0" w:type="dxa"/>
              <w:left w:w="0" w:type="dxa"/>
              <w:bottom w:w="0" w:type="dxa"/>
              <w:right w:w="0" w:type="dxa"/>
            </w:tcMar>
            <w:vAlign w:val="center"/>
          </w:tcPr>
          <w:p w14:paraId="32D238E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2783" w:type="dxa"/>
            <w:shd w:val="clear" w:color="auto" w:fill="FFFFFF"/>
            <w:tcMar>
              <w:top w:w="0" w:type="dxa"/>
              <w:left w:w="0" w:type="dxa"/>
              <w:bottom w:w="0" w:type="dxa"/>
              <w:right w:w="0" w:type="dxa"/>
            </w:tcMar>
            <w:vAlign w:val="center"/>
          </w:tcPr>
          <w:p w14:paraId="45DD6FB3"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-5</w:t>
            </w:r>
          </w:p>
        </w:tc>
        <w:tc>
          <w:tcPr>
            <w:tcW w:w="2783" w:type="dxa"/>
            <w:shd w:val="clear" w:color="auto" w:fill="FFFFFF"/>
            <w:tcMar>
              <w:top w:w="0" w:type="dxa"/>
              <w:left w:w="0" w:type="dxa"/>
              <w:bottom w:w="0" w:type="dxa"/>
              <w:right w:w="0" w:type="dxa"/>
            </w:tcMar>
            <w:vAlign w:val="center"/>
          </w:tcPr>
          <w:p w14:paraId="5B12FCF1"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5</w:t>
            </w:r>
          </w:p>
        </w:tc>
      </w:tr>
      <w:tr w:rsidR="005D3BD0" w14:paraId="55301B56" w14:textId="77777777" w:rsidTr="00D55CD7">
        <w:trPr>
          <w:cantSplit/>
          <w:jc w:val="center"/>
        </w:trPr>
        <w:tc>
          <w:tcPr>
            <w:tcW w:w="1291" w:type="dxa"/>
            <w:shd w:val="clear" w:color="auto" w:fill="FFFFFF"/>
            <w:tcMar>
              <w:top w:w="0" w:type="dxa"/>
              <w:left w:w="0" w:type="dxa"/>
              <w:bottom w:w="0" w:type="dxa"/>
              <w:right w:w="0" w:type="dxa"/>
            </w:tcMar>
            <w:vAlign w:val="center"/>
          </w:tcPr>
          <w:p w14:paraId="4E8E3671"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w:t>
            </w:r>
          </w:p>
        </w:tc>
        <w:tc>
          <w:tcPr>
            <w:tcW w:w="2367" w:type="dxa"/>
            <w:shd w:val="clear" w:color="auto" w:fill="FF0000"/>
            <w:tcMar>
              <w:top w:w="0" w:type="dxa"/>
              <w:left w:w="0" w:type="dxa"/>
              <w:bottom w:w="0" w:type="dxa"/>
              <w:right w:w="0" w:type="dxa"/>
            </w:tcMar>
            <w:vAlign w:val="center"/>
          </w:tcPr>
          <w:p w14:paraId="40CB7308"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2783" w:type="dxa"/>
            <w:shd w:val="clear" w:color="auto" w:fill="FFFFFF"/>
            <w:tcMar>
              <w:top w:w="0" w:type="dxa"/>
              <w:left w:w="0" w:type="dxa"/>
              <w:bottom w:w="0" w:type="dxa"/>
              <w:right w:w="0" w:type="dxa"/>
            </w:tcMar>
            <w:vAlign w:val="center"/>
          </w:tcPr>
          <w:p w14:paraId="5808CC8D"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-15</w:t>
            </w:r>
          </w:p>
        </w:tc>
        <w:tc>
          <w:tcPr>
            <w:tcW w:w="2783" w:type="dxa"/>
            <w:shd w:val="clear" w:color="auto" w:fill="FFFFFF"/>
            <w:tcMar>
              <w:top w:w="0" w:type="dxa"/>
              <w:left w:w="0" w:type="dxa"/>
              <w:bottom w:w="0" w:type="dxa"/>
              <w:right w:w="0" w:type="dxa"/>
            </w:tcMar>
            <w:vAlign w:val="center"/>
          </w:tcPr>
          <w:p w14:paraId="649C2479"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-5</w:t>
            </w:r>
          </w:p>
        </w:tc>
      </w:tr>
      <w:tr w:rsidR="005D3BD0" w14:paraId="1CA0A475" w14:textId="77777777" w:rsidTr="00D55CD7">
        <w:trPr>
          <w:cantSplit/>
          <w:jc w:val="center"/>
        </w:trPr>
        <w:tc>
          <w:tcPr>
            <w:tcW w:w="1291" w:type="dxa"/>
            <w:shd w:val="clear" w:color="auto" w:fill="FFFFFF"/>
            <w:tcMar>
              <w:top w:w="0" w:type="dxa"/>
              <w:left w:w="0" w:type="dxa"/>
              <w:bottom w:w="0" w:type="dxa"/>
              <w:right w:w="0" w:type="dxa"/>
            </w:tcMar>
            <w:vAlign w:val="center"/>
          </w:tcPr>
          <w:p w14:paraId="319582DE"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2</w:t>
            </w:r>
          </w:p>
        </w:tc>
        <w:tc>
          <w:tcPr>
            <w:tcW w:w="2367" w:type="dxa"/>
            <w:shd w:val="clear" w:color="auto" w:fill="228B22"/>
            <w:tcMar>
              <w:top w:w="0" w:type="dxa"/>
              <w:left w:w="0" w:type="dxa"/>
              <w:bottom w:w="0" w:type="dxa"/>
              <w:right w:w="0" w:type="dxa"/>
            </w:tcMar>
            <w:vAlign w:val="center"/>
          </w:tcPr>
          <w:p w14:paraId="4FCA4335"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Increasing</w:t>
            </w:r>
          </w:p>
        </w:tc>
        <w:tc>
          <w:tcPr>
            <w:tcW w:w="2783" w:type="dxa"/>
            <w:shd w:val="clear" w:color="auto" w:fill="FFFFFF"/>
            <w:tcMar>
              <w:top w:w="0" w:type="dxa"/>
              <w:left w:w="0" w:type="dxa"/>
              <w:bottom w:w="0" w:type="dxa"/>
              <w:right w:w="0" w:type="dxa"/>
            </w:tcMar>
            <w:vAlign w:val="center"/>
          </w:tcPr>
          <w:p w14:paraId="1D8129D0"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-5</w:t>
            </w:r>
          </w:p>
        </w:tc>
        <w:tc>
          <w:tcPr>
            <w:tcW w:w="2783" w:type="dxa"/>
            <w:shd w:val="clear" w:color="auto" w:fill="FFFFFF"/>
            <w:tcMar>
              <w:top w:w="0" w:type="dxa"/>
              <w:left w:w="0" w:type="dxa"/>
              <w:bottom w:w="0" w:type="dxa"/>
              <w:right w:w="0" w:type="dxa"/>
            </w:tcMar>
            <w:vAlign w:val="center"/>
          </w:tcPr>
          <w:p w14:paraId="7F2DD711"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5</w:t>
            </w:r>
          </w:p>
        </w:tc>
      </w:tr>
      <w:tr w:rsidR="005D3BD0" w14:paraId="365BF475" w14:textId="77777777" w:rsidTr="00D55CD7">
        <w:trPr>
          <w:cantSplit/>
          <w:jc w:val="center"/>
        </w:trPr>
        <w:tc>
          <w:tcPr>
            <w:tcW w:w="1291" w:type="dxa"/>
            <w:shd w:val="clear" w:color="auto" w:fill="FFFFFF"/>
            <w:tcMar>
              <w:top w:w="0" w:type="dxa"/>
              <w:left w:w="0" w:type="dxa"/>
              <w:bottom w:w="0" w:type="dxa"/>
              <w:right w:w="0" w:type="dxa"/>
            </w:tcMar>
            <w:vAlign w:val="center"/>
          </w:tcPr>
          <w:p w14:paraId="59D1EAF4"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2</w:t>
            </w:r>
          </w:p>
        </w:tc>
        <w:tc>
          <w:tcPr>
            <w:tcW w:w="2367" w:type="dxa"/>
            <w:shd w:val="clear" w:color="auto" w:fill="FFA500"/>
            <w:tcMar>
              <w:top w:w="0" w:type="dxa"/>
              <w:left w:w="0" w:type="dxa"/>
              <w:bottom w:w="0" w:type="dxa"/>
              <w:right w:w="0" w:type="dxa"/>
            </w:tcMar>
            <w:vAlign w:val="center"/>
          </w:tcPr>
          <w:p w14:paraId="652F734C"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Stable</w:t>
            </w:r>
          </w:p>
        </w:tc>
        <w:tc>
          <w:tcPr>
            <w:tcW w:w="2783" w:type="dxa"/>
            <w:shd w:val="clear" w:color="auto" w:fill="FFFFFF"/>
            <w:tcMar>
              <w:top w:w="0" w:type="dxa"/>
              <w:left w:w="0" w:type="dxa"/>
              <w:bottom w:w="0" w:type="dxa"/>
              <w:right w:w="0" w:type="dxa"/>
            </w:tcMar>
            <w:vAlign w:val="center"/>
          </w:tcPr>
          <w:p w14:paraId="68671096"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-15</w:t>
            </w:r>
          </w:p>
        </w:tc>
        <w:tc>
          <w:tcPr>
            <w:tcW w:w="2783" w:type="dxa"/>
            <w:shd w:val="clear" w:color="auto" w:fill="FFFFFF"/>
            <w:tcMar>
              <w:top w:w="0" w:type="dxa"/>
              <w:left w:w="0" w:type="dxa"/>
              <w:bottom w:w="0" w:type="dxa"/>
              <w:right w:w="0" w:type="dxa"/>
            </w:tcMar>
            <w:vAlign w:val="center"/>
          </w:tcPr>
          <w:p w14:paraId="54F42C7F"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-5</w:t>
            </w:r>
          </w:p>
        </w:tc>
      </w:tr>
      <w:tr w:rsidR="005D3BD0" w14:paraId="5AE7B191" w14:textId="77777777" w:rsidTr="00D55CD7">
        <w:trPr>
          <w:cantSplit/>
          <w:jc w:val="center"/>
        </w:trPr>
        <w:tc>
          <w:tcPr>
            <w:tcW w:w="1291" w:type="dxa"/>
            <w:tcBorders>
              <w:bottom w:val="single" w:sz="16" w:space="0" w:color="666666"/>
            </w:tcBorders>
            <w:shd w:val="clear" w:color="auto" w:fill="FFFFFF"/>
            <w:tcMar>
              <w:top w:w="0" w:type="dxa"/>
              <w:left w:w="0" w:type="dxa"/>
              <w:bottom w:w="0" w:type="dxa"/>
              <w:right w:w="0" w:type="dxa"/>
            </w:tcMar>
            <w:vAlign w:val="center"/>
          </w:tcPr>
          <w:p w14:paraId="00BDEAB3"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2</w:t>
            </w:r>
          </w:p>
        </w:tc>
        <w:tc>
          <w:tcPr>
            <w:tcW w:w="2367" w:type="dxa"/>
            <w:tcBorders>
              <w:bottom w:val="single" w:sz="16" w:space="0" w:color="666666"/>
            </w:tcBorders>
            <w:shd w:val="clear" w:color="auto" w:fill="FF0000"/>
            <w:tcMar>
              <w:top w:w="0" w:type="dxa"/>
              <w:left w:w="0" w:type="dxa"/>
              <w:bottom w:w="0" w:type="dxa"/>
              <w:right w:w="0" w:type="dxa"/>
            </w:tcMar>
            <w:vAlign w:val="center"/>
          </w:tcPr>
          <w:p w14:paraId="10E17F5D"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Decreasing</w:t>
            </w:r>
          </w:p>
        </w:tc>
        <w:tc>
          <w:tcPr>
            <w:tcW w:w="2783" w:type="dxa"/>
            <w:tcBorders>
              <w:bottom w:val="single" w:sz="16" w:space="0" w:color="666666"/>
            </w:tcBorders>
            <w:shd w:val="clear" w:color="auto" w:fill="FFFFFF"/>
            <w:tcMar>
              <w:top w:w="0" w:type="dxa"/>
              <w:left w:w="0" w:type="dxa"/>
              <w:bottom w:w="0" w:type="dxa"/>
              <w:right w:w="0" w:type="dxa"/>
            </w:tcMar>
            <w:vAlign w:val="center"/>
          </w:tcPr>
          <w:p w14:paraId="35DFDE51"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-25</w:t>
            </w:r>
          </w:p>
        </w:tc>
        <w:tc>
          <w:tcPr>
            <w:tcW w:w="2783" w:type="dxa"/>
            <w:tcBorders>
              <w:bottom w:val="single" w:sz="16" w:space="0" w:color="666666"/>
            </w:tcBorders>
            <w:shd w:val="clear" w:color="auto" w:fill="FFFFFF"/>
            <w:tcMar>
              <w:top w:w="0" w:type="dxa"/>
              <w:left w:w="0" w:type="dxa"/>
              <w:bottom w:w="0" w:type="dxa"/>
              <w:right w:w="0" w:type="dxa"/>
            </w:tcMar>
            <w:vAlign w:val="center"/>
          </w:tcPr>
          <w:p w14:paraId="68608BFF" w14:textId="77777777" w:rsidR="005D3BD0" w:rsidRDefault="005D3BD0" w:rsidP="00D55CD7">
            <w:pPr>
              <w:keepNext/>
              <w:spacing w:before="100" w:after="100"/>
              <w:ind w:left="100" w:right="100"/>
              <w:jc w:val="center"/>
            </w:pPr>
            <w:r>
              <w:rPr>
                <w:rFonts w:ascii="Helvetica" w:eastAsia="Helvetica" w:hAnsi="Helvetica" w:cs="Helvetica"/>
                <w:color w:val="000000"/>
                <w:sz w:val="20"/>
                <w:szCs w:val="20"/>
              </w:rPr>
              <w:t>-15</w:t>
            </w:r>
          </w:p>
        </w:tc>
      </w:tr>
      <w:bookmarkEnd w:id="18"/>
      <w:bookmarkEnd w:id="40"/>
    </w:tbl>
    <w:p w14:paraId="048DB95F" w14:textId="77777777" w:rsidR="00E0084D" w:rsidRPr="009C5C95" w:rsidRDefault="00E0084D" w:rsidP="00190E6F">
      <w:pPr>
        <w:pStyle w:val="TOCHeading"/>
        <w:numPr>
          <w:ilvl w:val="0"/>
          <w:numId w:val="0"/>
        </w:numPr>
      </w:pPr>
    </w:p>
    <w:sectPr w:rsidR="00E0084D" w:rsidRPr="009C5C95" w:rsidSect="00B7781E">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4D423" w14:textId="77777777" w:rsidR="00203689" w:rsidRDefault="00203689" w:rsidP="0092692C">
      <w:r>
        <w:separator/>
      </w:r>
    </w:p>
  </w:endnote>
  <w:endnote w:type="continuationSeparator" w:id="0">
    <w:p w14:paraId="1443CC0B" w14:textId="77777777" w:rsidR="00203689" w:rsidRDefault="00203689" w:rsidP="0092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91C8" w14:textId="77777777" w:rsidR="0079261C" w:rsidRDefault="0079261C" w:rsidP="00314D2F">
    <w:pPr>
      <w:pStyle w:val="Footer"/>
    </w:pPr>
  </w:p>
  <w:p w14:paraId="5FF36545" w14:textId="77777777" w:rsidR="0079261C" w:rsidRDefault="0079261C" w:rsidP="00314D2F">
    <w:pPr>
      <w:pStyle w:val="Footer"/>
    </w:pPr>
    <w:r>
      <w:tab/>
    </w:r>
    <w:sdt>
      <w:sdtPr>
        <w:id w:val="-402681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2219121"/>
      <w:docPartObj>
        <w:docPartGallery w:val="Page Numbers (Bottom of Page)"/>
        <w:docPartUnique/>
      </w:docPartObj>
    </w:sdtPr>
    <w:sdtContent>
      <w:p w14:paraId="1145D932" w14:textId="77777777" w:rsidR="005D3BD0" w:rsidRDefault="005D3BD0" w:rsidP="005049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sdt>
    <w:sdtPr>
      <w:rPr>
        <w:rStyle w:val="PageNumber"/>
      </w:rPr>
      <w:id w:val="1224878126"/>
      <w:docPartObj>
        <w:docPartGallery w:val="Page Numbers (Bottom of Page)"/>
        <w:docPartUnique/>
      </w:docPartObj>
    </w:sdtPr>
    <w:sdtContent>
      <w:p w14:paraId="3FAA012C" w14:textId="77777777" w:rsidR="005D3BD0" w:rsidRDefault="005D3BD0" w:rsidP="00F66F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sdt>
    <w:sdtPr>
      <w:rPr>
        <w:rStyle w:val="PageNumber"/>
      </w:rPr>
      <w:id w:val="1637377608"/>
      <w:docPartObj>
        <w:docPartGallery w:val="Page Numbers (Bottom of Page)"/>
        <w:docPartUnique/>
      </w:docPartObj>
    </w:sdtPr>
    <w:sdtContent>
      <w:p w14:paraId="77FBBCB0" w14:textId="77777777" w:rsidR="005D3BD0" w:rsidRDefault="005D3BD0" w:rsidP="00F66F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sdt>
    <w:sdtPr>
      <w:rPr>
        <w:rStyle w:val="PageNumber"/>
      </w:rPr>
      <w:id w:val="1260097434"/>
      <w:docPartObj>
        <w:docPartGallery w:val="Page Numbers (Bottom of Page)"/>
        <w:docPartUnique/>
      </w:docPartObj>
    </w:sdtPr>
    <w:sdtContent>
      <w:p w14:paraId="0F82A5A0" w14:textId="77777777" w:rsidR="005D3BD0" w:rsidRDefault="005D3BD0" w:rsidP="00F66F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22189E01" w14:textId="77777777" w:rsidR="005D3BD0" w:rsidRDefault="005D3BD0" w:rsidP="003210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9218413"/>
      <w:docPartObj>
        <w:docPartGallery w:val="Page Numbers (Bottom of Page)"/>
        <w:docPartUnique/>
      </w:docPartObj>
    </w:sdtPr>
    <w:sdtContent>
      <w:p w14:paraId="2CF376AA" w14:textId="77777777" w:rsidR="005D3BD0" w:rsidRDefault="005D3BD0" w:rsidP="005049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1C22FD" w14:textId="77777777" w:rsidR="005D3BD0" w:rsidRDefault="005D3BD0" w:rsidP="007F67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95007"/>
      <w:docPartObj>
        <w:docPartGallery w:val="Page Numbers (Bottom of Page)"/>
        <w:docPartUnique/>
      </w:docPartObj>
    </w:sdtPr>
    <w:sdtEndPr>
      <w:rPr>
        <w:noProof/>
      </w:rPr>
    </w:sdtEndPr>
    <w:sdtContent>
      <w:p w14:paraId="345A0A77" w14:textId="22A35204" w:rsidR="00E06B3B" w:rsidRDefault="00E06B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94EA7" w14:textId="77777777" w:rsidR="005D3BD0" w:rsidRDefault="005D3B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5150" w14:textId="77777777" w:rsidR="00403D07" w:rsidRDefault="00403D07" w:rsidP="002F3A54">
    <w:pPr>
      <w:pStyle w:val="Footer"/>
    </w:pPr>
  </w:p>
  <w:p w14:paraId="51F4DB25" w14:textId="7A7DBC79" w:rsidR="00403D07" w:rsidRDefault="00403D07" w:rsidP="002F3A54">
    <w:pPr>
      <w:pStyle w:val="Footer"/>
    </w:pPr>
    <w:r>
      <w:tab/>
    </w:r>
    <w:sdt>
      <w:sdtPr>
        <w:id w:val="-1019547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6D16A" w14:textId="77777777" w:rsidR="00203689" w:rsidRDefault="00203689" w:rsidP="0092692C">
      <w:r>
        <w:separator/>
      </w:r>
    </w:p>
  </w:footnote>
  <w:footnote w:type="continuationSeparator" w:id="0">
    <w:p w14:paraId="72C2E962" w14:textId="77777777" w:rsidR="00203689" w:rsidRDefault="00203689" w:rsidP="00926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7098" w14:textId="41BF582E" w:rsidR="0079261C" w:rsidRDefault="0079261C" w:rsidP="00314D2F">
    <w:pPr>
      <w:pStyle w:val="Header"/>
      <w:tabs>
        <w:tab w:val="clear" w:pos="4513"/>
        <w:tab w:val="clear" w:pos="9026"/>
      </w:tabs>
      <w:jc w:val="right"/>
    </w:pPr>
    <w:r>
      <w:tab/>
    </w:r>
    <w:r>
      <w:tab/>
    </w:r>
    <w:bookmarkStart w:id="0" w:name="_Hlk85628920"/>
    <w:bookmarkStart w:id="1" w:name="_Hlk85628921"/>
    <w:r w:rsidR="00272E4A">
      <w:t>Central</w:t>
    </w:r>
    <w:r>
      <w:t xml:space="preserve"> Zone </w:t>
    </w:r>
    <w:r w:rsidR="00AB2178">
      <w:t>Harvest Strategy</w:t>
    </w:r>
    <w:r>
      <w:t xml:space="preserve"> Report 202</w:t>
    </w:r>
    <w:bookmarkEnd w:id="0"/>
    <w:bookmarkEnd w:id="1"/>
    <w:r w:rsidR="00AD315A">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B0420" w14:textId="45D05C20" w:rsidR="00190E6F" w:rsidRDefault="00190E6F" w:rsidP="00190E6F">
    <w:pPr>
      <w:pStyle w:val="Header"/>
      <w:tabs>
        <w:tab w:val="clear" w:pos="4513"/>
        <w:tab w:val="clear" w:pos="9026"/>
      </w:tabs>
      <w:jc w:val="right"/>
    </w:pPr>
    <w:r>
      <w:tab/>
    </w:r>
    <w:r w:rsidR="005D3BD0">
      <w:t>Central</w:t>
    </w:r>
    <w:r>
      <w:t xml:space="preserve"> Zone Harvest Strategy Report 2021 </w:t>
    </w:r>
  </w:p>
  <w:p w14:paraId="75DB7223" w14:textId="6FFA3CFA" w:rsidR="00190E6F" w:rsidRDefault="00190E6F" w:rsidP="00190E6F">
    <w:pPr>
      <w:pStyle w:val="Header"/>
      <w:tabs>
        <w:tab w:val="clear" w:pos="4513"/>
        <w:tab w:val="clear" w:pos="9026"/>
        <w:tab w:val="left" w:pos="80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1F8FF" w14:textId="77777777" w:rsidR="005D3BD0" w:rsidRDefault="005D3B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1D39" w14:textId="77777777" w:rsidR="005D3BD0" w:rsidRDefault="005D3B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CA53" w14:textId="77777777" w:rsidR="005D3BD0" w:rsidRDefault="005D3B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2AE1" w14:textId="079438B4" w:rsidR="00190E6F" w:rsidRDefault="005D3BD0" w:rsidP="00190E6F">
    <w:pPr>
      <w:pStyle w:val="Header"/>
      <w:tabs>
        <w:tab w:val="clear" w:pos="4513"/>
        <w:tab w:val="clear" w:pos="9026"/>
      </w:tabs>
      <w:jc w:val="right"/>
    </w:pPr>
    <w:r>
      <w:t>Central</w:t>
    </w:r>
    <w:r w:rsidR="00190E6F">
      <w:t xml:space="preserve"> Zone Harvest Strategy Report 202</w:t>
    </w:r>
    <w:r w:rsidR="00485AF1">
      <w:t>5</w:t>
    </w:r>
  </w:p>
  <w:p w14:paraId="75B593D2" w14:textId="77777777" w:rsidR="00403D07" w:rsidRDefault="00403D07" w:rsidP="002F3A54">
    <w:pPr>
      <w:pStyle w:val="Header"/>
      <w:tabs>
        <w:tab w:val="clear" w:pos="4513"/>
        <w:tab w:val="clear" w:pos="9026"/>
      </w:tabs>
      <w:jc w:val="right"/>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63C26A0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000A991"/>
    <w:multiLevelType w:val="multilevel"/>
    <w:tmpl w:val="5AB6710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A1AEF8E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2CA2177"/>
    <w:multiLevelType w:val="hybridMultilevel"/>
    <w:tmpl w:val="F70075DA"/>
    <w:lvl w:ilvl="0" w:tplc="DD62723C">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E7373"/>
    <w:multiLevelType w:val="multilevel"/>
    <w:tmpl w:val="C4DA8BC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F8325F"/>
    <w:multiLevelType w:val="multilevel"/>
    <w:tmpl w:val="24D0B4FE"/>
    <w:lvl w:ilvl="0">
      <w:start w:val="1"/>
      <w:numFmt w:val="decimal"/>
      <w:lvlText w:val="%1."/>
      <w:lvlJc w:val="left"/>
      <w:pPr>
        <w:ind w:left="360" w:hanging="360"/>
      </w:pPr>
      <w:rPr>
        <w:rFonts w:hint="default"/>
      </w:rPr>
    </w:lvl>
    <w:lvl w:ilvl="1">
      <w:start w:val="1"/>
      <w:numFmt w:val="none"/>
      <w:lvlRestart w:val="0"/>
      <w:lvlText w:val="2.3."/>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365657"/>
    <w:multiLevelType w:val="multilevel"/>
    <w:tmpl w:val="1E8A08F8"/>
    <w:lvl w:ilvl="0">
      <w:start w:val="1"/>
      <w:numFmt w:val="decimal"/>
      <w:lvlText w:val="%1."/>
      <w:lvlJc w:val="left"/>
      <w:pPr>
        <w:ind w:left="360" w:hanging="360"/>
      </w:pPr>
      <w:rPr>
        <w:rFonts w:hint="default"/>
      </w:rPr>
    </w:lvl>
    <w:lvl w:ilvl="1">
      <w:start w:val="1"/>
      <w:numFmt w:val="none"/>
      <w:lvlRestart w:val="0"/>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D93BE5"/>
    <w:multiLevelType w:val="multilevel"/>
    <w:tmpl w:val="8C38BC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25F8F"/>
    <w:multiLevelType w:val="multilevel"/>
    <w:tmpl w:val="21CCD2F6"/>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A841805"/>
    <w:multiLevelType w:val="multilevel"/>
    <w:tmpl w:val="08A86E08"/>
    <w:lvl w:ilvl="0">
      <w:start w:val="1"/>
      <w:numFmt w:val="decimal"/>
      <w:pStyle w:val="StandardPrinciple1"/>
      <w:lvlText w:val="%1."/>
      <w:lvlJc w:val="left"/>
      <w:pPr>
        <w:ind w:left="360" w:hanging="360"/>
      </w:pPr>
    </w:lvl>
    <w:lvl w:ilvl="1">
      <w:start w:val="1"/>
      <w:numFmt w:val="decimal"/>
      <w:pStyle w:val="StandardPrinciple2"/>
      <w:lvlText w:val="%1.%2."/>
      <w:lvlJc w:val="left"/>
      <w:pPr>
        <w:ind w:left="792" w:hanging="432"/>
      </w:pPr>
    </w:lvl>
    <w:lvl w:ilvl="2">
      <w:start w:val="1"/>
      <w:numFmt w:val="decimal"/>
      <w:pStyle w:val="StandardPrinciple3"/>
      <w:lvlText w:val="%1.%2.%3."/>
      <w:lvlJc w:val="left"/>
      <w:pPr>
        <w:ind w:left="1224" w:hanging="504"/>
      </w:pPr>
    </w:lvl>
    <w:lvl w:ilvl="3">
      <w:start w:val="1"/>
      <w:numFmt w:val="decimal"/>
      <w:pStyle w:val="StandardPrincipl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763D6D"/>
    <w:multiLevelType w:val="multilevel"/>
    <w:tmpl w:val="994ED1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0F6F50"/>
    <w:multiLevelType w:val="multilevel"/>
    <w:tmpl w:val="5B1EF300"/>
    <w:lvl w:ilvl="0">
      <w:start w:val="1"/>
      <w:numFmt w:val="decimal"/>
      <w:lvlText w:val="%1."/>
      <w:lvlJc w:val="left"/>
      <w:pPr>
        <w:ind w:left="360" w:hanging="360"/>
      </w:pPr>
      <w:rPr>
        <w:rFonts w:hint="default"/>
      </w:rPr>
    </w:lvl>
    <w:lvl w:ilvl="1">
      <w:start w:val="1"/>
      <w:numFmt w:val="none"/>
      <w:lvlRestart w:val="0"/>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AB4F28"/>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F71CEC"/>
    <w:multiLevelType w:val="multilevel"/>
    <w:tmpl w:val="8A02091E"/>
    <w:lvl w:ilvl="0">
      <w:start w:val="1"/>
      <w:numFmt w:val="decimal"/>
      <w:lvlText w:val="%1."/>
      <w:lvlJc w:val="left"/>
      <w:pPr>
        <w:ind w:left="360" w:hanging="360"/>
      </w:pPr>
      <w:rPr>
        <w:rFonts w:hint="default"/>
      </w:rPr>
    </w:lvl>
    <w:lvl w:ilvl="1">
      <w:start w:val="1"/>
      <w:numFmt w:val="none"/>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597771"/>
    <w:multiLevelType w:val="multilevel"/>
    <w:tmpl w:val="8A02091E"/>
    <w:lvl w:ilvl="0">
      <w:start w:val="1"/>
      <w:numFmt w:val="decimal"/>
      <w:lvlText w:val="%1."/>
      <w:lvlJc w:val="left"/>
      <w:pPr>
        <w:ind w:left="360" w:hanging="360"/>
      </w:pPr>
      <w:rPr>
        <w:rFonts w:hint="default"/>
      </w:rPr>
    </w:lvl>
    <w:lvl w:ilvl="1">
      <w:start w:val="1"/>
      <w:numFmt w:val="none"/>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910205"/>
    <w:multiLevelType w:val="hybridMultilevel"/>
    <w:tmpl w:val="E14EF2B8"/>
    <w:lvl w:ilvl="0" w:tplc="E93E6FCA">
      <w:start w:val="1"/>
      <w:numFmt w:val="decimal"/>
      <w:pStyle w:val="MRAG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293BDA"/>
    <w:multiLevelType w:val="hybridMultilevel"/>
    <w:tmpl w:val="B07C3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EB3DDC"/>
    <w:multiLevelType w:val="multilevel"/>
    <w:tmpl w:val="8B8C08C6"/>
    <w:lvl w:ilvl="0">
      <w:start w:val="1"/>
      <w:numFmt w:val="decimal"/>
      <w:lvlText w:val="%1."/>
      <w:lvlJc w:val="left"/>
      <w:pPr>
        <w:ind w:left="3410" w:hanging="432"/>
      </w:pPr>
      <w:rPr>
        <w:rFonts w:hint="default"/>
      </w:rPr>
    </w:lvl>
    <w:lvl w:ilvl="1">
      <w:start w:val="1"/>
      <w:numFmt w:val="decimal"/>
      <w:lvlText w:val="%1.%2."/>
      <w:lvlJc w:val="left"/>
      <w:pPr>
        <w:ind w:left="718" w:hanging="718"/>
      </w:pPr>
      <w:rPr>
        <w:rFonts w:hint="default"/>
      </w:rPr>
    </w:lvl>
    <w:lvl w:ilvl="2">
      <w:start w:val="1"/>
      <w:numFmt w:val="decimal"/>
      <w:lvlText w:val="%1.%2.%3."/>
      <w:lvlJc w:val="left"/>
      <w:pPr>
        <w:ind w:left="1146" w:hanging="720"/>
      </w:pPr>
      <w:rPr>
        <w:rFonts w:hint="default"/>
        <w:b w:val="0"/>
        <w:bCs w:val="0"/>
        <w:i w:val="0"/>
        <w:iCs w:val="0"/>
        <w:caps w:val="0"/>
        <w:smallCaps w:val="0"/>
        <w:strike w:val="0"/>
        <w:dstrike w:val="0"/>
        <w:noProof w:val="0"/>
        <w:vanish w:val="0"/>
        <w:color w:val="1F4E79" w:themeColor="accent1" w:themeShade="80"/>
        <w:spacing w:val="0"/>
        <w:kern w:val="0"/>
        <w:position w:val="0"/>
        <w:u w:val="none"/>
        <w:effect w:val="none"/>
        <w:vertAlign w:val="baseline"/>
        <w:em w:val="none"/>
        <w:specVanish w:val="0"/>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12857F3"/>
    <w:multiLevelType w:val="multilevel"/>
    <w:tmpl w:val="00449450"/>
    <w:lvl w:ilvl="0">
      <w:start w:val="1"/>
      <w:numFmt w:val="decimal"/>
      <w:lvlText w:val="%1."/>
      <w:lvlJc w:val="left"/>
      <w:pPr>
        <w:ind w:left="360" w:hanging="360"/>
      </w:pPr>
      <w:rPr>
        <w:rFonts w:hint="default"/>
      </w:rPr>
    </w:lvl>
    <w:lvl w:ilvl="1">
      <w:start w:val="1"/>
      <w:numFmt w:val="none"/>
      <w:lvlRestart w:val="0"/>
      <w:lvlText w:val="2.1."/>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315DCA"/>
    <w:multiLevelType w:val="multilevel"/>
    <w:tmpl w:val="75CEE2A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0" w15:restartNumberingAfterBreak="0">
    <w:nsid w:val="773928AC"/>
    <w:multiLevelType w:val="hybridMultilevel"/>
    <w:tmpl w:val="1E54E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0364506">
    <w:abstractNumId w:val="8"/>
  </w:num>
  <w:num w:numId="2" w16cid:durableId="1096904869">
    <w:abstractNumId w:val="11"/>
  </w:num>
  <w:num w:numId="3" w16cid:durableId="1050499161">
    <w:abstractNumId w:val="7"/>
  </w:num>
  <w:num w:numId="4" w16cid:durableId="186336646">
    <w:abstractNumId w:val="15"/>
  </w:num>
  <w:num w:numId="5" w16cid:durableId="1453282989">
    <w:abstractNumId w:val="9"/>
  </w:num>
  <w:num w:numId="6" w16cid:durableId="898443645">
    <w:abstractNumId w:val="0"/>
  </w:num>
  <w:num w:numId="7" w16cid:durableId="1345744992">
    <w:abstractNumId w:val="8"/>
  </w:num>
  <w:num w:numId="8" w16cid:durableId="1807816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09032">
    <w:abstractNumId w:val="11"/>
  </w:num>
  <w:num w:numId="10" w16cid:durableId="1464538185">
    <w:abstractNumId w:val="13"/>
  </w:num>
  <w:num w:numId="11" w16cid:durableId="301279637">
    <w:abstractNumId w:val="14"/>
  </w:num>
  <w:num w:numId="12" w16cid:durableId="173157084">
    <w:abstractNumId w:val="5"/>
  </w:num>
  <w:num w:numId="13" w16cid:durableId="264389205">
    <w:abstractNumId w:val="6"/>
  </w:num>
  <w:num w:numId="14" w16cid:durableId="914976532">
    <w:abstractNumId w:val="11"/>
    <w:lvlOverride w:ilvl="0">
      <w:lvl w:ilvl="0">
        <w:start w:val="1"/>
        <w:numFmt w:val="decimal"/>
        <w:lvlText w:val="%1."/>
        <w:lvlJc w:val="left"/>
        <w:pPr>
          <w:ind w:left="360" w:hanging="360"/>
        </w:pPr>
        <w:rPr>
          <w:rFonts w:hint="default"/>
        </w:rPr>
      </w:lvl>
    </w:lvlOverride>
    <w:lvlOverride w:ilvl="1">
      <w:lvl w:ilvl="1">
        <w:start w:val="1"/>
        <w:numFmt w:val="none"/>
        <w:lvlText w:val="2.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85228001">
    <w:abstractNumId w:val="18"/>
  </w:num>
  <w:num w:numId="16" w16cid:durableId="631256704">
    <w:abstractNumId w:val="3"/>
  </w:num>
  <w:num w:numId="17" w16cid:durableId="1442527303">
    <w:abstractNumId w:val="3"/>
    <w:lvlOverride w:ilvl="0">
      <w:startOverride w:val="1"/>
    </w:lvlOverride>
  </w:num>
  <w:num w:numId="18" w16cid:durableId="534275874">
    <w:abstractNumId w:val="4"/>
  </w:num>
  <w:num w:numId="19" w16cid:durableId="1392652862">
    <w:abstractNumId w:val="10"/>
  </w:num>
  <w:num w:numId="20" w16cid:durableId="471021619">
    <w:abstractNumId w:val="17"/>
  </w:num>
  <w:num w:numId="21" w16cid:durableId="279799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3628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1781288">
    <w:abstractNumId w:val="16"/>
  </w:num>
  <w:num w:numId="24" w16cid:durableId="535850837">
    <w:abstractNumId w:val="1"/>
  </w:num>
  <w:num w:numId="25" w16cid:durableId="1425347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0808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5065030">
    <w:abstractNumId w:val="20"/>
  </w:num>
  <w:num w:numId="28" w16cid:durableId="108399121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rvz2zp69xfsme9td5v22w3arsszxzvxf9v&quot;&gt;My EndNote Library-Saved&lt;record-ids&gt;&lt;item&gt;357&lt;/item&gt;&lt;item&gt;462&lt;/item&gt;&lt;item&gt;465&lt;/item&gt;&lt;item&gt;470&lt;/item&gt;&lt;item&gt;698&lt;/item&gt;&lt;item&gt;731&lt;/item&gt;&lt;item&gt;770&lt;/item&gt;&lt;item&gt;771&lt;/item&gt;&lt;item&gt;772&lt;/item&gt;&lt;item&gt;773&lt;/item&gt;&lt;item&gt;774&lt;/item&gt;&lt;item&gt;775&lt;/item&gt;&lt;item&gt;776&lt;/item&gt;&lt;/record-ids&gt;&lt;/item&gt;&lt;/Libraries&gt;"/>
  </w:docVars>
  <w:rsids>
    <w:rsidRoot w:val="005C5433"/>
    <w:rsid w:val="00001514"/>
    <w:rsid w:val="00002507"/>
    <w:rsid w:val="00002CDB"/>
    <w:rsid w:val="00002F76"/>
    <w:rsid w:val="000034EB"/>
    <w:rsid w:val="000037D2"/>
    <w:rsid w:val="00003847"/>
    <w:rsid w:val="000038AE"/>
    <w:rsid w:val="00003EDA"/>
    <w:rsid w:val="00003F31"/>
    <w:rsid w:val="00004306"/>
    <w:rsid w:val="000043ED"/>
    <w:rsid w:val="00005723"/>
    <w:rsid w:val="00005B5C"/>
    <w:rsid w:val="00005E50"/>
    <w:rsid w:val="00005EA4"/>
    <w:rsid w:val="00005F8B"/>
    <w:rsid w:val="0000605E"/>
    <w:rsid w:val="000061E7"/>
    <w:rsid w:val="00006C32"/>
    <w:rsid w:val="00006E11"/>
    <w:rsid w:val="00007400"/>
    <w:rsid w:val="00007FD7"/>
    <w:rsid w:val="00011114"/>
    <w:rsid w:val="0001120A"/>
    <w:rsid w:val="00011595"/>
    <w:rsid w:val="0001236C"/>
    <w:rsid w:val="00012D97"/>
    <w:rsid w:val="00013303"/>
    <w:rsid w:val="000139E9"/>
    <w:rsid w:val="00013D65"/>
    <w:rsid w:val="000153BA"/>
    <w:rsid w:val="000154C9"/>
    <w:rsid w:val="00015A61"/>
    <w:rsid w:val="00015D76"/>
    <w:rsid w:val="00015F17"/>
    <w:rsid w:val="00015F9C"/>
    <w:rsid w:val="00016A85"/>
    <w:rsid w:val="0002049C"/>
    <w:rsid w:val="000204A7"/>
    <w:rsid w:val="00020977"/>
    <w:rsid w:val="00021867"/>
    <w:rsid w:val="0002188D"/>
    <w:rsid w:val="000226F0"/>
    <w:rsid w:val="00022D2D"/>
    <w:rsid w:val="00023EEA"/>
    <w:rsid w:val="00023F3A"/>
    <w:rsid w:val="00024430"/>
    <w:rsid w:val="000259B3"/>
    <w:rsid w:val="00025A71"/>
    <w:rsid w:val="00026530"/>
    <w:rsid w:val="00026801"/>
    <w:rsid w:val="00026B71"/>
    <w:rsid w:val="00026BAF"/>
    <w:rsid w:val="00026FEB"/>
    <w:rsid w:val="00027276"/>
    <w:rsid w:val="000272B6"/>
    <w:rsid w:val="000272CD"/>
    <w:rsid w:val="00027A88"/>
    <w:rsid w:val="00030162"/>
    <w:rsid w:val="00030205"/>
    <w:rsid w:val="00030207"/>
    <w:rsid w:val="00030262"/>
    <w:rsid w:val="000305BB"/>
    <w:rsid w:val="000313D6"/>
    <w:rsid w:val="000315F0"/>
    <w:rsid w:val="00031FB5"/>
    <w:rsid w:val="000320E7"/>
    <w:rsid w:val="000323E5"/>
    <w:rsid w:val="000323F5"/>
    <w:rsid w:val="00032A51"/>
    <w:rsid w:val="00032AD4"/>
    <w:rsid w:val="00032F0B"/>
    <w:rsid w:val="000333DF"/>
    <w:rsid w:val="0003351F"/>
    <w:rsid w:val="00033787"/>
    <w:rsid w:val="00034394"/>
    <w:rsid w:val="0003495D"/>
    <w:rsid w:val="0003669D"/>
    <w:rsid w:val="0003687B"/>
    <w:rsid w:val="0003717B"/>
    <w:rsid w:val="0003763A"/>
    <w:rsid w:val="00037CB9"/>
    <w:rsid w:val="00037CD3"/>
    <w:rsid w:val="000400B6"/>
    <w:rsid w:val="00040211"/>
    <w:rsid w:val="000404B9"/>
    <w:rsid w:val="00041204"/>
    <w:rsid w:val="00042A5A"/>
    <w:rsid w:val="00043969"/>
    <w:rsid w:val="00043A8D"/>
    <w:rsid w:val="00044485"/>
    <w:rsid w:val="0004492B"/>
    <w:rsid w:val="00044E68"/>
    <w:rsid w:val="000453D8"/>
    <w:rsid w:val="00045585"/>
    <w:rsid w:val="00045827"/>
    <w:rsid w:val="00045F79"/>
    <w:rsid w:val="00046E52"/>
    <w:rsid w:val="0005052C"/>
    <w:rsid w:val="00050693"/>
    <w:rsid w:val="000508B7"/>
    <w:rsid w:val="00051174"/>
    <w:rsid w:val="000514E0"/>
    <w:rsid w:val="00051747"/>
    <w:rsid w:val="0005263B"/>
    <w:rsid w:val="000531F7"/>
    <w:rsid w:val="00053637"/>
    <w:rsid w:val="000539E5"/>
    <w:rsid w:val="000542E3"/>
    <w:rsid w:val="00054F12"/>
    <w:rsid w:val="0005505C"/>
    <w:rsid w:val="000554CB"/>
    <w:rsid w:val="000556BF"/>
    <w:rsid w:val="000558A8"/>
    <w:rsid w:val="00055D51"/>
    <w:rsid w:val="00055FF4"/>
    <w:rsid w:val="00056D34"/>
    <w:rsid w:val="00056D6C"/>
    <w:rsid w:val="000571FD"/>
    <w:rsid w:val="0005730C"/>
    <w:rsid w:val="00057531"/>
    <w:rsid w:val="00057734"/>
    <w:rsid w:val="00057791"/>
    <w:rsid w:val="000613AB"/>
    <w:rsid w:val="000615D2"/>
    <w:rsid w:val="0006177D"/>
    <w:rsid w:val="00061787"/>
    <w:rsid w:val="00061B74"/>
    <w:rsid w:val="00061DEE"/>
    <w:rsid w:val="00062188"/>
    <w:rsid w:val="00062408"/>
    <w:rsid w:val="00062DA4"/>
    <w:rsid w:val="00062FA1"/>
    <w:rsid w:val="00063951"/>
    <w:rsid w:val="0006403C"/>
    <w:rsid w:val="000642D5"/>
    <w:rsid w:val="00064A23"/>
    <w:rsid w:val="00065391"/>
    <w:rsid w:val="00065CEC"/>
    <w:rsid w:val="000668C5"/>
    <w:rsid w:val="00066E5C"/>
    <w:rsid w:val="00066EA8"/>
    <w:rsid w:val="0006738C"/>
    <w:rsid w:val="0006747A"/>
    <w:rsid w:val="000679FC"/>
    <w:rsid w:val="00067BFC"/>
    <w:rsid w:val="0007088B"/>
    <w:rsid w:val="00070D96"/>
    <w:rsid w:val="00070DBB"/>
    <w:rsid w:val="0007109D"/>
    <w:rsid w:val="000712DD"/>
    <w:rsid w:val="0007221D"/>
    <w:rsid w:val="0007380B"/>
    <w:rsid w:val="000745DC"/>
    <w:rsid w:val="0007460B"/>
    <w:rsid w:val="000753E5"/>
    <w:rsid w:val="00075DE1"/>
    <w:rsid w:val="0007607B"/>
    <w:rsid w:val="00076156"/>
    <w:rsid w:val="000766F1"/>
    <w:rsid w:val="000771EE"/>
    <w:rsid w:val="00077962"/>
    <w:rsid w:val="000804A8"/>
    <w:rsid w:val="00080C3B"/>
    <w:rsid w:val="00080C92"/>
    <w:rsid w:val="00080EC9"/>
    <w:rsid w:val="00080F58"/>
    <w:rsid w:val="000818F0"/>
    <w:rsid w:val="00082456"/>
    <w:rsid w:val="00082633"/>
    <w:rsid w:val="000826C9"/>
    <w:rsid w:val="00082C22"/>
    <w:rsid w:val="00082CB6"/>
    <w:rsid w:val="0008301F"/>
    <w:rsid w:val="000835F6"/>
    <w:rsid w:val="0008367F"/>
    <w:rsid w:val="00083B4D"/>
    <w:rsid w:val="0008437F"/>
    <w:rsid w:val="0008493F"/>
    <w:rsid w:val="000849CA"/>
    <w:rsid w:val="0008539B"/>
    <w:rsid w:val="000853EE"/>
    <w:rsid w:val="000856E1"/>
    <w:rsid w:val="00086065"/>
    <w:rsid w:val="00086774"/>
    <w:rsid w:val="0008743D"/>
    <w:rsid w:val="00087B89"/>
    <w:rsid w:val="00090C8F"/>
    <w:rsid w:val="00090F02"/>
    <w:rsid w:val="0009139C"/>
    <w:rsid w:val="00091460"/>
    <w:rsid w:val="00091D97"/>
    <w:rsid w:val="0009241E"/>
    <w:rsid w:val="0009291B"/>
    <w:rsid w:val="00093241"/>
    <w:rsid w:val="0009476F"/>
    <w:rsid w:val="0009525C"/>
    <w:rsid w:val="00095296"/>
    <w:rsid w:val="00096214"/>
    <w:rsid w:val="00097076"/>
    <w:rsid w:val="000A0755"/>
    <w:rsid w:val="000A11CD"/>
    <w:rsid w:val="000A1513"/>
    <w:rsid w:val="000A18E3"/>
    <w:rsid w:val="000A1E8C"/>
    <w:rsid w:val="000A3465"/>
    <w:rsid w:val="000A3817"/>
    <w:rsid w:val="000A39AA"/>
    <w:rsid w:val="000A4189"/>
    <w:rsid w:val="000A4255"/>
    <w:rsid w:val="000A453C"/>
    <w:rsid w:val="000A50D8"/>
    <w:rsid w:val="000A5B40"/>
    <w:rsid w:val="000A6765"/>
    <w:rsid w:val="000A7279"/>
    <w:rsid w:val="000A7A69"/>
    <w:rsid w:val="000B007A"/>
    <w:rsid w:val="000B0700"/>
    <w:rsid w:val="000B0C64"/>
    <w:rsid w:val="000B13F7"/>
    <w:rsid w:val="000B1400"/>
    <w:rsid w:val="000B2EF0"/>
    <w:rsid w:val="000B2F6B"/>
    <w:rsid w:val="000B39EA"/>
    <w:rsid w:val="000B3C6B"/>
    <w:rsid w:val="000B45BB"/>
    <w:rsid w:val="000B4890"/>
    <w:rsid w:val="000B4B30"/>
    <w:rsid w:val="000B5ECF"/>
    <w:rsid w:val="000B642B"/>
    <w:rsid w:val="000B6C6D"/>
    <w:rsid w:val="000B7058"/>
    <w:rsid w:val="000B7274"/>
    <w:rsid w:val="000B763F"/>
    <w:rsid w:val="000B79DC"/>
    <w:rsid w:val="000B7D1B"/>
    <w:rsid w:val="000C0889"/>
    <w:rsid w:val="000C0FC9"/>
    <w:rsid w:val="000C1B00"/>
    <w:rsid w:val="000C218E"/>
    <w:rsid w:val="000C27EE"/>
    <w:rsid w:val="000C2DFD"/>
    <w:rsid w:val="000C3C87"/>
    <w:rsid w:val="000C3E44"/>
    <w:rsid w:val="000C44F7"/>
    <w:rsid w:val="000C4C30"/>
    <w:rsid w:val="000C4D6C"/>
    <w:rsid w:val="000C4DD7"/>
    <w:rsid w:val="000C4F59"/>
    <w:rsid w:val="000C542E"/>
    <w:rsid w:val="000C7CC2"/>
    <w:rsid w:val="000C7DA8"/>
    <w:rsid w:val="000D046C"/>
    <w:rsid w:val="000D07F2"/>
    <w:rsid w:val="000D0C1E"/>
    <w:rsid w:val="000D0C56"/>
    <w:rsid w:val="000D1208"/>
    <w:rsid w:val="000D133D"/>
    <w:rsid w:val="000D1488"/>
    <w:rsid w:val="000D1EEA"/>
    <w:rsid w:val="000D2065"/>
    <w:rsid w:val="000D35C5"/>
    <w:rsid w:val="000D3771"/>
    <w:rsid w:val="000D3AA2"/>
    <w:rsid w:val="000D52D0"/>
    <w:rsid w:val="000D5EA1"/>
    <w:rsid w:val="000D6496"/>
    <w:rsid w:val="000D68B0"/>
    <w:rsid w:val="000D7673"/>
    <w:rsid w:val="000D7707"/>
    <w:rsid w:val="000D7EE6"/>
    <w:rsid w:val="000E01E1"/>
    <w:rsid w:val="000E0B6B"/>
    <w:rsid w:val="000E0C73"/>
    <w:rsid w:val="000E0C8B"/>
    <w:rsid w:val="000E1645"/>
    <w:rsid w:val="000E1724"/>
    <w:rsid w:val="000E21A5"/>
    <w:rsid w:val="000E21B7"/>
    <w:rsid w:val="000E2478"/>
    <w:rsid w:val="000E26DE"/>
    <w:rsid w:val="000E2964"/>
    <w:rsid w:val="000E29CF"/>
    <w:rsid w:val="000E2E8D"/>
    <w:rsid w:val="000E2F82"/>
    <w:rsid w:val="000E3A0F"/>
    <w:rsid w:val="000E4AB8"/>
    <w:rsid w:val="000E4DA9"/>
    <w:rsid w:val="000E5307"/>
    <w:rsid w:val="000E56DA"/>
    <w:rsid w:val="000E5F6F"/>
    <w:rsid w:val="000E6D8D"/>
    <w:rsid w:val="000E6FD5"/>
    <w:rsid w:val="000E70EA"/>
    <w:rsid w:val="000E74DA"/>
    <w:rsid w:val="000E7778"/>
    <w:rsid w:val="000E7975"/>
    <w:rsid w:val="000F01B6"/>
    <w:rsid w:val="000F0323"/>
    <w:rsid w:val="000F0A9A"/>
    <w:rsid w:val="000F0BDB"/>
    <w:rsid w:val="000F1C81"/>
    <w:rsid w:val="000F2082"/>
    <w:rsid w:val="000F2407"/>
    <w:rsid w:val="000F242B"/>
    <w:rsid w:val="000F258B"/>
    <w:rsid w:val="000F2FB2"/>
    <w:rsid w:val="000F3765"/>
    <w:rsid w:val="000F3C5A"/>
    <w:rsid w:val="000F41DD"/>
    <w:rsid w:val="000F44D6"/>
    <w:rsid w:val="000F4749"/>
    <w:rsid w:val="000F4C76"/>
    <w:rsid w:val="000F57D7"/>
    <w:rsid w:val="000F585B"/>
    <w:rsid w:val="000F5CFB"/>
    <w:rsid w:val="000F5F05"/>
    <w:rsid w:val="000F6245"/>
    <w:rsid w:val="000F63F9"/>
    <w:rsid w:val="000F6755"/>
    <w:rsid w:val="000F6B90"/>
    <w:rsid w:val="000F6EFC"/>
    <w:rsid w:val="000F7301"/>
    <w:rsid w:val="000F7582"/>
    <w:rsid w:val="00100016"/>
    <w:rsid w:val="001003C0"/>
    <w:rsid w:val="001003EC"/>
    <w:rsid w:val="001005DB"/>
    <w:rsid w:val="00100D98"/>
    <w:rsid w:val="00100E7B"/>
    <w:rsid w:val="0010182A"/>
    <w:rsid w:val="00101854"/>
    <w:rsid w:val="00101A81"/>
    <w:rsid w:val="00101B8D"/>
    <w:rsid w:val="001022CF"/>
    <w:rsid w:val="00103468"/>
    <w:rsid w:val="0010456A"/>
    <w:rsid w:val="00104900"/>
    <w:rsid w:val="00105DAE"/>
    <w:rsid w:val="00106C7E"/>
    <w:rsid w:val="00107028"/>
    <w:rsid w:val="00107043"/>
    <w:rsid w:val="001072CF"/>
    <w:rsid w:val="001074B0"/>
    <w:rsid w:val="00107837"/>
    <w:rsid w:val="00110535"/>
    <w:rsid w:val="00110EA7"/>
    <w:rsid w:val="00111193"/>
    <w:rsid w:val="00111770"/>
    <w:rsid w:val="0011193A"/>
    <w:rsid w:val="00111D11"/>
    <w:rsid w:val="00111D83"/>
    <w:rsid w:val="0011238A"/>
    <w:rsid w:val="001124CD"/>
    <w:rsid w:val="001125E0"/>
    <w:rsid w:val="001137F7"/>
    <w:rsid w:val="0011403F"/>
    <w:rsid w:val="00114375"/>
    <w:rsid w:val="00114809"/>
    <w:rsid w:val="001154FD"/>
    <w:rsid w:val="00116DD4"/>
    <w:rsid w:val="00116FB9"/>
    <w:rsid w:val="001171CD"/>
    <w:rsid w:val="001179D4"/>
    <w:rsid w:val="001179F1"/>
    <w:rsid w:val="00120EB0"/>
    <w:rsid w:val="001213ED"/>
    <w:rsid w:val="001218EF"/>
    <w:rsid w:val="00121A0B"/>
    <w:rsid w:val="00122C8B"/>
    <w:rsid w:val="001230F0"/>
    <w:rsid w:val="00123780"/>
    <w:rsid w:val="001237C2"/>
    <w:rsid w:val="001247F8"/>
    <w:rsid w:val="00126548"/>
    <w:rsid w:val="001266BC"/>
    <w:rsid w:val="00126EA7"/>
    <w:rsid w:val="00127286"/>
    <w:rsid w:val="00127476"/>
    <w:rsid w:val="001302EA"/>
    <w:rsid w:val="00130DA4"/>
    <w:rsid w:val="001319CA"/>
    <w:rsid w:val="00131AF6"/>
    <w:rsid w:val="001321AC"/>
    <w:rsid w:val="00132448"/>
    <w:rsid w:val="00132D39"/>
    <w:rsid w:val="00132D5A"/>
    <w:rsid w:val="00132DD1"/>
    <w:rsid w:val="001334C7"/>
    <w:rsid w:val="00133B70"/>
    <w:rsid w:val="00133CAC"/>
    <w:rsid w:val="00133D57"/>
    <w:rsid w:val="00133DD9"/>
    <w:rsid w:val="00133F59"/>
    <w:rsid w:val="001345F4"/>
    <w:rsid w:val="00134F97"/>
    <w:rsid w:val="001361E8"/>
    <w:rsid w:val="00136E28"/>
    <w:rsid w:val="00137393"/>
    <w:rsid w:val="001374BE"/>
    <w:rsid w:val="0013764E"/>
    <w:rsid w:val="0013769B"/>
    <w:rsid w:val="001376D6"/>
    <w:rsid w:val="00140306"/>
    <w:rsid w:val="00140499"/>
    <w:rsid w:val="00141254"/>
    <w:rsid w:val="0014155B"/>
    <w:rsid w:val="00141840"/>
    <w:rsid w:val="00142433"/>
    <w:rsid w:val="0014244F"/>
    <w:rsid w:val="0014258E"/>
    <w:rsid w:val="00142F6F"/>
    <w:rsid w:val="00143001"/>
    <w:rsid w:val="001434F3"/>
    <w:rsid w:val="00143987"/>
    <w:rsid w:val="00143E21"/>
    <w:rsid w:val="00143FD3"/>
    <w:rsid w:val="0014451A"/>
    <w:rsid w:val="001448C4"/>
    <w:rsid w:val="00144C19"/>
    <w:rsid w:val="00145467"/>
    <w:rsid w:val="00145A72"/>
    <w:rsid w:val="001461A8"/>
    <w:rsid w:val="001473AC"/>
    <w:rsid w:val="00147D0F"/>
    <w:rsid w:val="0015032E"/>
    <w:rsid w:val="00150A45"/>
    <w:rsid w:val="0015146E"/>
    <w:rsid w:val="00153795"/>
    <w:rsid w:val="00153C27"/>
    <w:rsid w:val="0015474E"/>
    <w:rsid w:val="00155246"/>
    <w:rsid w:val="00155632"/>
    <w:rsid w:val="00155A03"/>
    <w:rsid w:val="00156614"/>
    <w:rsid w:val="00157B0D"/>
    <w:rsid w:val="00160116"/>
    <w:rsid w:val="00160282"/>
    <w:rsid w:val="00160AA2"/>
    <w:rsid w:val="00160AE0"/>
    <w:rsid w:val="001612F5"/>
    <w:rsid w:val="0016189B"/>
    <w:rsid w:val="00161C80"/>
    <w:rsid w:val="0016231B"/>
    <w:rsid w:val="0016324F"/>
    <w:rsid w:val="001638A5"/>
    <w:rsid w:val="00163C3F"/>
    <w:rsid w:val="00164151"/>
    <w:rsid w:val="0016451F"/>
    <w:rsid w:val="00164675"/>
    <w:rsid w:val="00164AC0"/>
    <w:rsid w:val="00165275"/>
    <w:rsid w:val="0016528F"/>
    <w:rsid w:val="00165C81"/>
    <w:rsid w:val="00170D43"/>
    <w:rsid w:val="00171013"/>
    <w:rsid w:val="0017139A"/>
    <w:rsid w:val="0017172F"/>
    <w:rsid w:val="00171B87"/>
    <w:rsid w:val="001722D9"/>
    <w:rsid w:val="0017440D"/>
    <w:rsid w:val="00174C44"/>
    <w:rsid w:val="001759CE"/>
    <w:rsid w:val="00175A1D"/>
    <w:rsid w:val="00175FC9"/>
    <w:rsid w:val="0017686C"/>
    <w:rsid w:val="00177C53"/>
    <w:rsid w:val="00177CE8"/>
    <w:rsid w:val="00177FCE"/>
    <w:rsid w:val="001808FA"/>
    <w:rsid w:val="00181160"/>
    <w:rsid w:val="0018129E"/>
    <w:rsid w:val="00181383"/>
    <w:rsid w:val="001813D5"/>
    <w:rsid w:val="001819E7"/>
    <w:rsid w:val="00181DC6"/>
    <w:rsid w:val="001823A8"/>
    <w:rsid w:val="00182F58"/>
    <w:rsid w:val="00183197"/>
    <w:rsid w:val="00183322"/>
    <w:rsid w:val="00183442"/>
    <w:rsid w:val="001834EB"/>
    <w:rsid w:val="0018360A"/>
    <w:rsid w:val="00183999"/>
    <w:rsid w:val="00183B32"/>
    <w:rsid w:val="00184F05"/>
    <w:rsid w:val="001851F0"/>
    <w:rsid w:val="00186200"/>
    <w:rsid w:val="001868C6"/>
    <w:rsid w:val="00186AE8"/>
    <w:rsid w:val="001872F2"/>
    <w:rsid w:val="00190456"/>
    <w:rsid w:val="00190691"/>
    <w:rsid w:val="00190E6F"/>
    <w:rsid w:val="00190F3B"/>
    <w:rsid w:val="00191349"/>
    <w:rsid w:val="0019164D"/>
    <w:rsid w:val="001925BA"/>
    <w:rsid w:val="00192A90"/>
    <w:rsid w:val="0019301C"/>
    <w:rsid w:val="00193566"/>
    <w:rsid w:val="0019399B"/>
    <w:rsid w:val="00193C95"/>
    <w:rsid w:val="00193F2C"/>
    <w:rsid w:val="00194097"/>
    <w:rsid w:val="001948C6"/>
    <w:rsid w:val="00194B87"/>
    <w:rsid w:val="00194D49"/>
    <w:rsid w:val="00195A1D"/>
    <w:rsid w:val="00195CFE"/>
    <w:rsid w:val="00196C53"/>
    <w:rsid w:val="0019728A"/>
    <w:rsid w:val="00197FCF"/>
    <w:rsid w:val="001A0DCE"/>
    <w:rsid w:val="001A14C4"/>
    <w:rsid w:val="001A1708"/>
    <w:rsid w:val="001A3D40"/>
    <w:rsid w:val="001A3E9E"/>
    <w:rsid w:val="001A4872"/>
    <w:rsid w:val="001A4934"/>
    <w:rsid w:val="001A4FB4"/>
    <w:rsid w:val="001A5466"/>
    <w:rsid w:val="001A58C1"/>
    <w:rsid w:val="001A62B4"/>
    <w:rsid w:val="001A64D7"/>
    <w:rsid w:val="001A67AA"/>
    <w:rsid w:val="001A6D3E"/>
    <w:rsid w:val="001A71E7"/>
    <w:rsid w:val="001A7461"/>
    <w:rsid w:val="001A7687"/>
    <w:rsid w:val="001A7B1E"/>
    <w:rsid w:val="001B0A6D"/>
    <w:rsid w:val="001B1FCE"/>
    <w:rsid w:val="001B2144"/>
    <w:rsid w:val="001B2655"/>
    <w:rsid w:val="001B2816"/>
    <w:rsid w:val="001B2A1F"/>
    <w:rsid w:val="001B2DF1"/>
    <w:rsid w:val="001B3009"/>
    <w:rsid w:val="001B3D38"/>
    <w:rsid w:val="001B3FCD"/>
    <w:rsid w:val="001B4289"/>
    <w:rsid w:val="001B443A"/>
    <w:rsid w:val="001B4603"/>
    <w:rsid w:val="001B4E41"/>
    <w:rsid w:val="001B4EE6"/>
    <w:rsid w:val="001B5035"/>
    <w:rsid w:val="001B591D"/>
    <w:rsid w:val="001B594E"/>
    <w:rsid w:val="001B5A6D"/>
    <w:rsid w:val="001B5BCA"/>
    <w:rsid w:val="001B5C69"/>
    <w:rsid w:val="001B5E7E"/>
    <w:rsid w:val="001B6133"/>
    <w:rsid w:val="001B67C2"/>
    <w:rsid w:val="001B6BA7"/>
    <w:rsid w:val="001B7D3C"/>
    <w:rsid w:val="001B7E98"/>
    <w:rsid w:val="001B7F39"/>
    <w:rsid w:val="001C1377"/>
    <w:rsid w:val="001C2AFE"/>
    <w:rsid w:val="001C364A"/>
    <w:rsid w:val="001C413F"/>
    <w:rsid w:val="001C43CF"/>
    <w:rsid w:val="001C5493"/>
    <w:rsid w:val="001C5C0B"/>
    <w:rsid w:val="001C6005"/>
    <w:rsid w:val="001C609A"/>
    <w:rsid w:val="001C64DC"/>
    <w:rsid w:val="001C6CAC"/>
    <w:rsid w:val="001C6DC5"/>
    <w:rsid w:val="001C7CB7"/>
    <w:rsid w:val="001C7E9C"/>
    <w:rsid w:val="001D1C7B"/>
    <w:rsid w:val="001D1E88"/>
    <w:rsid w:val="001D2055"/>
    <w:rsid w:val="001D29E9"/>
    <w:rsid w:val="001D2B6F"/>
    <w:rsid w:val="001D3327"/>
    <w:rsid w:val="001D534B"/>
    <w:rsid w:val="001D55C2"/>
    <w:rsid w:val="001D6BA2"/>
    <w:rsid w:val="001D7296"/>
    <w:rsid w:val="001D76D5"/>
    <w:rsid w:val="001E0CE3"/>
    <w:rsid w:val="001E1514"/>
    <w:rsid w:val="001E1946"/>
    <w:rsid w:val="001E226F"/>
    <w:rsid w:val="001E326F"/>
    <w:rsid w:val="001E32CC"/>
    <w:rsid w:val="001E353E"/>
    <w:rsid w:val="001E3782"/>
    <w:rsid w:val="001E3DFB"/>
    <w:rsid w:val="001E4006"/>
    <w:rsid w:val="001E4421"/>
    <w:rsid w:val="001E462E"/>
    <w:rsid w:val="001E4CAF"/>
    <w:rsid w:val="001E4D86"/>
    <w:rsid w:val="001E4DA7"/>
    <w:rsid w:val="001E52F3"/>
    <w:rsid w:val="001E5450"/>
    <w:rsid w:val="001E5E22"/>
    <w:rsid w:val="001E5ED8"/>
    <w:rsid w:val="001E6703"/>
    <w:rsid w:val="001E6C15"/>
    <w:rsid w:val="001E74E9"/>
    <w:rsid w:val="001E7633"/>
    <w:rsid w:val="001E79DC"/>
    <w:rsid w:val="001E7D9C"/>
    <w:rsid w:val="001E7DFA"/>
    <w:rsid w:val="001E7F31"/>
    <w:rsid w:val="001F0B72"/>
    <w:rsid w:val="001F0DC9"/>
    <w:rsid w:val="001F0F83"/>
    <w:rsid w:val="001F1166"/>
    <w:rsid w:val="001F1311"/>
    <w:rsid w:val="001F1AAE"/>
    <w:rsid w:val="001F1B71"/>
    <w:rsid w:val="001F1E03"/>
    <w:rsid w:val="001F3B97"/>
    <w:rsid w:val="001F3C7E"/>
    <w:rsid w:val="001F3F63"/>
    <w:rsid w:val="001F3FF6"/>
    <w:rsid w:val="001F4727"/>
    <w:rsid w:val="001F5E45"/>
    <w:rsid w:val="001F610D"/>
    <w:rsid w:val="001F6CE4"/>
    <w:rsid w:val="001F73A0"/>
    <w:rsid w:val="001F757E"/>
    <w:rsid w:val="001F76A7"/>
    <w:rsid w:val="00200533"/>
    <w:rsid w:val="002005E5"/>
    <w:rsid w:val="00201551"/>
    <w:rsid w:val="00201D8E"/>
    <w:rsid w:val="002022B4"/>
    <w:rsid w:val="00202917"/>
    <w:rsid w:val="00202D30"/>
    <w:rsid w:val="0020307F"/>
    <w:rsid w:val="002032C7"/>
    <w:rsid w:val="00203689"/>
    <w:rsid w:val="00203F10"/>
    <w:rsid w:val="002041C0"/>
    <w:rsid w:val="00204958"/>
    <w:rsid w:val="00204D14"/>
    <w:rsid w:val="00205581"/>
    <w:rsid w:val="00206400"/>
    <w:rsid w:val="00206E87"/>
    <w:rsid w:val="002101B3"/>
    <w:rsid w:val="002103B0"/>
    <w:rsid w:val="002108B0"/>
    <w:rsid w:val="00210C16"/>
    <w:rsid w:val="0021182E"/>
    <w:rsid w:val="00211BE6"/>
    <w:rsid w:val="002124D2"/>
    <w:rsid w:val="002125A0"/>
    <w:rsid w:val="002128C7"/>
    <w:rsid w:val="00213007"/>
    <w:rsid w:val="00213E64"/>
    <w:rsid w:val="00214008"/>
    <w:rsid w:val="00214480"/>
    <w:rsid w:val="00214E46"/>
    <w:rsid w:val="00215D71"/>
    <w:rsid w:val="00216CC7"/>
    <w:rsid w:val="00217116"/>
    <w:rsid w:val="00217354"/>
    <w:rsid w:val="0021747A"/>
    <w:rsid w:val="002177E2"/>
    <w:rsid w:val="00217C00"/>
    <w:rsid w:val="002220DA"/>
    <w:rsid w:val="002221CA"/>
    <w:rsid w:val="0022235C"/>
    <w:rsid w:val="00222EC5"/>
    <w:rsid w:val="00222FE7"/>
    <w:rsid w:val="00223A77"/>
    <w:rsid w:val="00223BC5"/>
    <w:rsid w:val="0022486B"/>
    <w:rsid w:val="0022491B"/>
    <w:rsid w:val="00224BE8"/>
    <w:rsid w:val="00224CF8"/>
    <w:rsid w:val="00224F0D"/>
    <w:rsid w:val="002251BF"/>
    <w:rsid w:val="002252C5"/>
    <w:rsid w:val="00225978"/>
    <w:rsid w:val="00225EC9"/>
    <w:rsid w:val="00226A0B"/>
    <w:rsid w:val="0022709D"/>
    <w:rsid w:val="0022787D"/>
    <w:rsid w:val="00230132"/>
    <w:rsid w:val="00230F1E"/>
    <w:rsid w:val="00231A43"/>
    <w:rsid w:val="00232240"/>
    <w:rsid w:val="00232659"/>
    <w:rsid w:val="002326D1"/>
    <w:rsid w:val="00233424"/>
    <w:rsid w:val="00233EDB"/>
    <w:rsid w:val="002340A5"/>
    <w:rsid w:val="002340E6"/>
    <w:rsid w:val="0023431D"/>
    <w:rsid w:val="0023454C"/>
    <w:rsid w:val="00235156"/>
    <w:rsid w:val="002357B1"/>
    <w:rsid w:val="0023633C"/>
    <w:rsid w:val="002372FA"/>
    <w:rsid w:val="00237A89"/>
    <w:rsid w:val="00237D06"/>
    <w:rsid w:val="002405EB"/>
    <w:rsid w:val="002407AE"/>
    <w:rsid w:val="0024094B"/>
    <w:rsid w:val="00240E3A"/>
    <w:rsid w:val="0024234D"/>
    <w:rsid w:val="00242548"/>
    <w:rsid w:val="00242944"/>
    <w:rsid w:val="00242BFC"/>
    <w:rsid w:val="00242D3B"/>
    <w:rsid w:val="00243768"/>
    <w:rsid w:val="00243A98"/>
    <w:rsid w:val="00243DDD"/>
    <w:rsid w:val="00244A1B"/>
    <w:rsid w:val="00244D74"/>
    <w:rsid w:val="00245A67"/>
    <w:rsid w:val="00245C01"/>
    <w:rsid w:val="002466B5"/>
    <w:rsid w:val="00246DF2"/>
    <w:rsid w:val="0024704C"/>
    <w:rsid w:val="00247636"/>
    <w:rsid w:val="00247C61"/>
    <w:rsid w:val="002508B5"/>
    <w:rsid w:val="002513D3"/>
    <w:rsid w:val="0025140F"/>
    <w:rsid w:val="00251DBC"/>
    <w:rsid w:val="00253436"/>
    <w:rsid w:val="00254147"/>
    <w:rsid w:val="002544E6"/>
    <w:rsid w:val="00254767"/>
    <w:rsid w:val="00254827"/>
    <w:rsid w:val="00255B68"/>
    <w:rsid w:val="00256553"/>
    <w:rsid w:val="002565DE"/>
    <w:rsid w:val="0025694A"/>
    <w:rsid w:val="0026026A"/>
    <w:rsid w:val="00260813"/>
    <w:rsid w:val="00260DF3"/>
    <w:rsid w:val="002612CC"/>
    <w:rsid w:val="002614B1"/>
    <w:rsid w:val="00261914"/>
    <w:rsid w:val="00261CA3"/>
    <w:rsid w:val="002625D5"/>
    <w:rsid w:val="002626CE"/>
    <w:rsid w:val="002626DC"/>
    <w:rsid w:val="002627CA"/>
    <w:rsid w:val="0026292B"/>
    <w:rsid w:val="0026293D"/>
    <w:rsid w:val="00262AE4"/>
    <w:rsid w:val="002637BC"/>
    <w:rsid w:val="00263B4F"/>
    <w:rsid w:val="00263CBF"/>
    <w:rsid w:val="00263CF6"/>
    <w:rsid w:val="002642D2"/>
    <w:rsid w:val="002646CA"/>
    <w:rsid w:val="002647CC"/>
    <w:rsid w:val="00265607"/>
    <w:rsid w:val="00265EF3"/>
    <w:rsid w:val="00266507"/>
    <w:rsid w:val="002667DF"/>
    <w:rsid w:val="00266951"/>
    <w:rsid w:val="00267747"/>
    <w:rsid w:val="002701C1"/>
    <w:rsid w:val="00270458"/>
    <w:rsid w:val="00270A45"/>
    <w:rsid w:val="0027154D"/>
    <w:rsid w:val="00271622"/>
    <w:rsid w:val="0027288E"/>
    <w:rsid w:val="00272E4A"/>
    <w:rsid w:val="00273163"/>
    <w:rsid w:val="0027316F"/>
    <w:rsid w:val="0027322B"/>
    <w:rsid w:val="00273FC4"/>
    <w:rsid w:val="002741A9"/>
    <w:rsid w:val="00274939"/>
    <w:rsid w:val="0027498A"/>
    <w:rsid w:val="0027534E"/>
    <w:rsid w:val="002760C3"/>
    <w:rsid w:val="00276827"/>
    <w:rsid w:val="00276C14"/>
    <w:rsid w:val="00277DB5"/>
    <w:rsid w:val="00280121"/>
    <w:rsid w:val="0028067F"/>
    <w:rsid w:val="0028115A"/>
    <w:rsid w:val="00281743"/>
    <w:rsid w:val="0028189B"/>
    <w:rsid w:val="002824F1"/>
    <w:rsid w:val="00282675"/>
    <w:rsid w:val="002833BF"/>
    <w:rsid w:val="002833C6"/>
    <w:rsid w:val="002836C7"/>
    <w:rsid w:val="0028444C"/>
    <w:rsid w:val="00285631"/>
    <w:rsid w:val="00285ED9"/>
    <w:rsid w:val="00286901"/>
    <w:rsid w:val="002870C7"/>
    <w:rsid w:val="0028718C"/>
    <w:rsid w:val="002900BF"/>
    <w:rsid w:val="0029021C"/>
    <w:rsid w:val="00290264"/>
    <w:rsid w:val="00290D0F"/>
    <w:rsid w:val="002914CD"/>
    <w:rsid w:val="002916D7"/>
    <w:rsid w:val="00291F9B"/>
    <w:rsid w:val="00292F37"/>
    <w:rsid w:val="002931F3"/>
    <w:rsid w:val="002934E3"/>
    <w:rsid w:val="002936D1"/>
    <w:rsid w:val="002938A8"/>
    <w:rsid w:val="00293B2A"/>
    <w:rsid w:val="0029418B"/>
    <w:rsid w:val="00294BEF"/>
    <w:rsid w:val="00294DB2"/>
    <w:rsid w:val="00295A82"/>
    <w:rsid w:val="00295C23"/>
    <w:rsid w:val="00296048"/>
    <w:rsid w:val="00296061"/>
    <w:rsid w:val="002961A7"/>
    <w:rsid w:val="00297141"/>
    <w:rsid w:val="0029730F"/>
    <w:rsid w:val="0029735B"/>
    <w:rsid w:val="002974CA"/>
    <w:rsid w:val="00297557"/>
    <w:rsid w:val="00297868"/>
    <w:rsid w:val="00297B52"/>
    <w:rsid w:val="002A0AB2"/>
    <w:rsid w:val="002A1195"/>
    <w:rsid w:val="002A1826"/>
    <w:rsid w:val="002A190F"/>
    <w:rsid w:val="002A1D38"/>
    <w:rsid w:val="002A2195"/>
    <w:rsid w:val="002A2269"/>
    <w:rsid w:val="002A2292"/>
    <w:rsid w:val="002A258F"/>
    <w:rsid w:val="002A2963"/>
    <w:rsid w:val="002A2AA2"/>
    <w:rsid w:val="002A4042"/>
    <w:rsid w:val="002A48B1"/>
    <w:rsid w:val="002A4D18"/>
    <w:rsid w:val="002A4EBA"/>
    <w:rsid w:val="002A5471"/>
    <w:rsid w:val="002A6602"/>
    <w:rsid w:val="002A6F42"/>
    <w:rsid w:val="002A7062"/>
    <w:rsid w:val="002A7732"/>
    <w:rsid w:val="002A7A4C"/>
    <w:rsid w:val="002A7DF0"/>
    <w:rsid w:val="002B072F"/>
    <w:rsid w:val="002B1B35"/>
    <w:rsid w:val="002B1C4F"/>
    <w:rsid w:val="002B24C7"/>
    <w:rsid w:val="002B2BAE"/>
    <w:rsid w:val="002B3160"/>
    <w:rsid w:val="002B3BB4"/>
    <w:rsid w:val="002B403C"/>
    <w:rsid w:val="002B58FB"/>
    <w:rsid w:val="002B5B8A"/>
    <w:rsid w:val="002B601B"/>
    <w:rsid w:val="002B713E"/>
    <w:rsid w:val="002B73BD"/>
    <w:rsid w:val="002B7494"/>
    <w:rsid w:val="002B78E2"/>
    <w:rsid w:val="002B7B55"/>
    <w:rsid w:val="002B7C28"/>
    <w:rsid w:val="002B7D20"/>
    <w:rsid w:val="002B7D76"/>
    <w:rsid w:val="002C0434"/>
    <w:rsid w:val="002C0E76"/>
    <w:rsid w:val="002C0FD6"/>
    <w:rsid w:val="002C1870"/>
    <w:rsid w:val="002C20D1"/>
    <w:rsid w:val="002C243F"/>
    <w:rsid w:val="002C248E"/>
    <w:rsid w:val="002C2C5B"/>
    <w:rsid w:val="002C435F"/>
    <w:rsid w:val="002C43D6"/>
    <w:rsid w:val="002C4520"/>
    <w:rsid w:val="002C46E4"/>
    <w:rsid w:val="002C4DC2"/>
    <w:rsid w:val="002C51A9"/>
    <w:rsid w:val="002C52E6"/>
    <w:rsid w:val="002C5394"/>
    <w:rsid w:val="002C59EB"/>
    <w:rsid w:val="002C5B51"/>
    <w:rsid w:val="002C609C"/>
    <w:rsid w:val="002C6346"/>
    <w:rsid w:val="002C6798"/>
    <w:rsid w:val="002C69F0"/>
    <w:rsid w:val="002C6C6B"/>
    <w:rsid w:val="002C77A5"/>
    <w:rsid w:val="002C7CD2"/>
    <w:rsid w:val="002D0684"/>
    <w:rsid w:val="002D1DE6"/>
    <w:rsid w:val="002D222A"/>
    <w:rsid w:val="002D23ED"/>
    <w:rsid w:val="002D2C7F"/>
    <w:rsid w:val="002D2C9F"/>
    <w:rsid w:val="002D2E3D"/>
    <w:rsid w:val="002D2FEB"/>
    <w:rsid w:val="002D40EB"/>
    <w:rsid w:val="002D4474"/>
    <w:rsid w:val="002D4D43"/>
    <w:rsid w:val="002D579A"/>
    <w:rsid w:val="002D73CD"/>
    <w:rsid w:val="002D74B0"/>
    <w:rsid w:val="002D7E6C"/>
    <w:rsid w:val="002D7F98"/>
    <w:rsid w:val="002E0809"/>
    <w:rsid w:val="002E0A9C"/>
    <w:rsid w:val="002E15DF"/>
    <w:rsid w:val="002E20BC"/>
    <w:rsid w:val="002E28C7"/>
    <w:rsid w:val="002E34F4"/>
    <w:rsid w:val="002E3532"/>
    <w:rsid w:val="002E3AEC"/>
    <w:rsid w:val="002E3F48"/>
    <w:rsid w:val="002E4124"/>
    <w:rsid w:val="002E465C"/>
    <w:rsid w:val="002E514B"/>
    <w:rsid w:val="002E514F"/>
    <w:rsid w:val="002E5159"/>
    <w:rsid w:val="002E51B3"/>
    <w:rsid w:val="002E51BC"/>
    <w:rsid w:val="002E58EE"/>
    <w:rsid w:val="002E5ADB"/>
    <w:rsid w:val="002E5D85"/>
    <w:rsid w:val="002E6430"/>
    <w:rsid w:val="002E727C"/>
    <w:rsid w:val="002E766A"/>
    <w:rsid w:val="002F00F8"/>
    <w:rsid w:val="002F06D7"/>
    <w:rsid w:val="002F09B4"/>
    <w:rsid w:val="002F13B4"/>
    <w:rsid w:val="002F2AE7"/>
    <w:rsid w:val="002F306F"/>
    <w:rsid w:val="002F3130"/>
    <w:rsid w:val="002F3440"/>
    <w:rsid w:val="002F3627"/>
    <w:rsid w:val="002F3A02"/>
    <w:rsid w:val="002F3E70"/>
    <w:rsid w:val="002F53F1"/>
    <w:rsid w:val="002F552B"/>
    <w:rsid w:val="002F5592"/>
    <w:rsid w:val="002F5D4E"/>
    <w:rsid w:val="002F7257"/>
    <w:rsid w:val="002F72DF"/>
    <w:rsid w:val="002F7617"/>
    <w:rsid w:val="002F7726"/>
    <w:rsid w:val="002F7A24"/>
    <w:rsid w:val="002F7B6F"/>
    <w:rsid w:val="002F7E3D"/>
    <w:rsid w:val="00300033"/>
    <w:rsid w:val="0030051E"/>
    <w:rsid w:val="003010B5"/>
    <w:rsid w:val="00301228"/>
    <w:rsid w:val="003016F3"/>
    <w:rsid w:val="00301D8C"/>
    <w:rsid w:val="0030206C"/>
    <w:rsid w:val="00302455"/>
    <w:rsid w:val="00302C73"/>
    <w:rsid w:val="00303A6A"/>
    <w:rsid w:val="00303C45"/>
    <w:rsid w:val="00303F28"/>
    <w:rsid w:val="003040C7"/>
    <w:rsid w:val="003042DC"/>
    <w:rsid w:val="0030544F"/>
    <w:rsid w:val="00305B8C"/>
    <w:rsid w:val="00306958"/>
    <w:rsid w:val="003069FB"/>
    <w:rsid w:val="0030728F"/>
    <w:rsid w:val="00307500"/>
    <w:rsid w:val="00307631"/>
    <w:rsid w:val="00307671"/>
    <w:rsid w:val="00307E1C"/>
    <w:rsid w:val="00307F53"/>
    <w:rsid w:val="00310110"/>
    <w:rsid w:val="00310531"/>
    <w:rsid w:val="00310565"/>
    <w:rsid w:val="003105FF"/>
    <w:rsid w:val="00311285"/>
    <w:rsid w:val="003113A5"/>
    <w:rsid w:val="0031153E"/>
    <w:rsid w:val="00311B4F"/>
    <w:rsid w:val="003121FD"/>
    <w:rsid w:val="00312E24"/>
    <w:rsid w:val="00312E9C"/>
    <w:rsid w:val="00312F6F"/>
    <w:rsid w:val="00313782"/>
    <w:rsid w:val="003139E9"/>
    <w:rsid w:val="0031487C"/>
    <w:rsid w:val="003148EA"/>
    <w:rsid w:val="00314D2F"/>
    <w:rsid w:val="00314DF5"/>
    <w:rsid w:val="00314E85"/>
    <w:rsid w:val="003151C5"/>
    <w:rsid w:val="00315B08"/>
    <w:rsid w:val="00315BB3"/>
    <w:rsid w:val="00316261"/>
    <w:rsid w:val="00316AC7"/>
    <w:rsid w:val="00316B3F"/>
    <w:rsid w:val="00316F75"/>
    <w:rsid w:val="0031744C"/>
    <w:rsid w:val="00320053"/>
    <w:rsid w:val="00320195"/>
    <w:rsid w:val="00321970"/>
    <w:rsid w:val="00321BA4"/>
    <w:rsid w:val="003226F3"/>
    <w:rsid w:val="00322726"/>
    <w:rsid w:val="00322AE2"/>
    <w:rsid w:val="00322EC1"/>
    <w:rsid w:val="00322FB5"/>
    <w:rsid w:val="003231C8"/>
    <w:rsid w:val="00323529"/>
    <w:rsid w:val="003235E5"/>
    <w:rsid w:val="00323A24"/>
    <w:rsid w:val="00324226"/>
    <w:rsid w:val="003248DC"/>
    <w:rsid w:val="003250F1"/>
    <w:rsid w:val="00325250"/>
    <w:rsid w:val="003254EE"/>
    <w:rsid w:val="0032628C"/>
    <w:rsid w:val="00326446"/>
    <w:rsid w:val="0032747D"/>
    <w:rsid w:val="00327ABB"/>
    <w:rsid w:val="00330432"/>
    <w:rsid w:val="00330AC8"/>
    <w:rsid w:val="0033197B"/>
    <w:rsid w:val="003319DF"/>
    <w:rsid w:val="00331B06"/>
    <w:rsid w:val="00331B5C"/>
    <w:rsid w:val="00331FA1"/>
    <w:rsid w:val="00332118"/>
    <w:rsid w:val="0033239B"/>
    <w:rsid w:val="00332E16"/>
    <w:rsid w:val="00332E9F"/>
    <w:rsid w:val="00334066"/>
    <w:rsid w:val="0033499A"/>
    <w:rsid w:val="00335308"/>
    <w:rsid w:val="00335417"/>
    <w:rsid w:val="003367D3"/>
    <w:rsid w:val="003369DC"/>
    <w:rsid w:val="00336A9B"/>
    <w:rsid w:val="00336D9F"/>
    <w:rsid w:val="00336EA0"/>
    <w:rsid w:val="003370F0"/>
    <w:rsid w:val="0034069A"/>
    <w:rsid w:val="00340A5D"/>
    <w:rsid w:val="003410B4"/>
    <w:rsid w:val="00342393"/>
    <w:rsid w:val="003429B1"/>
    <w:rsid w:val="00342A74"/>
    <w:rsid w:val="0034395E"/>
    <w:rsid w:val="00343B4D"/>
    <w:rsid w:val="00343B74"/>
    <w:rsid w:val="00344354"/>
    <w:rsid w:val="00344517"/>
    <w:rsid w:val="003445AF"/>
    <w:rsid w:val="00344AB0"/>
    <w:rsid w:val="00344DC1"/>
    <w:rsid w:val="00345472"/>
    <w:rsid w:val="00345C11"/>
    <w:rsid w:val="003466F2"/>
    <w:rsid w:val="0034680B"/>
    <w:rsid w:val="00346B02"/>
    <w:rsid w:val="00346DB9"/>
    <w:rsid w:val="00346F86"/>
    <w:rsid w:val="0034775C"/>
    <w:rsid w:val="00347FAD"/>
    <w:rsid w:val="003502AB"/>
    <w:rsid w:val="00350F27"/>
    <w:rsid w:val="00350F7F"/>
    <w:rsid w:val="00351A4D"/>
    <w:rsid w:val="00352077"/>
    <w:rsid w:val="00352127"/>
    <w:rsid w:val="00352B0E"/>
    <w:rsid w:val="00352E13"/>
    <w:rsid w:val="003531D5"/>
    <w:rsid w:val="00355AE0"/>
    <w:rsid w:val="00355E13"/>
    <w:rsid w:val="00355E98"/>
    <w:rsid w:val="0035661D"/>
    <w:rsid w:val="00356CDA"/>
    <w:rsid w:val="00356E8F"/>
    <w:rsid w:val="0036047A"/>
    <w:rsid w:val="00361330"/>
    <w:rsid w:val="00361566"/>
    <w:rsid w:val="00361918"/>
    <w:rsid w:val="00361E88"/>
    <w:rsid w:val="00361F35"/>
    <w:rsid w:val="003623D2"/>
    <w:rsid w:val="00362403"/>
    <w:rsid w:val="0036285B"/>
    <w:rsid w:val="00362F2F"/>
    <w:rsid w:val="003636A3"/>
    <w:rsid w:val="00363883"/>
    <w:rsid w:val="003639AF"/>
    <w:rsid w:val="00364558"/>
    <w:rsid w:val="00364684"/>
    <w:rsid w:val="00364FB9"/>
    <w:rsid w:val="003659D6"/>
    <w:rsid w:val="00365A85"/>
    <w:rsid w:val="003662F4"/>
    <w:rsid w:val="00366505"/>
    <w:rsid w:val="003667A6"/>
    <w:rsid w:val="003669AE"/>
    <w:rsid w:val="00366C15"/>
    <w:rsid w:val="00367B3A"/>
    <w:rsid w:val="00367EC6"/>
    <w:rsid w:val="00370D57"/>
    <w:rsid w:val="003715A4"/>
    <w:rsid w:val="003717DD"/>
    <w:rsid w:val="00371939"/>
    <w:rsid w:val="00371957"/>
    <w:rsid w:val="00372584"/>
    <w:rsid w:val="00372A8E"/>
    <w:rsid w:val="00372DA9"/>
    <w:rsid w:val="00373352"/>
    <w:rsid w:val="00373A2A"/>
    <w:rsid w:val="003747D8"/>
    <w:rsid w:val="0037494F"/>
    <w:rsid w:val="00374B73"/>
    <w:rsid w:val="00374E5E"/>
    <w:rsid w:val="00375A5E"/>
    <w:rsid w:val="003761EF"/>
    <w:rsid w:val="00376530"/>
    <w:rsid w:val="00376AF1"/>
    <w:rsid w:val="003772A5"/>
    <w:rsid w:val="003779E1"/>
    <w:rsid w:val="00377B5B"/>
    <w:rsid w:val="003808BD"/>
    <w:rsid w:val="003815FF"/>
    <w:rsid w:val="003818BE"/>
    <w:rsid w:val="003820A7"/>
    <w:rsid w:val="003824BB"/>
    <w:rsid w:val="00382D69"/>
    <w:rsid w:val="0038309D"/>
    <w:rsid w:val="003836F5"/>
    <w:rsid w:val="00383B52"/>
    <w:rsid w:val="00383BD0"/>
    <w:rsid w:val="00383F8F"/>
    <w:rsid w:val="00384768"/>
    <w:rsid w:val="00384EE4"/>
    <w:rsid w:val="0038614B"/>
    <w:rsid w:val="0038618A"/>
    <w:rsid w:val="003867C0"/>
    <w:rsid w:val="00387313"/>
    <w:rsid w:val="003878E7"/>
    <w:rsid w:val="0038790A"/>
    <w:rsid w:val="00387E9D"/>
    <w:rsid w:val="003914CE"/>
    <w:rsid w:val="003915E4"/>
    <w:rsid w:val="00391CE2"/>
    <w:rsid w:val="00392DF7"/>
    <w:rsid w:val="0039315D"/>
    <w:rsid w:val="00393423"/>
    <w:rsid w:val="00393653"/>
    <w:rsid w:val="003936D7"/>
    <w:rsid w:val="00393D6F"/>
    <w:rsid w:val="00394C2D"/>
    <w:rsid w:val="0039525B"/>
    <w:rsid w:val="0039538D"/>
    <w:rsid w:val="003967AA"/>
    <w:rsid w:val="00396E2F"/>
    <w:rsid w:val="00396FDC"/>
    <w:rsid w:val="00397135"/>
    <w:rsid w:val="00397E27"/>
    <w:rsid w:val="003A06F1"/>
    <w:rsid w:val="003A0802"/>
    <w:rsid w:val="003A197C"/>
    <w:rsid w:val="003A2337"/>
    <w:rsid w:val="003A3E3A"/>
    <w:rsid w:val="003A415B"/>
    <w:rsid w:val="003A518A"/>
    <w:rsid w:val="003A51E4"/>
    <w:rsid w:val="003A554D"/>
    <w:rsid w:val="003A6456"/>
    <w:rsid w:val="003A6A6B"/>
    <w:rsid w:val="003A6D79"/>
    <w:rsid w:val="003A6DB7"/>
    <w:rsid w:val="003A6E31"/>
    <w:rsid w:val="003A6E67"/>
    <w:rsid w:val="003B01DC"/>
    <w:rsid w:val="003B07BF"/>
    <w:rsid w:val="003B0B18"/>
    <w:rsid w:val="003B12F2"/>
    <w:rsid w:val="003B170A"/>
    <w:rsid w:val="003B2087"/>
    <w:rsid w:val="003B376B"/>
    <w:rsid w:val="003B37C0"/>
    <w:rsid w:val="003B47BE"/>
    <w:rsid w:val="003B495A"/>
    <w:rsid w:val="003B4AF1"/>
    <w:rsid w:val="003B4F72"/>
    <w:rsid w:val="003B6445"/>
    <w:rsid w:val="003B7114"/>
    <w:rsid w:val="003B71FD"/>
    <w:rsid w:val="003B749B"/>
    <w:rsid w:val="003B7655"/>
    <w:rsid w:val="003C00A9"/>
    <w:rsid w:val="003C0799"/>
    <w:rsid w:val="003C0F94"/>
    <w:rsid w:val="003C122D"/>
    <w:rsid w:val="003C1984"/>
    <w:rsid w:val="003C1A8E"/>
    <w:rsid w:val="003C1CBA"/>
    <w:rsid w:val="003C2519"/>
    <w:rsid w:val="003C260F"/>
    <w:rsid w:val="003C2A94"/>
    <w:rsid w:val="003C2DC8"/>
    <w:rsid w:val="003C2FBE"/>
    <w:rsid w:val="003C30BE"/>
    <w:rsid w:val="003C337C"/>
    <w:rsid w:val="003C33A8"/>
    <w:rsid w:val="003C34B4"/>
    <w:rsid w:val="003C453B"/>
    <w:rsid w:val="003C4C69"/>
    <w:rsid w:val="003C5092"/>
    <w:rsid w:val="003C536E"/>
    <w:rsid w:val="003C5554"/>
    <w:rsid w:val="003C67DD"/>
    <w:rsid w:val="003C6B95"/>
    <w:rsid w:val="003C76D7"/>
    <w:rsid w:val="003C7923"/>
    <w:rsid w:val="003C7B2F"/>
    <w:rsid w:val="003C7CF7"/>
    <w:rsid w:val="003D0959"/>
    <w:rsid w:val="003D0E81"/>
    <w:rsid w:val="003D254A"/>
    <w:rsid w:val="003D2841"/>
    <w:rsid w:val="003D2931"/>
    <w:rsid w:val="003D30A0"/>
    <w:rsid w:val="003D403F"/>
    <w:rsid w:val="003D4269"/>
    <w:rsid w:val="003D42F7"/>
    <w:rsid w:val="003D488B"/>
    <w:rsid w:val="003D4F1C"/>
    <w:rsid w:val="003D50D5"/>
    <w:rsid w:val="003D5815"/>
    <w:rsid w:val="003D6CA0"/>
    <w:rsid w:val="003D6E26"/>
    <w:rsid w:val="003D7D81"/>
    <w:rsid w:val="003E01A7"/>
    <w:rsid w:val="003E03C1"/>
    <w:rsid w:val="003E04D3"/>
    <w:rsid w:val="003E05BA"/>
    <w:rsid w:val="003E05E6"/>
    <w:rsid w:val="003E0647"/>
    <w:rsid w:val="003E0B3A"/>
    <w:rsid w:val="003E0F3F"/>
    <w:rsid w:val="003E1855"/>
    <w:rsid w:val="003E1CB0"/>
    <w:rsid w:val="003E2D5F"/>
    <w:rsid w:val="003E3586"/>
    <w:rsid w:val="003E3EF9"/>
    <w:rsid w:val="003E430E"/>
    <w:rsid w:val="003E469E"/>
    <w:rsid w:val="003E4C9D"/>
    <w:rsid w:val="003E4FB0"/>
    <w:rsid w:val="003E4FF5"/>
    <w:rsid w:val="003E547A"/>
    <w:rsid w:val="003E5F37"/>
    <w:rsid w:val="003E63EE"/>
    <w:rsid w:val="003E6461"/>
    <w:rsid w:val="003E66BF"/>
    <w:rsid w:val="003E66E3"/>
    <w:rsid w:val="003E6793"/>
    <w:rsid w:val="003E743F"/>
    <w:rsid w:val="003E7B2F"/>
    <w:rsid w:val="003F0ADF"/>
    <w:rsid w:val="003F13B6"/>
    <w:rsid w:val="003F1C4F"/>
    <w:rsid w:val="003F1D03"/>
    <w:rsid w:val="003F22C5"/>
    <w:rsid w:val="003F23DA"/>
    <w:rsid w:val="003F2E10"/>
    <w:rsid w:val="003F37ED"/>
    <w:rsid w:val="003F3E2A"/>
    <w:rsid w:val="003F414F"/>
    <w:rsid w:val="003F4469"/>
    <w:rsid w:val="003F540E"/>
    <w:rsid w:val="003F7E9F"/>
    <w:rsid w:val="00400803"/>
    <w:rsid w:val="0040086F"/>
    <w:rsid w:val="00400A69"/>
    <w:rsid w:val="00402076"/>
    <w:rsid w:val="004023B1"/>
    <w:rsid w:val="004026B3"/>
    <w:rsid w:val="00402B5D"/>
    <w:rsid w:val="004033A8"/>
    <w:rsid w:val="004039F7"/>
    <w:rsid w:val="00403D07"/>
    <w:rsid w:val="00404052"/>
    <w:rsid w:val="004047A5"/>
    <w:rsid w:val="004047AA"/>
    <w:rsid w:val="0040536C"/>
    <w:rsid w:val="004053CF"/>
    <w:rsid w:val="004059E8"/>
    <w:rsid w:val="00405E3B"/>
    <w:rsid w:val="00405EB3"/>
    <w:rsid w:val="00406165"/>
    <w:rsid w:val="00407973"/>
    <w:rsid w:val="0041069A"/>
    <w:rsid w:val="004107ED"/>
    <w:rsid w:val="0041099A"/>
    <w:rsid w:val="00410A49"/>
    <w:rsid w:val="004113B2"/>
    <w:rsid w:val="004117B6"/>
    <w:rsid w:val="004119CE"/>
    <w:rsid w:val="00412B8C"/>
    <w:rsid w:val="00412C82"/>
    <w:rsid w:val="0041306C"/>
    <w:rsid w:val="00413D43"/>
    <w:rsid w:val="00414929"/>
    <w:rsid w:val="0041500C"/>
    <w:rsid w:val="004167F1"/>
    <w:rsid w:val="00416972"/>
    <w:rsid w:val="00417BF1"/>
    <w:rsid w:val="00417CD7"/>
    <w:rsid w:val="00420588"/>
    <w:rsid w:val="004206FC"/>
    <w:rsid w:val="00420F37"/>
    <w:rsid w:val="00420FDA"/>
    <w:rsid w:val="0042107C"/>
    <w:rsid w:val="0042141F"/>
    <w:rsid w:val="00421D19"/>
    <w:rsid w:val="00421DE7"/>
    <w:rsid w:val="00422647"/>
    <w:rsid w:val="0042293E"/>
    <w:rsid w:val="00422A2D"/>
    <w:rsid w:val="00425E02"/>
    <w:rsid w:val="00426328"/>
    <w:rsid w:val="00426AE5"/>
    <w:rsid w:val="00426D85"/>
    <w:rsid w:val="00426F3F"/>
    <w:rsid w:val="0042733F"/>
    <w:rsid w:val="00427543"/>
    <w:rsid w:val="00427699"/>
    <w:rsid w:val="00427C14"/>
    <w:rsid w:val="00427D31"/>
    <w:rsid w:val="00427EE4"/>
    <w:rsid w:val="00427FA4"/>
    <w:rsid w:val="0043019D"/>
    <w:rsid w:val="0043182E"/>
    <w:rsid w:val="00431E1A"/>
    <w:rsid w:val="00431F78"/>
    <w:rsid w:val="0043301F"/>
    <w:rsid w:val="00433066"/>
    <w:rsid w:val="004333CE"/>
    <w:rsid w:val="00433856"/>
    <w:rsid w:val="00433C1B"/>
    <w:rsid w:val="004346A9"/>
    <w:rsid w:val="00434A06"/>
    <w:rsid w:val="0043522E"/>
    <w:rsid w:val="0043530C"/>
    <w:rsid w:val="00435456"/>
    <w:rsid w:val="0043594A"/>
    <w:rsid w:val="00435A2C"/>
    <w:rsid w:val="00435DEE"/>
    <w:rsid w:val="00435EA9"/>
    <w:rsid w:val="004364FD"/>
    <w:rsid w:val="00436833"/>
    <w:rsid w:val="0043706A"/>
    <w:rsid w:val="00437979"/>
    <w:rsid w:val="00437A68"/>
    <w:rsid w:val="00437A90"/>
    <w:rsid w:val="00437B72"/>
    <w:rsid w:val="0044077E"/>
    <w:rsid w:val="004412B4"/>
    <w:rsid w:val="0044136D"/>
    <w:rsid w:val="004421AE"/>
    <w:rsid w:val="00442456"/>
    <w:rsid w:val="00442E01"/>
    <w:rsid w:val="004449FC"/>
    <w:rsid w:val="00444AA4"/>
    <w:rsid w:val="0044502E"/>
    <w:rsid w:val="004458E2"/>
    <w:rsid w:val="00445E16"/>
    <w:rsid w:val="00446717"/>
    <w:rsid w:val="00447C08"/>
    <w:rsid w:val="00447D88"/>
    <w:rsid w:val="00447FB4"/>
    <w:rsid w:val="00450AFC"/>
    <w:rsid w:val="00450F18"/>
    <w:rsid w:val="0045245A"/>
    <w:rsid w:val="00452569"/>
    <w:rsid w:val="00452BFD"/>
    <w:rsid w:val="00452EBF"/>
    <w:rsid w:val="00453096"/>
    <w:rsid w:val="00453170"/>
    <w:rsid w:val="0045354C"/>
    <w:rsid w:val="004540DF"/>
    <w:rsid w:val="004542C8"/>
    <w:rsid w:val="004542CD"/>
    <w:rsid w:val="004543D9"/>
    <w:rsid w:val="00454595"/>
    <w:rsid w:val="00454CFC"/>
    <w:rsid w:val="00454D00"/>
    <w:rsid w:val="00456167"/>
    <w:rsid w:val="0045682D"/>
    <w:rsid w:val="00456953"/>
    <w:rsid w:val="004601FE"/>
    <w:rsid w:val="004605A4"/>
    <w:rsid w:val="0046078F"/>
    <w:rsid w:val="00460847"/>
    <w:rsid w:val="00461547"/>
    <w:rsid w:val="0046243B"/>
    <w:rsid w:val="0046262F"/>
    <w:rsid w:val="00462973"/>
    <w:rsid w:val="00463101"/>
    <w:rsid w:val="004632F4"/>
    <w:rsid w:val="0046349C"/>
    <w:rsid w:val="00466136"/>
    <w:rsid w:val="004665E1"/>
    <w:rsid w:val="0046662B"/>
    <w:rsid w:val="00466B92"/>
    <w:rsid w:val="004674A9"/>
    <w:rsid w:val="0046778E"/>
    <w:rsid w:val="004679B9"/>
    <w:rsid w:val="00470009"/>
    <w:rsid w:val="004703A5"/>
    <w:rsid w:val="00470886"/>
    <w:rsid w:val="00470BB2"/>
    <w:rsid w:val="00471A27"/>
    <w:rsid w:val="00471E0F"/>
    <w:rsid w:val="00471E89"/>
    <w:rsid w:val="00471EA8"/>
    <w:rsid w:val="00471ECE"/>
    <w:rsid w:val="004729BC"/>
    <w:rsid w:val="00473825"/>
    <w:rsid w:val="00474105"/>
    <w:rsid w:val="004748E1"/>
    <w:rsid w:val="0047490A"/>
    <w:rsid w:val="004749DC"/>
    <w:rsid w:val="004755E4"/>
    <w:rsid w:val="00475880"/>
    <w:rsid w:val="00475A6A"/>
    <w:rsid w:val="00476008"/>
    <w:rsid w:val="004766FD"/>
    <w:rsid w:val="00476979"/>
    <w:rsid w:val="00476E6D"/>
    <w:rsid w:val="0047702E"/>
    <w:rsid w:val="0047715F"/>
    <w:rsid w:val="00477EF4"/>
    <w:rsid w:val="004800DD"/>
    <w:rsid w:val="00481315"/>
    <w:rsid w:val="00481B84"/>
    <w:rsid w:val="00481C4A"/>
    <w:rsid w:val="004820C2"/>
    <w:rsid w:val="004821FF"/>
    <w:rsid w:val="0048295C"/>
    <w:rsid w:val="0048379D"/>
    <w:rsid w:val="00484051"/>
    <w:rsid w:val="004841BD"/>
    <w:rsid w:val="0048457C"/>
    <w:rsid w:val="00484737"/>
    <w:rsid w:val="00484BE1"/>
    <w:rsid w:val="00484DB3"/>
    <w:rsid w:val="004858F5"/>
    <w:rsid w:val="00485AF1"/>
    <w:rsid w:val="00485C7E"/>
    <w:rsid w:val="00485E2E"/>
    <w:rsid w:val="00486073"/>
    <w:rsid w:val="004866D5"/>
    <w:rsid w:val="00487A2C"/>
    <w:rsid w:val="00490A0C"/>
    <w:rsid w:val="00490D6B"/>
    <w:rsid w:val="0049194C"/>
    <w:rsid w:val="00491B6C"/>
    <w:rsid w:val="0049226E"/>
    <w:rsid w:val="00492487"/>
    <w:rsid w:val="004924F4"/>
    <w:rsid w:val="00492984"/>
    <w:rsid w:val="004930DF"/>
    <w:rsid w:val="00493803"/>
    <w:rsid w:val="00493DC9"/>
    <w:rsid w:val="00493E48"/>
    <w:rsid w:val="004941AF"/>
    <w:rsid w:val="004943D2"/>
    <w:rsid w:val="0049446D"/>
    <w:rsid w:val="00494B00"/>
    <w:rsid w:val="004951C7"/>
    <w:rsid w:val="00495AC6"/>
    <w:rsid w:val="00495D36"/>
    <w:rsid w:val="00495DE0"/>
    <w:rsid w:val="00495FF0"/>
    <w:rsid w:val="004965D2"/>
    <w:rsid w:val="00496D7E"/>
    <w:rsid w:val="0049794E"/>
    <w:rsid w:val="004A02DE"/>
    <w:rsid w:val="004A03B4"/>
    <w:rsid w:val="004A0659"/>
    <w:rsid w:val="004A0B1C"/>
    <w:rsid w:val="004A1CA1"/>
    <w:rsid w:val="004A1ECE"/>
    <w:rsid w:val="004A2111"/>
    <w:rsid w:val="004A3803"/>
    <w:rsid w:val="004A46CE"/>
    <w:rsid w:val="004A4A4A"/>
    <w:rsid w:val="004A4F39"/>
    <w:rsid w:val="004A50F6"/>
    <w:rsid w:val="004A514B"/>
    <w:rsid w:val="004A5568"/>
    <w:rsid w:val="004A5622"/>
    <w:rsid w:val="004A5802"/>
    <w:rsid w:val="004A6447"/>
    <w:rsid w:val="004A65AE"/>
    <w:rsid w:val="004A6F12"/>
    <w:rsid w:val="004A6FB6"/>
    <w:rsid w:val="004A73A7"/>
    <w:rsid w:val="004B0018"/>
    <w:rsid w:val="004B0607"/>
    <w:rsid w:val="004B078E"/>
    <w:rsid w:val="004B110B"/>
    <w:rsid w:val="004B1186"/>
    <w:rsid w:val="004B1B0F"/>
    <w:rsid w:val="004B1CE2"/>
    <w:rsid w:val="004B1D2C"/>
    <w:rsid w:val="004B3661"/>
    <w:rsid w:val="004B3701"/>
    <w:rsid w:val="004B38DB"/>
    <w:rsid w:val="004B4411"/>
    <w:rsid w:val="004B4453"/>
    <w:rsid w:val="004B4844"/>
    <w:rsid w:val="004B4FDA"/>
    <w:rsid w:val="004B510A"/>
    <w:rsid w:val="004B54BD"/>
    <w:rsid w:val="004B64D9"/>
    <w:rsid w:val="004B65EE"/>
    <w:rsid w:val="004B730B"/>
    <w:rsid w:val="004B75CB"/>
    <w:rsid w:val="004B7A6F"/>
    <w:rsid w:val="004C0435"/>
    <w:rsid w:val="004C0488"/>
    <w:rsid w:val="004C069B"/>
    <w:rsid w:val="004C07F0"/>
    <w:rsid w:val="004C0EDD"/>
    <w:rsid w:val="004C112A"/>
    <w:rsid w:val="004C1142"/>
    <w:rsid w:val="004C15D1"/>
    <w:rsid w:val="004C2371"/>
    <w:rsid w:val="004C2571"/>
    <w:rsid w:val="004C2855"/>
    <w:rsid w:val="004C2F69"/>
    <w:rsid w:val="004C307F"/>
    <w:rsid w:val="004C3085"/>
    <w:rsid w:val="004C3C1E"/>
    <w:rsid w:val="004C3C90"/>
    <w:rsid w:val="004C3E3B"/>
    <w:rsid w:val="004C437D"/>
    <w:rsid w:val="004C4916"/>
    <w:rsid w:val="004C4CAE"/>
    <w:rsid w:val="004C4DE5"/>
    <w:rsid w:val="004C5B0A"/>
    <w:rsid w:val="004C5B7C"/>
    <w:rsid w:val="004C5C8E"/>
    <w:rsid w:val="004C61CD"/>
    <w:rsid w:val="004C63D6"/>
    <w:rsid w:val="004C65E3"/>
    <w:rsid w:val="004C68A9"/>
    <w:rsid w:val="004C7630"/>
    <w:rsid w:val="004C79FC"/>
    <w:rsid w:val="004D0660"/>
    <w:rsid w:val="004D0F67"/>
    <w:rsid w:val="004D14A6"/>
    <w:rsid w:val="004D1BB4"/>
    <w:rsid w:val="004D1E86"/>
    <w:rsid w:val="004D2D00"/>
    <w:rsid w:val="004D36A4"/>
    <w:rsid w:val="004D42D8"/>
    <w:rsid w:val="004D49B0"/>
    <w:rsid w:val="004D4A33"/>
    <w:rsid w:val="004D522C"/>
    <w:rsid w:val="004D57A1"/>
    <w:rsid w:val="004D5C8A"/>
    <w:rsid w:val="004D5FE9"/>
    <w:rsid w:val="004D65B9"/>
    <w:rsid w:val="004D765D"/>
    <w:rsid w:val="004D7C92"/>
    <w:rsid w:val="004D7E93"/>
    <w:rsid w:val="004E0202"/>
    <w:rsid w:val="004E043A"/>
    <w:rsid w:val="004E09B2"/>
    <w:rsid w:val="004E0AF6"/>
    <w:rsid w:val="004E0B8C"/>
    <w:rsid w:val="004E0B9D"/>
    <w:rsid w:val="004E16CA"/>
    <w:rsid w:val="004E18A1"/>
    <w:rsid w:val="004E18F8"/>
    <w:rsid w:val="004E29CF"/>
    <w:rsid w:val="004E2ABA"/>
    <w:rsid w:val="004E2B43"/>
    <w:rsid w:val="004E3DF2"/>
    <w:rsid w:val="004E41A1"/>
    <w:rsid w:val="004E56BF"/>
    <w:rsid w:val="004E5989"/>
    <w:rsid w:val="004E5AA0"/>
    <w:rsid w:val="004E61CC"/>
    <w:rsid w:val="004E631D"/>
    <w:rsid w:val="004E6A0C"/>
    <w:rsid w:val="004E7353"/>
    <w:rsid w:val="004E7ACE"/>
    <w:rsid w:val="004F051A"/>
    <w:rsid w:val="004F074B"/>
    <w:rsid w:val="004F07CB"/>
    <w:rsid w:val="004F0E69"/>
    <w:rsid w:val="004F0FE3"/>
    <w:rsid w:val="004F107A"/>
    <w:rsid w:val="004F2471"/>
    <w:rsid w:val="004F269D"/>
    <w:rsid w:val="004F3109"/>
    <w:rsid w:val="004F31D2"/>
    <w:rsid w:val="004F406D"/>
    <w:rsid w:val="004F4373"/>
    <w:rsid w:val="004F4B7F"/>
    <w:rsid w:val="004F4E7C"/>
    <w:rsid w:val="004F51C4"/>
    <w:rsid w:val="004F54DA"/>
    <w:rsid w:val="004F605D"/>
    <w:rsid w:val="004F6903"/>
    <w:rsid w:val="004F6E12"/>
    <w:rsid w:val="004F796C"/>
    <w:rsid w:val="005000EF"/>
    <w:rsid w:val="005002EF"/>
    <w:rsid w:val="00500385"/>
    <w:rsid w:val="005005CC"/>
    <w:rsid w:val="00500CF7"/>
    <w:rsid w:val="00501BAD"/>
    <w:rsid w:val="005020C4"/>
    <w:rsid w:val="005029AC"/>
    <w:rsid w:val="00504A53"/>
    <w:rsid w:val="00504C2F"/>
    <w:rsid w:val="00504E84"/>
    <w:rsid w:val="0050505B"/>
    <w:rsid w:val="00506209"/>
    <w:rsid w:val="005070D5"/>
    <w:rsid w:val="00510537"/>
    <w:rsid w:val="00510906"/>
    <w:rsid w:val="00510E58"/>
    <w:rsid w:val="00511BA6"/>
    <w:rsid w:val="0051231D"/>
    <w:rsid w:val="005130CC"/>
    <w:rsid w:val="0051350B"/>
    <w:rsid w:val="00513D1A"/>
    <w:rsid w:val="00513D3E"/>
    <w:rsid w:val="00513EF1"/>
    <w:rsid w:val="00514127"/>
    <w:rsid w:val="00514CAD"/>
    <w:rsid w:val="00514E1E"/>
    <w:rsid w:val="005156FC"/>
    <w:rsid w:val="00516409"/>
    <w:rsid w:val="005164D0"/>
    <w:rsid w:val="0051728F"/>
    <w:rsid w:val="00517972"/>
    <w:rsid w:val="00517A0F"/>
    <w:rsid w:val="00517B00"/>
    <w:rsid w:val="00520A30"/>
    <w:rsid w:val="00520E07"/>
    <w:rsid w:val="00521259"/>
    <w:rsid w:val="00521363"/>
    <w:rsid w:val="005216D2"/>
    <w:rsid w:val="00521F57"/>
    <w:rsid w:val="005222E3"/>
    <w:rsid w:val="00522BCC"/>
    <w:rsid w:val="00523A1C"/>
    <w:rsid w:val="00523AED"/>
    <w:rsid w:val="00523F3A"/>
    <w:rsid w:val="00524D2D"/>
    <w:rsid w:val="00524F16"/>
    <w:rsid w:val="005259D9"/>
    <w:rsid w:val="00525C1A"/>
    <w:rsid w:val="00525F24"/>
    <w:rsid w:val="005264C4"/>
    <w:rsid w:val="00526591"/>
    <w:rsid w:val="005265C9"/>
    <w:rsid w:val="005266D8"/>
    <w:rsid w:val="005273B2"/>
    <w:rsid w:val="00530569"/>
    <w:rsid w:val="00530EC7"/>
    <w:rsid w:val="00531295"/>
    <w:rsid w:val="00531DA0"/>
    <w:rsid w:val="00532032"/>
    <w:rsid w:val="00532039"/>
    <w:rsid w:val="005324E4"/>
    <w:rsid w:val="00532826"/>
    <w:rsid w:val="005331B0"/>
    <w:rsid w:val="00533440"/>
    <w:rsid w:val="0053391E"/>
    <w:rsid w:val="00533D27"/>
    <w:rsid w:val="00534372"/>
    <w:rsid w:val="005349A3"/>
    <w:rsid w:val="0053502F"/>
    <w:rsid w:val="00535132"/>
    <w:rsid w:val="00535368"/>
    <w:rsid w:val="005358C5"/>
    <w:rsid w:val="00535C04"/>
    <w:rsid w:val="00537099"/>
    <w:rsid w:val="0053714C"/>
    <w:rsid w:val="00537927"/>
    <w:rsid w:val="005407AC"/>
    <w:rsid w:val="00540A1B"/>
    <w:rsid w:val="00540BCD"/>
    <w:rsid w:val="00541C72"/>
    <w:rsid w:val="00541D0D"/>
    <w:rsid w:val="00541E88"/>
    <w:rsid w:val="005433BF"/>
    <w:rsid w:val="00544086"/>
    <w:rsid w:val="0054425D"/>
    <w:rsid w:val="00544281"/>
    <w:rsid w:val="00544B3D"/>
    <w:rsid w:val="00545475"/>
    <w:rsid w:val="0054632F"/>
    <w:rsid w:val="005466BF"/>
    <w:rsid w:val="005471AA"/>
    <w:rsid w:val="00547861"/>
    <w:rsid w:val="005503C4"/>
    <w:rsid w:val="0055160F"/>
    <w:rsid w:val="00551D32"/>
    <w:rsid w:val="00553262"/>
    <w:rsid w:val="00553C82"/>
    <w:rsid w:val="0055456E"/>
    <w:rsid w:val="00554B9A"/>
    <w:rsid w:val="005552E6"/>
    <w:rsid w:val="00555681"/>
    <w:rsid w:val="005556F3"/>
    <w:rsid w:val="00555F63"/>
    <w:rsid w:val="00556AE7"/>
    <w:rsid w:val="005571BC"/>
    <w:rsid w:val="0055796B"/>
    <w:rsid w:val="0055796C"/>
    <w:rsid w:val="00557ACB"/>
    <w:rsid w:val="00557DF7"/>
    <w:rsid w:val="00560D2C"/>
    <w:rsid w:val="00560E56"/>
    <w:rsid w:val="00561AA1"/>
    <w:rsid w:val="00562194"/>
    <w:rsid w:val="00562844"/>
    <w:rsid w:val="00563D68"/>
    <w:rsid w:val="00563EE4"/>
    <w:rsid w:val="005657DF"/>
    <w:rsid w:val="005658FC"/>
    <w:rsid w:val="0056606C"/>
    <w:rsid w:val="00566534"/>
    <w:rsid w:val="00567776"/>
    <w:rsid w:val="00567A60"/>
    <w:rsid w:val="00567F4E"/>
    <w:rsid w:val="00567FB2"/>
    <w:rsid w:val="00570062"/>
    <w:rsid w:val="0057054F"/>
    <w:rsid w:val="00570714"/>
    <w:rsid w:val="0057074B"/>
    <w:rsid w:val="005707B6"/>
    <w:rsid w:val="00570ECC"/>
    <w:rsid w:val="005718C7"/>
    <w:rsid w:val="00571AFD"/>
    <w:rsid w:val="00571C1E"/>
    <w:rsid w:val="005723F2"/>
    <w:rsid w:val="005729D9"/>
    <w:rsid w:val="0057304E"/>
    <w:rsid w:val="00573B63"/>
    <w:rsid w:val="00573F59"/>
    <w:rsid w:val="00573FFD"/>
    <w:rsid w:val="00574A4D"/>
    <w:rsid w:val="00574D4D"/>
    <w:rsid w:val="0057512F"/>
    <w:rsid w:val="00576025"/>
    <w:rsid w:val="005774A2"/>
    <w:rsid w:val="00577C51"/>
    <w:rsid w:val="0058036D"/>
    <w:rsid w:val="00580DAB"/>
    <w:rsid w:val="00581DA1"/>
    <w:rsid w:val="00581F74"/>
    <w:rsid w:val="00581FB3"/>
    <w:rsid w:val="00582B97"/>
    <w:rsid w:val="005835BD"/>
    <w:rsid w:val="00583D21"/>
    <w:rsid w:val="005843E3"/>
    <w:rsid w:val="00584B5F"/>
    <w:rsid w:val="00585101"/>
    <w:rsid w:val="00585641"/>
    <w:rsid w:val="00585DE2"/>
    <w:rsid w:val="0058674B"/>
    <w:rsid w:val="00586D60"/>
    <w:rsid w:val="00587208"/>
    <w:rsid w:val="00587654"/>
    <w:rsid w:val="00587BE6"/>
    <w:rsid w:val="005900DC"/>
    <w:rsid w:val="00590B4E"/>
    <w:rsid w:val="0059208C"/>
    <w:rsid w:val="005927E7"/>
    <w:rsid w:val="005934A0"/>
    <w:rsid w:val="00593C82"/>
    <w:rsid w:val="00594908"/>
    <w:rsid w:val="0059491D"/>
    <w:rsid w:val="00594E4A"/>
    <w:rsid w:val="00595303"/>
    <w:rsid w:val="00595718"/>
    <w:rsid w:val="00595FFF"/>
    <w:rsid w:val="00596693"/>
    <w:rsid w:val="00596903"/>
    <w:rsid w:val="00596D2A"/>
    <w:rsid w:val="00596F1B"/>
    <w:rsid w:val="0059795E"/>
    <w:rsid w:val="005A029F"/>
    <w:rsid w:val="005A18FF"/>
    <w:rsid w:val="005A2539"/>
    <w:rsid w:val="005A27D7"/>
    <w:rsid w:val="005A2D49"/>
    <w:rsid w:val="005A2DE6"/>
    <w:rsid w:val="005A344E"/>
    <w:rsid w:val="005A35E3"/>
    <w:rsid w:val="005A3FFA"/>
    <w:rsid w:val="005A41E6"/>
    <w:rsid w:val="005A42D7"/>
    <w:rsid w:val="005A49E0"/>
    <w:rsid w:val="005A4E69"/>
    <w:rsid w:val="005A5A46"/>
    <w:rsid w:val="005A7104"/>
    <w:rsid w:val="005B0547"/>
    <w:rsid w:val="005B0A54"/>
    <w:rsid w:val="005B0C8E"/>
    <w:rsid w:val="005B0F41"/>
    <w:rsid w:val="005B0FCB"/>
    <w:rsid w:val="005B1EE7"/>
    <w:rsid w:val="005B2E73"/>
    <w:rsid w:val="005B38D8"/>
    <w:rsid w:val="005B3914"/>
    <w:rsid w:val="005B3B2D"/>
    <w:rsid w:val="005B3E8B"/>
    <w:rsid w:val="005B4684"/>
    <w:rsid w:val="005B50B4"/>
    <w:rsid w:val="005B5C98"/>
    <w:rsid w:val="005B65FD"/>
    <w:rsid w:val="005B6676"/>
    <w:rsid w:val="005B67F6"/>
    <w:rsid w:val="005B7F7E"/>
    <w:rsid w:val="005C0495"/>
    <w:rsid w:val="005C0698"/>
    <w:rsid w:val="005C0977"/>
    <w:rsid w:val="005C1384"/>
    <w:rsid w:val="005C13EE"/>
    <w:rsid w:val="005C1BD1"/>
    <w:rsid w:val="005C1D2F"/>
    <w:rsid w:val="005C2633"/>
    <w:rsid w:val="005C2688"/>
    <w:rsid w:val="005C28E7"/>
    <w:rsid w:val="005C3125"/>
    <w:rsid w:val="005C31C8"/>
    <w:rsid w:val="005C3630"/>
    <w:rsid w:val="005C3C22"/>
    <w:rsid w:val="005C48BC"/>
    <w:rsid w:val="005C5433"/>
    <w:rsid w:val="005C5480"/>
    <w:rsid w:val="005C58FA"/>
    <w:rsid w:val="005C5C7D"/>
    <w:rsid w:val="005C60E3"/>
    <w:rsid w:val="005C637E"/>
    <w:rsid w:val="005C647C"/>
    <w:rsid w:val="005C6EB2"/>
    <w:rsid w:val="005C742E"/>
    <w:rsid w:val="005D03E9"/>
    <w:rsid w:val="005D0E4B"/>
    <w:rsid w:val="005D122B"/>
    <w:rsid w:val="005D1F44"/>
    <w:rsid w:val="005D2284"/>
    <w:rsid w:val="005D2A01"/>
    <w:rsid w:val="005D2BE2"/>
    <w:rsid w:val="005D2E7C"/>
    <w:rsid w:val="005D3414"/>
    <w:rsid w:val="005D38D3"/>
    <w:rsid w:val="005D3BD0"/>
    <w:rsid w:val="005D3E6A"/>
    <w:rsid w:val="005D4DE2"/>
    <w:rsid w:val="005D52E2"/>
    <w:rsid w:val="005D5509"/>
    <w:rsid w:val="005D5866"/>
    <w:rsid w:val="005D6B84"/>
    <w:rsid w:val="005D7485"/>
    <w:rsid w:val="005D75CA"/>
    <w:rsid w:val="005D7D05"/>
    <w:rsid w:val="005E222F"/>
    <w:rsid w:val="005E4323"/>
    <w:rsid w:val="005E48A0"/>
    <w:rsid w:val="005E49B7"/>
    <w:rsid w:val="005E50AC"/>
    <w:rsid w:val="005E5DA3"/>
    <w:rsid w:val="005E6903"/>
    <w:rsid w:val="005E6CF2"/>
    <w:rsid w:val="005E6FBF"/>
    <w:rsid w:val="005E725D"/>
    <w:rsid w:val="005F1293"/>
    <w:rsid w:val="005F161F"/>
    <w:rsid w:val="005F2279"/>
    <w:rsid w:val="005F2CFF"/>
    <w:rsid w:val="005F2DDB"/>
    <w:rsid w:val="005F2EC5"/>
    <w:rsid w:val="005F3339"/>
    <w:rsid w:val="005F3740"/>
    <w:rsid w:val="005F3C5F"/>
    <w:rsid w:val="005F3C76"/>
    <w:rsid w:val="005F3F35"/>
    <w:rsid w:val="005F4027"/>
    <w:rsid w:val="005F409D"/>
    <w:rsid w:val="005F48D7"/>
    <w:rsid w:val="005F4C15"/>
    <w:rsid w:val="005F4DC9"/>
    <w:rsid w:val="005F5811"/>
    <w:rsid w:val="005F5931"/>
    <w:rsid w:val="005F5AD4"/>
    <w:rsid w:val="005F7413"/>
    <w:rsid w:val="005F7619"/>
    <w:rsid w:val="0060036D"/>
    <w:rsid w:val="006012DE"/>
    <w:rsid w:val="00601B70"/>
    <w:rsid w:val="00601E39"/>
    <w:rsid w:val="00601F57"/>
    <w:rsid w:val="006029B5"/>
    <w:rsid w:val="00602C78"/>
    <w:rsid w:val="006038B5"/>
    <w:rsid w:val="00603CC2"/>
    <w:rsid w:val="00604556"/>
    <w:rsid w:val="00604C2D"/>
    <w:rsid w:val="00604D53"/>
    <w:rsid w:val="0060501E"/>
    <w:rsid w:val="00605528"/>
    <w:rsid w:val="00605761"/>
    <w:rsid w:val="00605B29"/>
    <w:rsid w:val="0060641B"/>
    <w:rsid w:val="00606F51"/>
    <w:rsid w:val="00607E4B"/>
    <w:rsid w:val="00607FE5"/>
    <w:rsid w:val="006102BC"/>
    <w:rsid w:val="006114B7"/>
    <w:rsid w:val="006116F5"/>
    <w:rsid w:val="006124EA"/>
    <w:rsid w:val="00612E41"/>
    <w:rsid w:val="006131C8"/>
    <w:rsid w:val="00613322"/>
    <w:rsid w:val="00613A8B"/>
    <w:rsid w:val="00614221"/>
    <w:rsid w:val="006145AB"/>
    <w:rsid w:val="00614FCE"/>
    <w:rsid w:val="006152D0"/>
    <w:rsid w:val="0061561B"/>
    <w:rsid w:val="00615765"/>
    <w:rsid w:val="00616CB1"/>
    <w:rsid w:val="00616F07"/>
    <w:rsid w:val="00617149"/>
    <w:rsid w:val="006176A6"/>
    <w:rsid w:val="00617829"/>
    <w:rsid w:val="00617A9E"/>
    <w:rsid w:val="00617EAB"/>
    <w:rsid w:val="00617ECA"/>
    <w:rsid w:val="00620524"/>
    <w:rsid w:val="00620680"/>
    <w:rsid w:val="00620744"/>
    <w:rsid w:val="00620BCC"/>
    <w:rsid w:val="00620D67"/>
    <w:rsid w:val="006211A2"/>
    <w:rsid w:val="0062145F"/>
    <w:rsid w:val="006214A7"/>
    <w:rsid w:val="00621B9C"/>
    <w:rsid w:val="00621E08"/>
    <w:rsid w:val="00621E6A"/>
    <w:rsid w:val="00621E9C"/>
    <w:rsid w:val="0062327A"/>
    <w:rsid w:val="00623328"/>
    <w:rsid w:val="006234DC"/>
    <w:rsid w:val="00623879"/>
    <w:rsid w:val="00624123"/>
    <w:rsid w:val="0062483A"/>
    <w:rsid w:val="00624D9F"/>
    <w:rsid w:val="00624E90"/>
    <w:rsid w:val="0062523B"/>
    <w:rsid w:val="00625A45"/>
    <w:rsid w:val="00625DB7"/>
    <w:rsid w:val="006260BF"/>
    <w:rsid w:val="006261A0"/>
    <w:rsid w:val="00626F54"/>
    <w:rsid w:val="006279FB"/>
    <w:rsid w:val="00627B03"/>
    <w:rsid w:val="0063043B"/>
    <w:rsid w:val="006307D9"/>
    <w:rsid w:val="00630DA6"/>
    <w:rsid w:val="00631435"/>
    <w:rsid w:val="00631FF5"/>
    <w:rsid w:val="0063203B"/>
    <w:rsid w:val="00632560"/>
    <w:rsid w:val="00632582"/>
    <w:rsid w:val="00632A36"/>
    <w:rsid w:val="0063356C"/>
    <w:rsid w:val="0063368B"/>
    <w:rsid w:val="006340E8"/>
    <w:rsid w:val="00634290"/>
    <w:rsid w:val="00635409"/>
    <w:rsid w:val="00635D39"/>
    <w:rsid w:val="00635D8F"/>
    <w:rsid w:val="00636113"/>
    <w:rsid w:val="00636923"/>
    <w:rsid w:val="00636F4F"/>
    <w:rsid w:val="00637013"/>
    <w:rsid w:val="00637220"/>
    <w:rsid w:val="00637928"/>
    <w:rsid w:val="006379B5"/>
    <w:rsid w:val="0064029A"/>
    <w:rsid w:val="00640354"/>
    <w:rsid w:val="00640895"/>
    <w:rsid w:val="006413BF"/>
    <w:rsid w:val="00641CDE"/>
    <w:rsid w:val="00641DFA"/>
    <w:rsid w:val="006420F4"/>
    <w:rsid w:val="00642601"/>
    <w:rsid w:val="00642873"/>
    <w:rsid w:val="00642A0B"/>
    <w:rsid w:val="00643795"/>
    <w:rsid w:val="0064386B"/>
    <w:rsid w:val="006439BE"/>
    <w:rsid w:val="00643E88"/>
    <w:rsid w:val="00643F39"/>
    <w:rsid w:val="00644A23"/>
    <w:rsid w:val="00644DCF"/>
    <w:rsid w:val="006457E1"/>
    <w:rsid w:val="00645999"/>
    <w:rsid w:val="00645F59"/>
    <w:rsid w:val="0064657B"/>
    <w:rsid w:val="00646EA7"/>
    <w:rsid w:val="0065071A"/>
    <w:rsid w:val="00651292"/>
    <w:rsid w:val="00651418"/>
    <w:rsid w:val="00651F48"/>
    <w:rsid w:val="00652340"/>
    <w:rsid w:val="00652391"/>
    <w:rsid w:val="00652FB5"/>
    <w:rsid w:val="00653423"/>
    <w:rsid w:val="006535BC"/>
    <w:rsid w:val="00653BB1"/>
    <w:rsid w:val="00653DB3"/>
    <w:rsid w:val="0065442E"/>
    <w:rsid w:val="00654714"/>
    <w:rsid w:val="00655181"/>
    <w:rsid w:val="006555DA"/>
    <w:rsid w:val="00655D9B"/>
    <w:rsid w:val="00656089"/>
    <w:rsid w:val="0065691A"/>
    <w:rsid w:val="00656937"/>
    <w:rsid w:val="006578B7"/>
    <w:rsid w:val="00657FBC"/>
    <w:rsid w:val="00660056"/>
    <w:rsid w:val="006604ED"/>
    <w:rsid w:val="00660745"/>
    <w:rsid w:val="006609D0"/>
    <w:rsid w:val="00660AB6"/>
    <w:rsid w:val="0066171D"/>
    <w:rsid w:val="006624DA"/>
    <w:rsid w:val="00662B84"/>
    <w:rsid w:val="00662BED"/>
    <w:rsid w:val="00663809"/>
    <w:rsid w:val="0066383A"/>
    <w:rsid w:val="00663980"/>
    <w:rsid w:val="00663E54"/>
    <w:rsid w:val="006643E9"/>
    <w:rsid w:val="00664501"/>
    <w:rsid w:val="00664F04"/>
    <w:rsid w:val="00665043"/>
    <w:rsid w:val="0066544A"/>
    <w:rsid w:val="00665515"/>
    <w:rsid w:val="0066570E"/>
    <w:rsid w:val="00665C29"/>
    <w:rsid w:val="006664E3"/>
    <w:rsid w:val="00666A37"/>
    <w:rsid w:val="00667544"/>
    <w:rsid w:val="0066762B"/>
    <w:rsid w:val="00667869"/>
    <w:rsid w:val="00670266"/>
    <w:rsid w:val="006710AB"/>
    <w:rsid w:val="00671343"/>
    <w:rsid w:val="00671854"/>
    <w:rsid w:val="006722BA"/>
    <w:rsid w:val="0067244B"/>
    <w:rsid w:val="00673CCC"/>
    <w:rsid w:val="00674138"/>
    <w:rsid w:val="00674288"/>
    <w:rsid w:val="006746F6"/>
    <w:rsid w:val="00674AD5"/>
    <w:rsid w:val="00674DAB"/>
    <w:rsid w:val="00675BE2"/>
    <w:rsid w:val="00675D80"/>
    <w:rsid w:val="00676BDF"/>
    <w:rsid w:val="0067732F"/>
    <w:rsid w:val="00677A12"/>
    <w:rsid w:val="00680DEA"/>
    <w:rsid w:val="006819D6"/>
    <w:rsid w:val="00681CEC"/>
    <w:rsid w:val="00681D14"/>
    <w:rsid w:val="00682052"/>
    <w:rsid w:val="006824F7"/>
    <w:rsid w:val="006828EB"/>
    <w:rsid w:val="00683822"/>
    <w:rsid w:val="00683D73"/>
    <w:rsid w:val="006842C1"/>
    <w:rsid w:val="006843D2"/>
    <w:rsid w:val="00684837"/>
    <w:rsid w:val="006853DE"/>
    <w:rsid w:val="00685634"/>
    <w:rsid w:val="00686965"/>
    <w:rsid w:val="0068751E"/>
    <w:rsid w:val="00687822"/>
    <w:rsid w:val="00690681"/>
    <w:rsid w:val="006911A2"/>
    <w:rsid w:val="0069177C"/>
    <w:rsid w:val="006917D6"/>
    <w:rsid w:val="00691E43"/>
    <w:rsid w:val="006921A4"/>
    <w:rsid w:val="006927A2"/>
    <w:rsid w:val="00692E06"/>
    <w:rsid w:val="00693025"/>
    <w:rsid w:val="006935ED"/>
    <w:rsid w:val="0069434D"/>
    <w:rsid w:val="00694A62"/>
    <w:rsid w:val="00694D96"/>
    <w:rsid w:val="006953DB"/>
    <w:rsid w:val="00695B8F"/>
    <w:rsid w:val="00696761"/>
    <w:rsid w:val="00696A1D"/>
    <w:rsid w:val="00697126"/>
    <w:rsid w:val="00697992"/>
    <w:rsid w:val="006979CD"/>
    <w:rsid w:val="00697D4B"/>
    <w:rsid w:val="00697D7E"/>
    <w:rsid w:val="006A034C"/>
    <w:rsid w:val="006A0418"/>
    <w:rsid w:val="006A04EC"/>
    <w:rsid w:val="006A06A9"/>
    <w:rsid w:val="006A06F2"/>
    <w:rsid w:val="006A0F80"/>
    <w:rsid w:val="006A128B"/>
    <w:rsid w:val="006A14A3"/>
    <w:rsid w:val="006A1B85"/>
    <w:rsid w:val="006A1C9E"/>
    <w:rsid w:val="006A1E0F"/>
    <w:rsid w:val="006A2A98"/>
    <w:rsid w:val="006A2DA6"/>
    <w:rsid w:val="006A2E81"/>
    <w:rsid w:val="006A2F65"/>
    <w:rsid w:val="006A2FF0"/>
    <w:rsid w:val="006A374C"/>
    <w:rsid w:val="006A3A00"/>
    <w:rsid w:val="006A48A4"/>
    <w:rsid w:val="006A56F6"/>
    <w:rsid w:val="006A628E"/>
    <w:rsid w:val="006A740D"/>
    <w:rsid w:val="006A7E7D"/>
    <w:rsid w:val="006B046F"/>
    <w:rsid w:val="006B0934"/>
    <w:rsid w:val="006B0C4F"/>
    <w:rsid w:val="006B0D8E"/>
    <w:rsid w:val="006B156C"/>
    <w:rsid w:val="006B198C"/>
    <w:rsid w:val="006B1A48"/>
    <w:rsid w:val="006B2A21"/>
    <w:rsid w:val="006B2CF1"/>
    <w:rsid w:val="006B327D"/>
    <w:rsid w:val="006B3EA3"/>
    <w:rsid w:val="006B4EB5"/>
    <w:rsid w:val="006B54D9"/>
    <w:rsid w:val="006B5569"/>
    <w:rsid w:val="006B60F8"/>
    <w:rsid w:val="006B6EDF"/>
    <w:rsid w:val="006B6EE0"/>
    <w:rsid w:val="006B7323"/>
    <w:rsid w:val="006B776E"/>
    <w:rsid w:val="006B7812"/>
    <w:rsid w:val="006C0329"/>
    <w:rsid w:val="006C083B"/>
    <w:rsid w:val="006C0E52"/>
    <w:rsid w:val="006C1065"/>
    <w:rsid w:val="006C10F6"/>
    <w:rsid w:val="006C14DC"/>
    <w:rsid w:val="006C1B4A"/>
    <w:rsid w:val="006C1D2B"/>
    <w:rsid w:val="006C2B5A"/>
    <w:rsid w:val="006C344A"/>
    <w:rsid w:val="006C3775"/>
    <w:rsid w:val="006C37AF"/>
    <w:rsid w:val="006C3AD0"/>
    <w:rsid w:val="006C3B31"/>
    <w:rsid w:val="006C3B99"/>
    <w:rsid w:val="006C3E6E"/>
    <w:rsid w:val="006C4932"/>
    <w:rsid w:val="006C4AD8"/>
    <w:rsid w:val="006C5AD7"/>
    <w:rsid w:val="006C6516"/>
    <w:rsid w:val="006C6DD3"/>
    <w:rsid w:val="006C710A"/>
    <w:rsid w:val="006C714D"/>
    <w:rsid w:val="006C74D7"/>
    <w:rsid w:val="006C7B49"/>
    <w:rsid w:val="006C7D8C"/>
    <w:rsid w:val="006D0AFF"/>
    <w:rsid w:val="006D1737"/>
    <w:rsid w:val="006D17A9"/>
    <w:rsid w:val="006D1919"/>
    <w:rsid w:val="006D1CC2"/>
    <w:rsid w:val="006D20BD"/>
    <w:rsid w:val="006D217A"/>
    <w:rsid w:val="006D2DB5"/>
    <w:rsid w:val="006D3076"/>
    <w:rsid w:val="006D349A"/>
    <w:rsid w:val="006D4235"/>
    <w:rsid w:val="006D4E8B"/>
    <w:rsid w:val="006D5046"/>
    <w:rsid w:val="006D58F5"/>
    <w:rsid w:val="006D6565"/>
    <w:rsid w:val="006D67AB"/>
    <w:rsid w:val="006D6983"/>
    <w:rsid w:val="006D6A71"/>
    <w:rsid w:val="006D7596"/>
    <w:rsid w:val="006E02DA"/>
    <w:rsid w:val="006E078C"/>
    <w:rsid w:val="006E102A"/>
    <w:rsid w:val="006E1343"/>
    <w:rsid w:val="006E16E5"/>
    <w:rsid w:val="006E1733"/>
    <w:rsid w:val="006E1A22"/>
    <w:rsid w:val="006E230F"/>
    <w:rsid w:val="006E2C01"/>
    <w:rsid w:val="006E2F2D"/>
    <w:rsid w:val="006E2FEB"/>
    <w:rsid w:val="006E3039"/>
    <w:rsid w:val="006E4106"/>
    <w:rsid w:val="006E4444"/>
    <w:rsid w:val="006E4914"/>
    <w:rsid w:val="006E4996"/>
    <w:rsid w:val="006E5552"/>
    <w:rsid w:val="006E564D"/>
    <w:rsid w:val="006E62C9"/>
    <w:rsid w:val="006E6360"/>
    <w:rsid w:val="006F0792"/>
    <w:rsid w:val="006F07F4"/>
    <w:rsid w:val="006F0F0A"/>
    <w:rsid w:val="006F1F04"/>
    <w:rsid w:val="006F2348"/>
    <w:rsid w:val="006F2C25"/>
    <w:rsid w:val="006F3090"/>
    <w:rsid w:val="006F3149"/>
    <w:rsid w:val="006F3999"/>
    <w:rsid w:val="006F3F7A"/>
    <w:rsid w:val="006F4ACB"/>
    <w:rsid w:val="006F4ADE"/>
    <w:rsid w:val="006F5203"/>
    <w:rsid w:val="006F656B"/>
    <w:rsid w:val="006F7CE6"/>
    <w:rsid w:val="00700A65"/>
    <w:rsid w:val="00700ADB"/>
    <w:rsid w:val="00700E11"/>
    <w:rsid w:val="00700E73"/>
    <w:rsid w:val="00700FF6"/>
    <w:rsid w:val="0070171A"/>
    <w:rsid w:val="0070206E"/>
    <w:rsid w:val="0070289C"/>
    <w:rsid w:val="00702F60"/>
    <w:rsid w:val="0070358F"/>
    <w:rsid w:val="00703AB2"/>
    <w:rsid w:val="0070406A"/>
    <w:rsid w:val="007041E6"/>
    <w:rsid w:val="007042E2"/>
    <w:rsid w:val="0070456B"/>
    <w:rsid w:val="007055DD"/>
    <w:rsid w:val="00705663"/>
    <w:rsid w:val="00705AFA"/>
    <w:rsid w:val="00705E78"/>
    <w:rsid w:val="00705F26"/>
    <w:rsid w:val="0070612A"/>
    <w:rsid w:val="00707161"/>
    <w:rsid w:val="007072E0"/>
    <w:rsid w:val="0070739B"/>
    <w:rsid w:val="00707A75"/>
    <w:rsid w:val="00707F44"/>
    <w:rsid w:val="00710920"/>
    <w:rsid w:val="00710BB5"/>
    <w:rsid w:val="007110AA"/>
    <w:rsid w:val="00711BC3"/>
    <w:rsid w:val="007124AC"/>
    <w:rsid w:val="00713102"/>
    <w:rsid w:val="00713518"/>
    <w:rsid w:val="00714105"/>
    <w:rsid w:val="00714123"/>
    <w:rsid w:val="00714B19"/>
    <w:rsid w:val="00715976"/>
    <w:rsid w:val="00715B47"/>
    <w:rsid w:val="00715ECE"/>
    <w:rsid w:val="007163CF"/>
    <w:rsid w:val="007170CE"/>
    <w:rsid w:val="00717FA4"/>
    <w:rsid w:val="007206E1"/>
    <w:rsid w:val="00720A6B"/>
    <w:rsid w:val="00720CBA"/>
    <w:rsid w:val="00721C3E"/>
    <w:rsid w:val="00721CA3"/>
    <w:rsid w:val="00722415"/>
    <w:rsid w:val="00722871"/>
    <w:rsid w:val="007228F9"/>
    <w:rsid w:val="00722EF9"/>
    <w:rsid w:val="007233D2"/>
    <w:rsid w:val="00723E14"/>
    <w:rsid w:val="00724A9A"/>
    <w:rsid w:val="00725549"/>
    <w:rsid w:val="00725FB2"/>
    <w:rsid w:val="00726130"/>
    <w:rsid w:val="00726757"/>
    <w:rsid w:val="00726844"/>
    <w:rsid w:val="00726DE1"/>
    <w:rsid w:val="00727448"/>
    <w:rsid w:val="00727C1D"/>
    <w:rsid w:val="00727E10"/>
    <w:rsid w:val="0073013A"/>
    <w:rsid w:val="007301D4"/>
    <w:rsid w:val="00730710"/>
    <w:rsid w:val="00730902"/>
    <w:rsid w:val="00730CBD"/>
    <w:rsid w:val="00731457"/>
    <w:rsid w:val="00731622"/>
    <w:rsid w:val="00731A73"/>
    <w:rsid w:val="00731CAD"/>
    <w:rsid w:val="00732287"/>
    <w:rsid w:val="00732542"/>
    <w:rsid w:val="0073275D"/>
    <w:rsid w:val="007328A0"/>
    <w:rsid w:val="0073302A"/>
    <w:rsid w:val="00733031"/>
    <w:rsid w:val="00733082"/>
    <w:rsid w:val="0073395D"/>
    <w:rsid w:val="0073404A"/>
    <w:rsid w:val="00734923"/>
    <w:rsid w:val="00735271"/>
    <w:rsid w:val="0073541E"/>
    <w:rsid w:val="00735DD7"/>
    <w:rsid w:val="00735DE6"/>
    <w:rsid w:val="00735F40"/>
    <w:rsid w:val="00736AF5"/>
    <w:rsid w:val="00737029"/>
    <w:rsid w:val="0073723D"/>
    <w:rsid w:val="00737499"/>
    <w:rsid w:val="00737AB6"/>
    <w:rsid w:val="00737AD4"/>
    <w:rsid w:val="00740603"/>
    <w:rsid w:val="007409AF"/>
    <w:rsid w:val="00740C0E"/>
    <w:rsid w:val="00741B3A"/>
    <w:rsid w:val="0074221D"/>
    <w:rsid w:val="007440C4"/>
    <w:rsid w:val="007446D1"/>
    <w:rsid w:val="00744962"/>
    <w:rsid w:val="00744C7C"/>
    <w:rsid w:val="0074518A"/>
    <w:rsid w:val="00745196"/>
    <w:rsid w:val="00745D9E"/>
    <w:rsid w:val="007460E2"/>
    <w:rsid w:val="007463EE"/>
    <w:rsid w:val="00746684"/>
    <w:rsid w:val="00746934"/>
    <w:rsid w:val="00746A5D"/>
    <w:rsid w:val="00746E3D"/>
    <w:rsid w:val="00747C7D"/>
    <w:rsid w:val="0075021C"/>
    <w:rsid w:val="0075026F"/>
    <w:rsid w:val="00750958"/>
    <w:rsid w:val="00750DB4"/>
    <w:rsid w:val="0075154A"/>
    <w:rsid w:val="007515CF"/>
    <w:rsid w:val="007516CE"/>
    <w:rsid w:val="007519F0"/>
    <w:rsid w:val="00751C29"/>
    <w:rsid w:val="00751F7F"/>
    <w:rsid w:val="0075290A"/>
    <w:rsid w:val="00752B31"/>
    <w:rsid w:val="00752F51"/>
    <w:rsid w:val="00753712"/>
    <w:rsid w:val="00753B98"/>
    <w:rsid w:val="007540CF"/>
    <w:rsid w:val="0075431A"/>
    <w:rsid w:val="00755573"/>
    <w:rsid w:val="007557F2"/>
    <w:rsid w:val="007565C8"/>
    <w:rsid w:val="007568FE"/>
    <w:rsid w:val="00760255"/>
    <w:rsid w:val="007608AD"/>
    <w:rsid w:val="00761426"/>
    <w:rsid w:val="00762366"/>
    <w:rsid w:val="007627C5"/>
    <w:rsid w:val="00762DE8"/>
    <w:rsid w:val="00764058"/>
    <w:rsid w:val="0076478D"/>
    <w:rsid w:val="00764862"/>
    <w:rsid w:val="00764A61"/>
    <w:rsid w:val="00764D68"/>
    <w:rsid w:val="00766119"/>
    <w:rsid w:val="0076631E"/>
    <w:rsid w:val="007666AD"/>
    <w:rsid w:val="0076674D"/>
    <w:rsid w:val="00767170"/>
    <w:rsid w:val="00767301"/>
    <w:rsid w:val="00767E73"/>
    <w:rsid w:val="00771320"/>
    <w:rsid w:val="00771335"/>
    <w:rsid w:val="00771589"/>
    <w:rsid w:val="00771793"/>
    <w:rsid w:val="00772304"/>
    <w:rsid w:val="007726B2"/>
    <w:rsid w:val="00772B96"/>
    <w:rsid w:val="00772D7B"/>
    <w:rsid w:val="007734E5"/>
    <w:rsid w:val="0077387E"/>
    <w:rsid w:val="007739E5"/>
    <w:rsid w:val="00773B26"/>
    <w:rsid w:val="00773E4F"/>
    <w:rsid w:val="00774127"/>
    <w:rsid w:val="00774507"/>
    <w:rsid w:val="00774784"/>
    <w:rsid w:val="007747B8"/>
    <w:rsid w:val="00774BE1"/>
    <w:rsid w:val="00776B01"/>
    <w:rsid w:val="0077763F"/>
    <w:rsid w:val="007777D8"/>
    <w:rsid w:val="00777908"/>
    <w:rsid w:val="00777D17"/>
    <w:rsid w:val="0078057F"/>
    <w:rsid w:val="00780CCC"/>
    <w:rsid w:val="00780CFF"/>
    <w:rsid w:val="00780DF0"/>
    <w:rsid w:val="00783338"/>
    <w:rsid w:val="007833A7"/>
    <w:rsid w:val="00783499"/>
    <w:rsid w:val="00783601"/>
    <w:rsid w:val="007837A5"/>
    <w:rsid w:val="00784191"/>
    <w:rsid w:val="00784497"/>
    <w:rsid w:val="007844F9"/>
    <w:rsid w:val="00784970"/>
    <w:rsid w:val="00785B45"/>
    <w:rsid w:val="00786027"/>
    <w:rsid w:val="007870C4"/>
    <w:rsid w:val="007876FB"/>
    <w:rsid w:val="007906EA"/>
    <w:rsid w:val="007910F0"/>
    <w:rsid w:val="00791E79"/>
    <w:rsid w:val="007920A0"/>
    <w:rsid w:val="0079238C"/>
    <w:rsid w:val="0079261C"/>
    <w:rsid w:val="0079273D"/>
    <w:rsid w:val="007929E1"/>
    <w:rsid w:val="00792A02"/>
    <w:rsid w:val="0079312B"/>
    <w:rsid w:val="007943F7"/>
    <w:rsid w:val="00794F05"/>
    <w:rsid w:val="00795744"/>
    <w:rsid w:val="00795A16"/>
    <w:rsid w:val="007964D3"/>
    <w:rsid w:val="00796D17"/>
    <w:rsid w:val="00797D19"/>
    <w:rsid w:val="007A02A7"/>
    <w:rsid w:val="007A0C9B"/>
    <w:rsid w:val="007A103B"/>
    <w:rsid w:val="007A2541"/>
    <w:rsid w:val="007A26E4"/>
    <w:rsid w:val="007A3DE0"/>
    <w:rsid w:val="007A3F65"/>
    <w:rsid w:val="007A4032"/>
    <w:rsid w:val="007A49DD"/>
    <w:rsid w:val="007A598D"/>
    <w:rsid w:val="007A5AAD"/>
    <w:rsid w:val="007A602F"/>
    <w:rsid w:val="007A63C4"/>
    <w:rsid w:val="007A66C3"/>
    <w:rsid w:val="007A6DFC"/>
    <w:rsid w:val="007A74C2"/>
    <w:rsid w:val="007A764F"/>
    <w:rsid w:val="007A7710"/>
    <w:rsid w:val="007A78E9"/>
    <w:rsid w:val="007A7E7A"/>
    <w:rsid w:val="007A7F42"/>
    <w:rsid w:val="007B1593"/>
    <w:rsid w:val="007B165B"/>
    <w:rsid w:val="007B16B0"/>
    <w:rsid w:val="007B1E6F"/>
    <w:rsid w:val="007B2AC6"/>
    <w:rsid w:val="007B3A22"/>
    <w:rsid w:val="007B3A87"/>
    <w:rsid w:val="007B47EA"/>
    <w:rsid w:val="007B4D7D"/>
    <w:rsid w:val="007B5BB9"/>
    <w:rsid w:val="007B5EEF"/>
    <w:rsid w:val="007B6377"/>
    <w:rsid w:val="007B6929"/>
    <w:rsid w:val="007B6A3E"/>
    <w:rsid w:val="007B725C"/>
    <w:rsid w:val="007B7664"/>
    <w:rsid w:val="007C0182"/>
    <w:rsid w:val="007C0498"/>
    <w:rsid w:val="007C0900"/>
    <w:rsid w:val="007C0A02"/>
    <w:rsid w:val="007C0A1A"/>
    <w:rsid w:val="007C141B"/>
    <w:rsid w:val="007C1AD4"/>
    <w:rsid w:val="007C2076"/>
    <w:rsid w:val="007C242A"/>
    <w:rsid w:val="007C2AC8"/>
    <w:rsid w:val="007C2B00"/>
    <w:rsid w:val="007C2C26"/>
    <w:rsid w:val="007C2EB8"/>
    <w:rsid w:val="007C3360"/>
    <w:rsid w:val="007C3948"/>
    <w:rsid w:val="007C3E90"/>
    <w:rsid w:val="007C3F74"/>
    <w:rsid w:val="007C40B1"/>
    <w:rsid w:val="007C41CE"/>
    <w:rsid w:val="007C48E5"/>
    <w:rsid w:val="007C4AC0"/>
    <w:rsid w:val="007C4C4F"/>
    <w:rsid w:val="007C5036"/>
    <w:rsid w:val="007C569B"/>
    <w:rsid w:val="007C5CCD"/>
    <w:rsid w:val="007C5CE8"/>
    <w:rsid w:val="007C6280"/>
    <w:rsid w:val="007C640B"/>
    <w:rsid w:val="007C6539"/>
    <w:rsid w:val="007C66B1"/>
    <w:rsid w:val="007C6B00"/>
    <w:rsid w:val="007C7119"/>
    <w:rsid w:val="007C750D"/>
    <w:rsid w:val="007C7875"/>
    <w:rsid w:val="007D0EC5"/>
    <w:rsid w:val="007D148E"/>
    <w:rsid w:val="007D1CF3"/>
    <w:rsid w:val="007D2196"/>
    <w:rsid w:val="007D25DA"/>
    <w:rsid w:val="007D29D8"/>
    <w:rsid w:val="007D2A36"/>
    <w:rsid w:val="007D2D08"/>
    <w:rsid w:val="007D2D2F"/>
    <w:rsid w:val="007D334B"/>
    <w:rsid w:val="007D33B5"/>
    <w:rsid w:val="007D3BF7"/>
    <w:rsid w:val="007D3C66"/>
    <w:rsid w:val="007D3ECF"/>
    <w:rsid w:val="007D44C1"/>
    <w:rsid w:val="007D5A83"/>
    <w:rsid w:val="007D5DB4"/>
    <w:rsid w:val="007D6B06"/>
    <w:rsid w:val="007D6F51"/>
    <w:rsid w:val="007D70B2"/>
    <w:rsid w:val="007D7C2E"/>
    <w:rsid w:val="007E00E1"/>
    <w:rsid w:val="007E0DFE"/>
    <w:rsid w:val="007E137C"/>
    <w:rsid w:val="007E1461"/>
    <w:rsid w:val="007E16A1"/>
    <w:rsid w:val="007E2EF0"/>
    <w:rsid w:val="007E36C7"/>
    <w:rsid w:val="007E3A45"/>
    <w:rsid w:val="007E3C3E"/>
    <w:rsid w:val="007E3DFF"/>
    <w:rsid w:val="007E4262"/>
    <w:rsid w:val="007E43F7"/>
    <w:rsid w:val="007E501B"/>
    <w:rsid w:val="007E5A30"/>
    <w:rsid w:val="007E6266"/>
    <w:rsid w:val="007E65DF"/>
    <w:rsid w:val="007E6ED7"/>
    <w:rsid w:val="007E77B6"/>
    <w:rsid w:val="007F027A"/>
    <w:rsid w:val="007F0755"/>
    <w:rsid w:val="007F0946"/>
    <w:rsid w:val="007F0D7E"/>
    <w:rsid w:val="007F0E30"/>
    <w:rsid w:val="007F0EE7"/>
    <w:rsid w:val="007F0FFD"/>
    <w:rsid w:val="007F1787"/>
    <w:rsid w:val="007F29A5"/>
    <w:rsid w:val="007F2AE9"/>
    <w:rsid w:val="007F352E"/>
    <w:rsid w:val="007F41AB"/>
    <w:rsid w:val="007F49AD"/>
    <w:rsid w:val="007F4F42"/>
    <w:rsid w:val="007F57CA"/>
    <w:rsid w:val="007F5CAA"/>
    <w:rsid w:val="007F61BB"/>
    <w:rsid w:val="007F624B"/>
    <w:rsid w:val="007F62F1"/>
    <w:rsid w:val="007F6524"/>
    <w:rsid w:val="007F7323"/>
    <w:rsid w:val="007F7AE4"/>
    <w:rsid w:val="008004CA"/>
    <w:rsid w:val="00800B33"/>
    <w:rsid w:val="00800BA9"/>
    <w:rsid w:val="00801217"/>
    <w:rsid w:val="00801703"/>
    <w:rsid w:val="008017E3"/>
    <w:rsid w:val="00802681"/>
    <w:rsid w:val="00802BF4"/>
    <w:rsid w:val="00803478"/>
    <w:rsid w:val="00803524"/>
    <w:rsid w:val="00803F83"/>
    <w:rsid w:val="008041ED"/>
    <w:rsid w:val="008047EE"/>
    <w:rsid w:val="00804D2F"/>
    <w:rsid w:val="008056D3"/>
    <w:rsid w:val="008058FF"/>
    <w:rsid w:val="008059D3"/>
    <w:rsid w:val="0080646C"/>
    <w:rsid w:val="008073A2"/>
    <w:rsid w:val="00807919"/>
    <w:rsid w:val="00807CFB"/>
    <w:rsid w:val="0081096E"/>
    <w:rsid w:val="008109EE"/>
    <w:rsid w:val="008116C9"/>
    <w:rsid w:val="008118F5"/>
    <w:rsid w:val="00811FB1"/>
    <w:rsid w:val="00812328"/>
    <w:rsid w:val="00812CC0"/>
    <w:rsid w:val="00812E54"/>
    <w:rsid w:val="008131A4"/>
    <w:rsid w:val="00813253"/>
    <w:rsid w:val="008134AE"/>
    <w:rsid w:val="008138EA"/>
    <w:rsid w:val="00814239"/>
    <w:rsid w:val="00814702"/>
    <w:rsid w:val="00814BD0"/>
    <w:rsid w:val="00814ED2"/>
    <w:rsid w:val="008156DF"/>
    <w:rsid w:val="00816289"/>
    <w:rsid w:val="0081650F"/>
    <w:rsid w:val="00817DA9"/>
    <w:rsid w:val="00820079"/>
    <w:rsid w:val="00820556"/>
    <w:rsid w:val="0082068F"/>
    <w:rsid w:val="00820CBA"/>
    <w:rsid w:val="00820F75"/>
    <w:rsid w:val="00821607"/>
    <w:rsid w:val="00821776"/>
    <w:rsid w:val="008219C5"/>
    <w:rsid w:val="0082220F"/>
    <w:rsid w:val="008223BD"/>
    <w:rsid w:val="00822590"/>
    <w:rsid w:val="00823277"/>
    <w:rsid w:val="008237AA"/>
    <w:rsid w:val="008249A7"/>
    <w:rsid w:val="00824B0B"/>
    <w:rsid w:val="00826160"/>
    <w:rsid w:val="008264F2"/>
    <w:rsid w:val="00827DC1"/>
    <w:rsid w:val="00830A07"/>
    <w:rsid w:val="008312A1"/>
    <w:rsid w:val="00831E9E"/>
    <w:rsid w:val="008322AB"/>
    <w:rsid w:val="008322E5"/>
    <w:rsid w:val="008324A5"/>
    <w:rsid w:val="00832991"/>
    <w:rsid w:val="0083313C"/>
    <w:rsid w:val="00833FA0"/>
    <w:rsid w:val="00834485"/>
    <w:rsid w:val="008348C9"/>
    <w:rsid w:val="008349EB"/>
    <w:rsid w:val="00835B0B"/>
    <w:rsid w:val="00835BC1"/>
    <w:rsid w:val="00836936"/>
    <w:rsid w:val="00836EC7"/>
    <w:rsid w:val="00836EDF"/>
    <w:rsid w:val="00837AA4"/>
    <w:rsid w:val="0084003B"/>
    <w:rsid w:val="00840233"/>
    <w:rsid w:val="008405D6"/>
    <w:rsid w:val="0084062E"/>
    <w:rsid w:val="00840705"/>
    <w:rsid w:val="00840F81"/>
    <w:rsid w:val="00841640"/>
    <w:rsid w:val="0084166F"/>
    <w:rsid w:val="00841C87"/>
    <w:rsid w:val="00842068"/>
    <w:rsid w:val="008421C4"/>
    <w:rsid w:val="0084221C"/>
    <w:rsid w:val="00843136"/>
    <w:rsid w:val="00845048"/>
    <w:rsid w:val="00845CBF"/>
    <w:rsid w:val="00845FE6"/>
    <w:rsid w:val="008461BD"/>
    <w:rsid w:val="0084660A"/>
    <w:rsid w:val="0084725E"/>
    <w:rsid w:val="00847E1D"/>
    <w:rsid w:val="008500CF"/>
    <w:rsid w:val="00850FA6"/>
    <w:rsid w:val="008518B4"/>
    <w:rsid w:val="00851ABB"/>
    <w:rsid w:val="00851CD0"/>
    <w:rsid w:val="00851FD5"/>
    <w:rsid w:val="00852473"/>
    <w:rsid w:val="00852645"/>
    <w:rsid w:val="00852F78"/>
    <w:rsid w:val="0085313D"/>
    <w:rsid w:val="008536DA"/>
    <w:rsid w:val="0085585D"/>
    <w:rsid w:val="00855DD2"/>
    <w:rsid w:val="00855FC5"/>
    <w:rsid w:val="00856343"/>
    <w:rsid w:val="0085654A"/>
    <w:rsid w:val="00856564"/>
    <w:rsid w:val="00856A92"/>
    <w:rsid w:val="00856CDE"/>
    <w:rsid w:val="00856E98"/>
    <w:rsid w:val="00857574"/>
    <w:rsid w:val="008579B0"/>
    <w:rsid w:val="00857D30"/>
    <w:rsid w:val="008602ED"/>
    <w:rsid w:val="008614AE"/>
    <w:rsid w:val="00861790"/>
    <w:rsid w:val="00861CDD"/>
    <w:rsid w:val="00861E22"/>
    <w:rsid w:val="00862141"/>
    <w:rsid w:val="008629FF"/>
    <w:rsid w:val="00862ACA"/>
    <w:rsid w:val="008630E2"/>
    <w:rsid w:val="0086359D"/>
    <w:rsid w:val="00863849"/>
    <w:rsid w:val="00864E00"/>
    <w:rsid w:val="008650DE"/>
    <w:rsid w:val="00865260"/>
    <w:rsid w:val="008657C4"/>
    <w:rsid w:val="00865A3F"/>
    <w:rsid w:val="00865D9D"/>
    <w:rsid w:val="0086795B"/>
    <w:rsid w:val="00867D90"/>
    <w:rsid w:val="008701E2"/>
    <w:rsid w:val="008707A1"/>
    <w:rsid w:val="00870FCF"/>
    <w:rsid w:val="00870FE2"/>
    <w:rsid w:val="0087109C"/>
    <w:rsid w:val="00872222"/>
    <w:rsid w:val="008726C8"/>
    <w:rsid w:val="00872DA3"/>
    <w:rsid w:val="0087339F"/>
    <w:rsid w:val="0087413F"/>
    <w:rsid w:val="00874C3A"/>
    <w:rsid w:val="00874D4A"/>
    <w:rsid w:val="00874F00"/>
    <w:rsid w:val="008750C4"/>
    <w:rsid w:val="00876BE2"/>
    <w:rsid w:val="00876CBC"/>
    <w:rsid w:val="00876E35"/>
    <w:rsid w:val="00876F5D"/>
    <w:rsid w:val="00877768"/>
    <w:rsid w:val="00880F75"/>
    <w:rsid w:val="00881095"/>
    <w:rsid w:val="008814E2"/>
    <w:rsid w:val="008817B3"/>
    <w:rsid w:val="00881B55"/>
    <w:rsid w:val="00881D53"/>
    <w:rsid w:val="00882E3D"/>
    <w:rsid w:val="00884528"/>
    <w:rsid w:val="00884C61"/>
    <w:rsid w:val="00885085"/>
    <w:rsid w:val="0088555D"/>
    <w:rsid w:val="00885608"/>
    <w:rsid w:val="00885B6E"/>
    <w:rsid w:val="008862D3"/>
    <w:rsid w:val="00886AF5"/>
    <w:rsid w:val="00886CC2"/>
    <w:rsid w:val="00886EB1"/>
    <w:rsid w:val="0088738F"/>
    <w:rsid w:val="0088758E"/>
    <w:rsid w:val="008875D5"/>
    <w:rsid w:val="008876EC"/>
    <w:rsid w:val="008877D5"/>
    <w:rsid w:val="008877EF"/>
    <w:rsid w:val="00887A32"/>
    <w:rsid w:val="00890257"/>
    <w:rsid w:val="00890555"/>
    <w:rsid w:val="00890900"/>
    <w:rsid w:val="00890EF9"/>
    <w:rsid w:val="008913BF"/>
    <w:rsid w:val="008916D6"/>
    <w:rsid w:val="00892FFD"/>
    <w:rsid w:val="008934AC"/>
    <w:rsid w:val="00893743"/>
    <w:rsid w:val="008949E0"/>
    <w:rsid w:val="00894EBC"/>
    <w:rsid w:val="008955E5"/>
    <w:rsid w:val="00895630"/>
    <w:rsid w:val="008957F3"/>
    <w:rsid w:val="00896280"/>
    <w:rsid w:val="0089684A"/>
    <w:rsid w:val="0089690D"/>
    <w:rsid w:val="00897246"/>
    <w:rsid w:val="008A1128"/>
    <w:rsid w:val="008A128F"/>
    <w:rsid w:val="008A2293"/>
    <w:rsid w:val="008A278E"/>
    <w:rsid w:val="008A2B6B"/>
    <w:rsid w:val="008A305D"/>
    <w:rsid w:val="008A3418"/>
    <w:rsid w:val="008A430F"/>
    <w:rsid w:val="008A46BB"/>
    <w:rsid w:val="008A4A69"/>
    <w:rsid w:val="008A4C07"/>
    <w:rsid w:val="008A5189"/>
    <w:rsid w:val="008A5558"/>
    <w:rsid w:val="008A67F8"/>
    <w:rsid w:val="008A730A"/>
    <w:rsid w:val="008A744D"/>
    <w:rsid w:val="008A7492"/>
    <w:rsid w:val="008A7883"/>
    <w:rsid w:val="008A7D53"/>
    <w:rsid w:val="008B0F1D"/>
    <w:rsid w:val="008B1086"/>
    <w:rsid w:val="008B10C7"/>
    <w:rsid w:val="008B2934"/>
    <w:rsid w:val="008B2DDA"/>
    <w:rsid w:val="008B3117"/>
    <w:rsid w:val="008B3921"/>
    <w:rsid w:val="008B3AEA"/>
    <w:rsid w:val="008B49C5"/>
    <w:rsid w:val="008B4DE4"/>
    <w:rsid w:val="008B50DF"/>
    <w:rsid w:val="008B5318"/>
    <w:rsid w:val="008B5437"/>
    <w:rsid w:val="008B5562"/>
    <w:rsid w:val="008B59EA"/>
    <w:rsid w:val="008B6593"/>
    <w:rsid w:val="008B671A"/>
    <w:rsid w:val="008B67B4"/>
    <w:rsid w:val="008B6B22"/>
    <w:rsid w:val="008B788F"/>
    <w:rsid w:val="008B7F14"/>
    <w:rsid w:val="008C0136"/>
    <w:rsid w:val="008C01F3"/>
    <w:rsid w:val="008C0662"/>
    <w:rsid w:val="008C07A9"/>
    <w:rsid w:val="008C0BBD"/>
    <w:rsid w:val="008C0E7B"/>
    <w:rsid w:val="008C19E3"/>
    <w:rsid w:val="008C277F"/>
    <w:rsid w:val="008C2B2C"/>
    <w:rsid w:val="008C2CBF"/>
    <w:rsid w:val="008C3279"/>
    <w:rsid w:val="008C3283"/>
    <w:rsid w:val="008C3795"/>
    <w:rsid w:val="008C3B9C"/>
    <w:rsid w:val="008C3E5A"/>
    <w:rsid w:val="008C3F87"/>
    <w:rsid w:val="008C46F0"/>
    <w:rsid w:val="008C5241"/>
    <w:rsid w:val="008C5961"/>
    <w:rsid w:val="008C5B89"/>
    <w:rsid w:val="008C6762"/>
    <w:rsid w:val="008C6854"/>
    <w:rsid w:val="008C6909"/>
    <w:rsid w:val="008C6F33"/>
    <w:rsid w:val="008C6F72"/>
    <w:rsid w:val="008C72C7"/>
    <w:rsid w:val="008C764C"/>
    <w:rsid w:val="008C7B34"/>
    <w:rsid w:val="008D01E0"/>
    <w:rsid w:val="008D0721"/>
    <w:rsid w:val="008D09C5"/>
    <w:rsid w:val="008D12C1"/>
    <w:rsid w:val="008D1C85"/>
    <w:rsid w:val="008D1D8B"/>
    <w:rsid w:val="008D20A9"/>
    <w:rsid w:val="008D2637"/>
    <w:rsid w:val="008D3247"/>
    <w:rsid w:val="008D3294"/>
    <w:rsid w:val="008D3FFF"/>
    <w:rsid w:val="008D453D"/>
    <w:rsid w:val="008D478E"/>
    <w:rsid w:val="008D59C4"/>
    <w:rsid w:val="008D5DA8"/>
    <w:rsid w:val="008D5EC9"/>
    <w:rsid w:val="008D65A7"/>
    <w:rsid w:val="008D68A9"/>
    <w:rsid w:val="008D69AB"/>
    <w:rsid w:val="008D78BA"/>
    <w:rsid w:val="008D7910"/>
    <w:rsid w:val="008E008C"/>
    <w:rsid w:val="008E0168"/>
    <w:rsid w:val="008E0448"/>
    <w:rsid w:val="008E079F"/>
    <w:rsid w:val="008E07D4"/>
    <w:rsid w:val="008E0DBD"/>
    <w:rsid w:val="008E0E22"/>
    <w:rsid w:val="008E16DC"/>
    <w:rsid w:val="008E1C61"/>
    <w:rsid w:val="008E2B5D"/>
    <w:rsid w:val="008E2E87"/>
    <w:rsid w:val="008E2F96"/>
    <w:rsid w:val="008E3052"/>
    <w:rsid w:val="008E3203"/>
    <w:rsid w:val="008E3504"/>
    <w:rsid w:val="008E4087"/>
    <w:rsid w:val="008E4324"/>
    <w:rsid w:val="008E556F"/>
    <w:rsid w:val="008E6B80"/>
    <w:rsid w:val="008F0509"/>
    <w:rsid w:val="008F06E1"/>
    <w:rsid w:val="008F1BA5"/>
    <w:rsid w:val="008F2311"/>
    <w:rsid w:val="008F258A"/>
    <w:rsid w:val="008F27E2"/>
    <w:rsid w:val="008F2918"/>
    <w:rsid w:val="008F29CD"/>
    <w:rsid w:val="008F2A77"/>
    <w:rsid w:val="008F2B85"/>
    <w:rsid w:val="008F2E49"/>
    <w:rsid w:val="008F359D"/>
    <w:rsid w:val="008F42C9"/>
    <w:rsid w:val="008F433F"/>
    <w:rsid w:val="008F4909"/>
    <w:rsid w:val="008F5EC5"/>
    <w:rsid w:val="008F7903"/>
    <w:rsid w:val="00900AF3"/>
    <w:rsid w:val="00900B69"/>
    <w:rsid w:val="00901A07"/>
    <w:rsid w:val="009021F0"/>
    <w:rsid w:val="009025D5"/>
    <w:rsid w:val="009029EA"/>
    <w:rsid w:val="00902B12"/>
    <w:rsid w:val="00902B5C"/>
    <w:rsid w:val="00902CC0"/>
    <w:rsid w:val="00902CE7"/>
    <w:rsid w:val="00902DA0"/>
    <w:rsid w:val="009032CD"/>
    <w:rsid w:val="0090344A"/>
    <w:rsid w:val="0090363A"/>
    <w:rsid w:val="0090368C"/>
    <w:rsid w:val="00905BB4"/>
    <w:rsid w:val="00905C65"/>
    <w:rsid w:val="00905CA8"/>
    <w:rsid w:val="00905E0C"/>
    <w:rsid w:val="009061E8"/>
    <w:rsid w:val="00906E96"/>
    <w:rsid w:val="009076B7"/>
    <w:rsid w:val="0091018C"/>
    <w:rsid w:val="009107D9"/>
    <w:rsid w:val="00910F04"/>
    <w:rsid w:val="0091101A"/>
    <w:rsid w:val="0091130A"/>
    <w:rsid w:val="009113CD"/>
    <w:rsid w:val="00911662"/>
    <w:rsid w:val="0091196E"/>
    <w:rsid w:val="00912C63"/>
    <w:rsid w:val="00913433"/>
    <w:rsid w:val="0091364D"/>
    <w:rsid w:val="009140E7"/>
    <w:rsid w:val="009148B6"/>
    <w:rsid w:val="009149D5"/>
    <w:rsid w:val="009150F1"/>
    <w:rsid w:val="00915419"/>
    <w:rsid w:val="009161CE"/>
    <w:rsid w:val="00916940"/>
    <w:rsid w:val="00917545"/>
    <w:rsid w:val="00917C7A"/>
    <w:rsid w:val="00917D66"/>
    <w:rsid w:val="009200A3"/>
    <w:rsid w:val="00920EFF"/>
    <w:rsid w:val="0092103B"/>
    <w:rsid w:val="009225DB"/>
    <w:rsid w:val="00922772"/>
    <w:rsid w:val="00922AF3"/>
    <w:rsid w:val="00922E7D"/>
    <w:rsid w:val="0092398E"/>
    <w:rsid w:val="0092401E"/>
    <w:rsid w:val="00925261"/>
    <w:rsid w:val="0092586B"/>
    <w:rsid w:val="00925A07"/>
    <w:rsid w:val="009262A2"/>
    <w:rsid w:val="00926749"/>
    <w:rsid w:val="0092681B"/>
    <w:rsid w:val="0092692C"/>
    <w:rsid w:val="0093065F"/>
    <w:rsid w:val="009308C8"/>
    <w:rsid w:val="00930C41"/>
    <w:rsid w:val="0093112D"/>
    <w:rsid w:val="009312C3"/>
    <w:rsid w:val="009317CB"/>
    <w:rsid w:val="00932311"/>
    <w:rsid w:val="00932593"/>
    <w:rsid w:val="0093296A"/>
    <w:rsid w:val="009340F6"/>
    <w:rsid w:val="00934446"/>
    <w:rsid w:val="0093445B"/>
    <w:rsid w:val="009347F4"/>
    <w:rsid w:val="009355C9"/>
    <w:rsid w:val="00935948"/>
    <w:rsid w:val="00935FCF"/>
    <w:rsid w:val="00936C11"/>
    <w:rsid w:val="00936E15"/>
    <w:rsid w:val="00936F49"/>
    <w:rsid w:val="0093772B"/>
    <w:rsid w:val="00940622"/>
    <w:rsid w:val="00940841"/>
    <w:rsid w:val="00942307"/>
    <w:rsid w:val="0094257B"/>
    <w:rsid w:val="009425F4"/>
    <w:rsid w:val="00942D7C"/>
    <w:rsid w:val="00943124"/>
    <w:rsid w:val="00943915"/>
    <w:rsid w:val="00943B1F"/>
    <w:rsid w:val="00944219"/>
    <w:rsid w:val="00944264"/>
    <w:rsid w:val="009447D4"/>
    <w:rsid w:val="00944848"/>
    <w:rsid w:val="00944997"/>
    <w:rsid w:val="009456E9"/>
    <w:rsid w:val="00945984"/>
    <w:rsid w:val="00945E76"/>
    <w:rsid w:val="0094609E"/>
    <w:rsid w:val="009460EE"/>
    <w:rsid w:val="0094617A"/>
    <w:rsid w:val="00946DE4"/>
    <w:rsid w:val="00950A18"/>
    <w:rsid w:val="00954C89"/>
    <w:rsid w:val="00954E31"/>
    <w:rsid w:val="00954EFD"/>
    <w:rsid w:val="00955A6F"/>
    <w:rsid w:val="00955E4A"/>
    <w:rsid w:val="00955F82"/>
    <w:rsid w:val="009565A4"/>
    <w:rsid w:val="009569C8"/>
    <w:rsid w:val="00956E13"/>
    <w:rsid w:val="00957306"/>
    <w:rsid w:val="00957C08"/>
    <w:rsid w:val="00960610"/>
    <w:rsid w:val="00960E0C"/>
    <w:rsid w:val="00962980"/>
    <w:rsid w:val="00962A03"/>
    <w:rsid w:val="00963165"/>
    <w:rsid w:val="009641C6"/>
    <w:rsid w:val="00964877"/>
    <w:rsid w:val="00964E60"/>
    <w:rsid w:val="009657C0"/>
    <w:rsid w:val="00965E69"/>
    <w:rsid w:val="009660E5"/>
    <w:rsid w:val="009661E7"/>
    <w:rsid w:val="009662B8"/>
    <w:rsid w:val="0096732F"/>
    <w:rsid w:val="009675DA"/>
    <w:rsid w:val="00967ED8"/>
    <w:rsid w:val="009700E4"/>
    <w:rsid w:val="009706D4"/>
    <w:rsid w:val="00970E2E"/>
    <w:rsid w:val="009715FA"/>
    <w:rsid w:val="009719C6"/>
    <w:rsid w:val="00971F0E"/>
    <w:rsid w:val="00971F2E"/>
    <w:rsid w:val="009732D4"/>
    <w:rsid w:val="00974037"/>
    <w:rsid w:val="00974B41"/>
    <w:rsid w:val="00974B95"/>
    <w:rsid w:val="00975590"/>
    <w:rsid w:val="00975C2B"/>
    <w:rsid w:val="00975E81"/>
    <w:rsid w:val="0097684C"/>
    <w:rsid w:val="00976EF6"/>
    <w:rsid w:val="0097759A"/>
    <w:rsid w:val="00977A0E"/>
    <w:rsid w:val="00981085"/>
    <w:rsid w:val="00981971"/>
    <w:rsid w:val="00981AD7"/>
    <w:rsid w:val="00983674"/>
    <w:rsid w:val="00983B7A"/>
    <w:rsid w:val="009841FA"/>
    <w:rsid w:val="009848D4"/>
    <w:rsid w:val="00984D13"/>
    <w:rsid w:val="00985384"/>
    <w:rsid w:val="009857B8"/>
    <w:rsid w:val="00985B92"/>
    <w:rsid w:val="00986750"/>
    <w:rsid w:val="0098678F"/>
    <w:rsid w:val="00986C75"/>
    <w:rsid w:val="00986FF9"/>
    <w:rsid w:val="009878DC"/>
    <w:rsid w:val="00987E25"/>
    <w:rsid w:val="009908A0"/>
    <w:rsid w:val="009916D8"/>
    <w:rsid w:val="009929CC"/>
    <w:rsid w:val="00992D2C"/>
    <w:rsid w:val="009931F9"/>
    <w:rsid w:val="00993687"/>
    <w:rsid w:val="009937CD"/>
    <w:rsid w:val="009939CE"/>
    <w:rsid w:val="0099487F"/>
    <w:rsid w:val="009953F6"/>
    <w:rsid w:val="009958CB"/>
    <w:rsid w:val="00995AC6"/>
    <w:rsid w:val="00996684"/>
    <w:rsid w:val="009A1606"/>
    <w:rsid w:val="009A19F0"/>
    <w:rsid w:val="009A2431"/>
    <w:rsid w:val="009A36E6"/>
    <w:rsid w:val="009A3A9E"/>
    <w:rsid w:val="009A466A"/>
    <w:rsid w:val="009A5419"/>
    <w:rsid w:val="009A6104"/>
    <w:rsid w:val="009A6999"/>
    <w:rsid w:val="009A6E9E"/>
    <w:rsid w:val="009A6FBA"/>
    <w:rsid w:val="009A72CF"/>
    <w:rsid w:val="009A79D7"/>
    <w:rsid w:val="009A7A57"/>
    <w:rsid w:val="009A7ABA"/>
    <w:rsid w:val="009B088B"/>
    <w:rsid w:val="009B0BC7"/>
    <w:rsid w:val="009B0E6B"/>
    <w:rsid w:val="009B0FC1"/>
    <w:rsid w:val="009B2101"/>
    <w:rsid w:val="009B2B99"/>
    <w:rsid w:val="009B34F1"/>
    <w:rsid w:val="009B35BC"/>
    <w:rsid w:val="009B38BF"/>
    <w:rsid w:val="009B3A1E"/>
    <w:rsid w:val="009B4713"/>
    <w:rsid w:val="009B4E67"/>
    <w:rsid w:val="009B52F9"/>
    <w:rsid w:val="009B53ED"/>
    <w:rsid w:val="009B55D4"/>
    <w:rsid w:val="009B56D5"/>
    <w:rsid w:val="009B58B6"/>
    <w:rsid w:val="009B5E2D"/>
    <w:rsid w:val="009B6790"/>
    <w:rsid w:val="009B6C7C"/>
    <w:rsid w:val="009B74F4"/>
    <w:rsid w:val="009B79A5"/>
    <w:rsid w:val="009B7DA3"/>
    <w:rsid w:val="009C0992"/>
    <w:rsid w:val="009C0A9A"/>
    <w:rsid w:val="009C12A8"/>
    <w:rsid w:val="009C1DE3"/>
    <w:rsid w:val="009C2A66"/>
    <w:rsid w:val="009C33CA"/>
    <w:rsid w:val="009C3619"/>
    <w:rsid w:val="009C3C2E"/>
    <w:rsid w:val="009C3FF8"/>
    <w:rsid w:val="009C48C1"/>
    <w:rsid w:val="009C5B8B"/>
    <w:rsid w:val="009C5C95"/>
    <w:rsid w:val="009C6401"/>
    <w:rsid w:val="009C6471"/>
    <w:rsid w:val="009C755D"/>
    <w:rsid w:val="009C788A"/>
    <w:rsid w:val="009C7986"/>
    <w:rsid w:val="009C7EF2"/>
    <w:rsid w:val="009D0248"/>
    <w:rsid w:val="009D0B74"/>
    <w:rsid w:val="009D0F66"/>
    <w:rsid w:val="009D1360"/>
    <w:rsid w:val="009D183D"/>
    <w:rsid w:val="009D2700"/>
    <w:rsid w:val="009D311B"/>
    <w:rsid w:val="009D319E"/>
    <w:rsid w:val="009D3229"/>
    <w:rsid w:val="009D431D"/>
    <w:rsid w:val="009D4818"/>
    <w:rsid w:val="009D4B1E"/>
    <w:rsid w:val="009D53A9"/>
    <w:rsid w:val="009D53C2"/>
    <w:rsid w:val="009D5B75"/>
    <w:rsid w:val="009D5D7D"/>
    <w:rsid w:val="009D6175"/>
    <w:rsid w:val="009D629C"/>
    <w:rsid w:val="009D6711"/>
    <w:rsid w:val="009D6A09"/>
    <w:rsid w:val="009D6FDB"/>
    <w:rsid w:val="009D71E1"/>
    <w:rsid w:val="009D72C7"/>
    <w:rsid w:val="009D7544"/>
    <w:rsid w:val="009D78F1"/>
    <w:rsid w:val="009E029B"/>
    <w:rsid w:val="009E067A"/>
    <w:rsid w:val="009E1CA0"/>
    <w:rsid w:val="009E2287"/>
    <w:rsid w:val="009E2297"/>
    <w:rsid w:val="009E32AF"/>
    <w:rsid w:val="009E36AF"/>
    <w:rsid w:val="009E3A6F"/>
    <w:rsid w:val="009E3B2E"/>
    <w:rsid w:val="009E4B2A"/>
    <w:rsid w:val="009E4CCC"/>
    <w:rsid w:val="009E5009"/>
    <w:rsid w:val="009E5669"/>
    <w:rsid w:val="009E59E5"/>
    <w:rsid w:val="009E644D"/>
    <w:rsid w:val="009E6D32"/>
    <w:rsid w:val="009E6FB4"/>
    <w:rsid w:val="009E7440"/>
    <w:rsid w:val="009E7F86"/>
    <w:rsid w:val="009F1A74"/>
    <w:rsid w:val="009F1B39"/>
    <w:rsid w:val="009F29C7"/>
    <w:rsid w:val="009F31E7"/>
    <w:rsid w:val="009F35E9"/>
    <w:rsid w:val="009F376A"/>
    <w:rsid w:val="009F3FD2"/>
    <w:rsid w:val="009F5015"/>
    <w:rsid w:val="009F517F"/>
    <w:rsid w:val="009F55CA"/>
    <w:rsid w:val="009F5916"/>
    <w:rsid w:val="009F5E3D"/>
    <w:rsid w:val="009F5ECD"/>
    <w:rsid w:val="009F67B5"/>
    <w:rsid w:val="009F74B3"/>
    <w:rsid w:val="009F74EB"/>
    <w:rsid w:val="009F756E"/>
    <w:rsid w:val="009F7759"/>
    <w:rsid w:val="00A00E29"/>
    <w:rsid w:val="00A01157"/>
    <w:rsid w:val="00A01B03"/>
    <w:rsid w:val="00A028A2"/>
    <w:rsid w:val="00A02C92"/>
    <w:rsid w:val="00A02CF6"/>
    <w:rsid w:val="00A0463D"/>
    <w:rsid w:val="00A04948"/>
    <w:rsid w:val="00A05A02"/>
    <w:rsid w:val="00A06554"/>
    <w:rsid w:val="00A06BBC"/>
    <w:rsid w:val="00A073B5"/>
    <w:rsid w:val="00A07BD9"/>
    <w:rsid w:val="00A10066"/>
    <w:rsid w:val="00A10DFE"/>
    <w:rsid w:val="00A11556"/>
    <w:rsid w:val="00A1188B"/>
    <w:rsid w:val="00A118DE"/>
    <w:rsid w:val="00A119CA"/>
    <w:rsid w:val="00A11A2B"/>
    <w:rsid w:val="00A12012"/>
    <w:rsid w:val="00A1262D"/>
    <w:rsid w:val="00A12A89"/>
    <w:rsid w:val="00A12C53"/>
    <w:rsid w:val="00A12DE5"/>
    <w:rsid w:val="00A1324B"/>
    <w:rsid w:val="00A135A5"/>
    <w:rsid w:val="00A14106"/>
    <w:rsid w:val="00A145C7"/>
    <w:rsid w:val="00A14602"/>
    <w:rsid w:val="00A14AC4"/>
    <w:rsid w:val="00A14BF1"/>
    <w:rsid w:val="00A14D20"/>
    <w:rsid w:val="00A14EB7"/>
    <w:rsid w:val="00A15BA8"/>
    <w:rsid w:val="00A169B0"/>
    <w:rsid w:val="00A16B93"/>
    <w:rsid w:val="00A1720A"/>
    <w:rsid w:val="00A1780C"/>
    <w:rsid w:val="00A17F2B"/>
    <w:rsid w:val="00A204E8"/>
    <w:rsid w:val="00A20AA7"/>
    <w:rsid w:val="00A20E9F"/>
    <w:rsid w:val="00A215D1"/>
    <w:rsid w:val="00A21D0B"/>
    <w:rsid w:val="00A22A30"/>
    <w:rsid w:val="00A23367"/>
    <w:rsid w:val="00A2488B"/>
    <w:rsid w:val="00A24C5F"/>
    <w:rsid w:val="00A25156"/>
    <w:rsid w:val="00A251EA"/>
    <w:rsid w:val="00A26104"/>
    <w:rsid w:val="00A2695D"/>
    <w:rsid w:val="00A26D3A"/>
    <w:rsid w:val="00A27294"/>
    <w:rsid w:val="00A276FA"/>
    <w:rsid w:val="00A30E9B"/>
    <w:rsid w:val="00A31AAB"/>
    <w:rsid w:val="00A31C9E"/>
    <w:rsid w:val="00A31FF2"/>
    <w:rsid w:val="00A32084"/>
    <w:rsid w:val="00A32107"/>
    <w:rsid w:val="00A3210D"/>
    <w:rsid w:val="00A3233D"/>
    <w:rsid w:val="00A323B4"/>
    <w:rsid w:val="00A32DB5"/>
    <w:rsid w:val="00A337FE"/>
    <w:rsid w:val="00A339BD"/>
    <w:rsid w:val="00A3427F"/>
    <w:rsid w:val="00A348E4"/>
    <w:rsid w:val="00A3547F"/>
    <w:rsid w:val="00A356DA"/>
    <w:rsid w:val="00A35F9D"/>
    <w:rsid w:val="00A360DB"/>
    <w:rsid w:val="00A37AC2"/>
    <w:rsid w:val="00A40198"/>
    <w:rsid w:val="00A40C0C"/>
    <w:rsid w:val="00A4238F"/>
    <w:rsid w:val="00A426DF"/>
    <w:rsid w:val="00A42973"/>
    <w:rsid w:val="00A42C40"/>
    <w:rsid w:val="00A4313A"/>
    <w:rsid w:val="00A4321B"/>
    <w:rsid w:val="00A436A3"/>
    <w:rsid w:val="00A4381D"/>
    <w:rsid w:val="00A43DB3"/>
    <w:rsid w:val="00A43DF9"/>
    <w:rsid w:val="00A43E7E"/>
    <w:rsid w:val="00A449E0"/>
    <w:rsid w:val="00A45709"/>
    <w:rsid w:val="00A45D4E"/>
    <w:rsid w:val="00A461FA"/>
    <w:rsid w:val="00A46532"/>
    <w:rsid w:val="00A465C5"/>
    <w:rsid w:val="00A467CC"/>
    <w:rsid w:val="00A46D92"/>
    <w:rsid w:val="00A47687"/>
    <w:rsid w:val="00A50CA0"/>
    <w:rsid w:val="00A51269"/>
    <w:rsid w:val="00A51610"/>
    <w:rsid w:val="00A5287F"/>
    <w:rsid w:val="00A52EA1"/>
    <w:rsid w:val="00A54664"/>
    <w:rsid w:val="00A54874"/>
    <w:rsid w:val="00A555E9"/>
    <w:rsid w:val="00A558B7"/>
    <w:rsid w:val="00A55CC4"/>
    <w:rsid w:val="00A56AD1"/>
    <w:rsid w:val="00A60E52"/>
    <w:rsid w:val="00A614DD"/>
    <w:rsid w:val="00A61C00"/>
    <w:rsid w:val="00A6498A"/>
    <w:rsid w:val="00A64B81"/>
    <w:rsid w:val="00A64E97"/>
    <w:rsid w:val="00A6538D"/>
    <w:rsid w:val="00A65865"/>
    <w:rsid w:val="00A65AD8"/>
    <w:rsid w:val="00A65B42"/>
    <w:rsid w:val="00A65EC5"/>
    <w:rsid w:val="00A6659D"/>
    <w:rsid w:val="00A66C7E"/>
    <w:rsid w:val="00A6792D"/>
    <w:rsid w:val="00A67BF9"/>
    <w:rsid w:val="00A67BFE"/>
    <w:rsid w:val="00A703C3"/>
    <w:rsid w:val="00A70781"/>
    <w:rsid w:val="00A708BC"/>
    <w:rsid w:val="00A70D70"/>
    <w:rsid w:val="00A710C5"/>
    <w:rsid w:val="00A710D3"/>
    <w:rsid w:val="00A712E8"/>
    <w:rsid w:val="00A72312"/>
    <w:rsid w:val="00A723BD"/>
    <w:rsid w:val="00A72711"/>
    <w:rsid w:val="00A7321B"/>
    <w:rsid w:val="00A733F8"/>
    <w:rsid w:val="00A73F22"/>
    <w:rsid w:val="00A7480F"/>
    <w:rsid w:val="00A74B1C"/>
    <w:rsid w:val="00A753FF"/>
    <w:rsid w:val="00A75D77"/>
    <w:rsid w:val="00A76E12"/>
    <w:rsid w:val="00A76E1F"/>
    <w:rsid w:val="00A76F3F"/>
    <w:rsid w:val="00A773DE"/>
    <w:rsid w:val="00A77559"/>
    <w:rsid w:val="00A77671"/>
    <w:rsid w:val="00A77A1E"/>
    <w:rsid w:val="00A77F12"/>
    <w:rsid w:val="00A80374"/>
    <w:rsid w:val="00A806CE"/>
    <w:rsid w:val="00A80A5C"/>
    <w:rsid w:val="00A80DBA"/>
    <w:rsid w:val="00A81527"/>
    <w:rsid w:val="00A8192F"/>
    <w:rsid w:val="00A81EC6"/>
    <w:rsid w:val="00A82028"/>
    <w:rsid w:val="00A82A62"/>
    <w:rsid w:val="00A83115"/>
    <w:rsid w:val="00A832C4"/>
    <w:rsid w:val="00A8351B"/>
    <w:rsid w:val="00A841AA"/>
    <w:rsid w:val="00A8449C"/>
    <w:rsid w:val="00A8545C"/>
    <w:rsid w:val="00A85A5A"/>
    <w:rsid w:val="00A861BA"/>
    <w:rsid w:val="00A86C88"/>
    <w:rsid w:val="00A87487"/>
    <w:rsid w:val="00A8771E"/>
    <w:rsid w:val="00A878AE"/>
    <w:rsid w:val="00A87F33"/>
    <w:rsid w:val="00A9025A"/>
    <w:rsid w:val="00A904C1"/>
    <w:rsid w:val="00A905F4"/>
    <w:rsid w:val="00A907BD"/>
    <w:rsid w:val="00A912E4"/>
    <w:rsid w:val="00A91B15"/>
    <w:rsid w:val="00A91D81"/>
    <w:rsid w:val="00A93994"/>
    <w:rsid w:val="00A93AFF"/>
    <w:rsid w:val="00A93E04"/>
    <w:rsid w:val="00A93F36"/>
    <w:rsid w:val="00A94170"/>
    <w:rsid w:val="00A944F8"/>
    <w:rsid w:val="00A946C5"/>
    <w:rsid w:val="00A94A39"/>
    <w:rsid w:val="00A95172"/>
    <w:rsid w:val="00A953B2"/>
    <w:rsid w:val="00A953FE"/>
    <w:rsid w:val="00A97102"/>
    <w:rsid w:val="00A97270"/>
    <w:rsid w:val="00AA0967"/>
    <w:rsid w:val="00AA171C"/>
    <w:rsid w:val="00AA193D"/>
    <w:rsid w:val="00AA1E27"/>
    <w:rsid w:val="00AA229F"/>
    <w:rsid w:val="00AA2831"/>
    <w:rsid w:val="00AA2974"/>
    <w:rsid w:val="00AA3887"/>
    <w:rsid w:val="00AA39B6"/>
    <w:rsid w:val="00AA3FE5"/>
    <w:rsid w:val="00AA4331"/>
    <w:rsid w:val="00AA4535"/>
    <w:rsid w:val="00AA47DD"/>
    <w:rsid w:val="00AA4D43"/>
    <w:rsid w:val="00AA4F71"/>
    <w:rsid w:val="00AA5A2C"/>
    <w:rsid w:val="00AA5FBB"/>
    <w:rsid w:val="00AA6053"/>
    <w:rsid w:val="00AA62D3"/>
    <w:rsid w:val="00AA68AD"/>
    <w:rsid w:val="00AA710F"/>
    <w:rsid w:val="00AA7123"/>
    <w:rsid w:val="00AA75F2"/>
    <w:rsid w:val="00AA7AE0"/>
    <w:rsid w:val="00AB0C7C"/>
    <w:rsid w:val="00AB11EC"/>
    <w:rsid w:val="00AB2178"/>
    <w:rsid w:val="00AB2336"/>
    <w:rsid w:val="00AB26B3"/>
    <w:rsid w:val="00AB324A"/>
    <w:rsid w:val="00AB3D0C"/>
    <w:rsid w:val="00AB3E42"/>
    <w:rsid w:val="00AB47BD"/>
    <w:rsid w:val="00AB484E"/>
    <w:rsid w:val="00AB5070"/>
    <w:rsid w:val="00AB53E5"/>
    <w:rsid w:val="00AB5C33"/>
    <w:rsid w:val="00AB5D4B"/>
    <w:rsid w:val="00AB6106"/>
    <w:rsid w:val="00AB71BE"/>
    <w:rsid w:val="00AB76DD"/>
    <w:rsid w:val="00AB7C1E"/>
    <w:rsid w:val="00AC0737"/>
    <w:rsid w:val="00AC0BB5"/>
    <w:rsid w:val="00AC0C0E"/>
    <w:rsid w:val="00AC0ED7"/>
    <w:rsid w:val="00AC1312"/>
    <w:rsid w:val="00AC14A7"/>
    <w:rsid w:val="00AC2097"/>
    <w:rsid w:val="00AC26A9"/>
    <w:rsid w:val="00AC2A51"/>
    <w:rsid w:val="00AC3186"/>
    <w:rsid w:val="00AC36AC"/>
    <w:rsid w:val="00AC3B3D"/>
    <w:rsid w:val="00AC3DF4"/>
    <w:rsid w:val="00AC426A"/>
    <w:rsid w:val="00AC4572"/>
    <w:rsid w:val="00AC4EA8"/>
    <w:rsid w:val="00AC547D"/>
    <w:rsid w:val="00AC5922"/>
    <w:rsid w:val="00AC5E01"/>
    <w:rsid w:val="00AC62E0"/>
    <w:rsid w:val="00AC636D"/>
    <w:rsid w:val="00AC6643"/>
    <w:rsid w:val="00AC6A09"/>
    <w:rsid w:val="00AC71DE"/>
    <w:rsid w:val="00AC79F2"/>
    <w:rsid w:val="00AC7F7C"/>
    <w:rsid w:val="00AD0348"/>
    <w:rsid w:val="00AD0937"/>
    <w:rsid w:val="00AD0B9A"/>
    <w:rsid w:val="00AD0BC3"/>
    <w:rsid w:val="00AD207C"/>
    <w:rsid w:val="00AD315A"/>
    <w:rsid w:val="00AD31C4"/>
    <w:rsid w:val="00AD391D"/>
    <w:rsid w:val="00AD4692"/>
    <w:rsid w:val="00AD4718"/>
    <w:rsid w:val="00AD4E63"/>
    <w:rsid w:val="00AD578E"/>
    <w:rsid w:val="00AD5C26"/>
    <w:rsid w:val="00AD5D97"/>
    <w:rsid w:val="00AD5DD4"/>
    <w:rsid w:val="00AD6407"/>
    <w:rsid w:val="00AD683D"/>
    <w:rsid w:val="00AD71B9"/>
    <w:rsid w:val="00AD79A1"/>
    <w:rsid w:val="00AD7E42"/>
    <w:rsid w:val="00AD7FAA"/>
    <w:rsid w:val="00AD7FE0"/>
    <w:rsid w:val="00AE02A9"/>
    <w:rsid w:val="00AE0335"/>
    <w:rsid w:val="00AE085C"/>
    <w:rsid w:val="00AE0FB5"/>
    <w:rsid w:val="00AE199B"/>
    <w:rsid w:val="00AE1C85"/>
    <w:rsid w:val="00AE227D"/>
    <w:rsid w:val="00AE3C43"/>
    <w:rsid w:val="00AE47F3"/>
    <w:rsid w:val="00AE6520"/>
    <w:rsid w:val="00AE6682"/>
    <w:rsid w:val="00AE733A"/>
    <w:rsid w:val="00AE7391"/>
    <w:rsid w:val="00AF015B"/>
    <w:rsid w:val="00AF0362"/>
    <w:rsid w:val="00AF0538"/>
    <w:rsid w:val="00AF0726"/>
    <w:rsid w:val="00AF0DEA"/>
    <w:rsid w:val="00AF188B"/>
    <w:rsid w:val="00AF2351"/>
    <w:rsid w:val="00AF259E"/>
    <w:rsid w:val="00AF2674"/>
    <w:rsid w:val="00AF2A4A"/>
    <w:rsid w:val="00AF36DE"/>
    <w:rsid w:val="00AF38CE"/>
    <w:rsid w:val="00AF3F5F"/>
    <w:rsid w:val="00AF422A"/>
    <w:rsid w:val="00AF422D"/>
    <w:rsid w:val="00AF4832"/>
    <w:rsid w:val="00AF49BD"/>
    <w:rsid w:val="00AF58F5"/>
    <w:rsid w:val="00AF5E29"/>
    <w:rsid w:val="00AF7295"/>
    <w:rsid w:val="00AF7AFC"/>
    <w:rsid w:val="00AF7BDF"/>
    <w:rsid w:val="00B00730"/>
    <w:rsid w:val="00B0084C"/>
    <w:rsid w:val="00B00A0B"/>
    <w:rsid w:val="00B00A3F"/>
    <w:rsid w:val="00B00BB5"/>
    <w:rsid w:val="00B01389"/>
    <w:rsid w:val="00B018FD"/>
    <w:rsid w:val="00B02B57"/>
    <w:rsid w:val="00B03358"/>
    <w:rsid w:val="00B0403E"/>
    <w:rsid w:val="00B04149"/>
    <w:rsid w:val="00B0469A"/>
    <w:rsid w:val="00B048B5"/>
    <w:rsid w:val="00B05172"/>
    <w:rsid w:val="00B05CA8"/>
    <w:rsid w:val="00B05D88"/>
    <w:rsid w:val="00B0602A"/>
    <w:rsid w:val="00B07143"/>
    <w:rsid w:val="00B07838"/>
    <w:rsid w:val="00B0798C"/>
    <w:rsid w:val="00B104CD"/>
    <w:rsid w:val="00B10532"/>
    <w:rsid w:val="00B10974"/>
    <w:rsid w:val="00B11661"/>
    <w:rsid w:val="00B1206B"/>
    <w:rsid w:val="00B12F48"/>
    <w:rsid w:val="00B137A0"/>
    <w:rsid w:val="00B13A7B"/>
    <w:rsid w:val="00B1461C"/>
    <w:rsid w:val="00B15418"/>
    <w:rsid w:val="00B15FF3"/>
    <w:rsid w:val="00B16C36"/>
    <w:rsid w:val="00B17492"/>
    <w:rsid w:val="00B174B2"/>
    <w:rsid w:val="00B20721"/>
    <w:rsid w:val="00B21235"/>
    <w:rsid w:val="00B21806"/>
    <w:rsid w:val="00B219ED"/>
    <w:rsid w:val="00B2206E"/>
    <w:rsid w:val="00B225F0"/>
    <w:rsid w:val="00B2356F"/>
    <w:rsid w:val="00B2391E"/>
    <w:rsid w:val="00B24010"/>
    <w:rsid w:val="00B242FF"/>
    <w:rsid w:val="00B248D9"/>
    <w:rsid w:val="00B2499C"/>
    <w:rsid w:val="00B24E0C"/>
    <w:rsid w:val="00B24E6E"/>
    <w:rsid w:val="00B25207"/>
    <w:rsid w:val="00B253B0"/>
    <w:rsid w:val="00B253E0"/>
    <w:rsid w:val="00B26157"/>
    <w:rsid w:val="00B268C4"/>
    <w:rsid w:val="00B26E56"/>
    <w:rsid w:val="00B27069"/>
    <w:rsid w:val="00B274D2"/>
    <w:rsid w:val="00B2787E"/>
    <w:rsid w:val="00B27C84"/>
    <w:rsid w:val="00B3005A"/>
    <w:rsid w:val="00B302A8"/>
    <w:rsid w:val="00B305B4"/>
    <w:rsid w:val="00B305D1"/>
    <w:rsid w:val="00B3115D"/>
    <w:rsid w:val="00B31235"/>
    <w:rsid w:val="00B326B4"/>
    <w:rsid w:val="00B326CC"/>
    <w:rsid w:val="00B32913"/>
    <w:rsid w:val="00B338B6"/>
    <w:rsid w:val="00B34420"/>
    <w:rsid w:val="00B344BD"/>
    <w:rsid w:val="00B34786"/>
    <w:rsid w:val="00B35557"/>
    <w:rsid w:val="00B35942"/>
    <w:rsid w:val="00B35BE2"/>
    <w:rsid w:val="00B35FAC"/>
    <w:rsid w:val="00B36098"/>
    <w:rsid w:val="00B36596"/>
    <w:rsid w:val="00B365C0"/>
    <w:rsid w:val="00B36F25"/>
    <w:rsid w:val="00B37351"/>
    <w:rsid w:val="00B37FAA"/>
    <w:rsid w:val="00B40C3E"/>
    <w:rsid w:val="00B412D4"/>
    <w:rsid w:val="00B41433"/>
    <w:rsid w:val="00B41DA5"/>
    <w:rsid w:val="00B42970"/>
    <w:rsid w:val="00B43150"/>
    <w:rsid w:val="00B432E1"/>
    <w:rsid w:val="00B43471"/>
    <w:rsid w:val="00B43B10"/>
    <w:rsid w:val="00B43F79"/>
    <w:rsid w:val="00B444F7"/>
    <w:rsid w:val="00B44CF5"/>
    <w:rsid w:val="00B454A1"/>
    <w:rsid w:val="00B45869"/>
    <w:rsid w:val="00B45BE1"/>
    <w:rsid w:val="00B46BDD"/>
    <w:rsid w:val="00B46C6D"/>
    <w:rsid w:val="00B46EB4"/>
    <w:rsid w:val="00B4755C"/>
    <w:rsid w:val="00B476F7"/>
    <w:rsid w:val="00B512C5"/>
    <w:rsid w:val="00B52854"/>
    <w:rsid w:val="00B5317D"/>
    <w:rsid w:val="00B53195"/>
    <w:rsid w:val="00B53252"/>
    <w:rsid w:val="00B53AF4"/>
    <w:rsid w:val="00B541A4"/>
    <w:rsid w:val="00B5450A"/>
    <w:rsid w:val="00B555CA"/>
    <w:rsid w:val="00B5575A"/>
    <w:rsid w:val="00B55E31"/>
    <w:rsid w:val="00B56513"/>
    <w:rsid w:val="00B570CD"/>
    <w:rsid w:val="00B572CC"/>
    <w:rsid w:val="00B57BA8"/>
    <w:rsid w:val="00B57C21"/>
    <w:rsid w:val="00B57C62"/>
    <w:rsid w:val="00B6001A"/>
    <w:rsid w:val="00B61A43"/>
    <w:rsid w:val="00B624EE"/>
    <w:rsid w:val="00B6278A"/>
    <w:rsid w:val="00B63F60"/>
    <w:rsid w:val="00B643BA"/>
    <w:rsid w:val="00B6539A"/>
    <w:rsid w:val="00B65B6B"/>
    <w:rsid w:val="00B65BE0"/>
    <w:rsid w:val="00B665D5"/>
    <w:rsid w:val="00B674D7"/>
    <w:rsid w:val="00B70067"/>
    <w:rsid w:val="00B7079E"/>
    <w:rsid w:val="00B7103E"/>
    <w:rsid w:val="00B71D88"/>
    <w:rsid w:val="00B732EC"/>
    <w:rsid w:val="00B73397"/>
    <w:rsid w:val="00B74603"/>
    <w:rsid w:val="00B746CD"/>
    <w:rsid w:val="00B74CA2"/>
    <w:rsid w:val="00B750BB"/>
    <w:rsid w:val="00B75B18"/>
    <w:rsid w:val="00B75F6D"/>
    <w:rsid w:val="00B76009"/>
    <w:rsid w:val="00B76AC9"/>
    <w:rsid w:val="00B76BE0"/>
    <w:rsid w:val="00B76CE4"/>
    <w:rsid w:val="00B7781E"/>
    <w:rsid w:val="00B77870"/>
    <w:rsid w:val="00B77EC4"/>
    <w:rsid w:val="00B8018C"/>
    <w:rsid w:val="00B80A80"/>
    <w:rsid w:val="00B80E75"/>
    <w:rsid w:val="00B81418"/>
    <w:rsid w:val="00B8177A"/>
    <w:rsid w:val="00B82BE0"/>
    <w:rsid w:val="00B83013"/>
    <w:rsid w:val="00B843F0"/>
    <w:rsid w:val="00B84E36"/>
    <w:rsid w:val="00B851A4"/>
    <w:rsid w:val="00B85BE1"/>
    <w:rsid w:val="00B86077"/>
    <w:rsid w:val="00B8644C"/>
    <w:rsid w:val="00B865ED"/>
    <w:rsid w:val="00B87384"/>
    <w:rsid w:val="00B87CAE"/>
    <w:rsid w:val="00B87FAF"/>
    <w:rsid w:val="00B90768"/>
    <w:rsid w:val="00B90B1D"/>
    <w:rsid w:val="00B90BC6"/>
    <w:rsid w:val="00B90FCA"/>
    <w:rsid w:val="00B9108A"/>
    <w:rsid w:val="00B91232"/>
    <w:rsid w:val="00B92355"/>
    <w:rsid w:val="00B93075"/>
    <w:rsid w:val="00B93268"/>
    <w:rsid w:val="00B93535"/>
    <w:rsid w:val="00B93614"/>
    <w:rsid w:val="00B93F8E"/>
    <w:rsid w:val="00B94F2E"/>
    <w:rsid w:val="00B9537F"/>
    <w:rsid w:val="00B95929"/>
    <w:rsid w:val="00B9601C"/>
    <w:rsid w:val="00B9660A"/>
    <w:rsid w:val="00B96C53"/>
    <w:rsid w:val="00B9704D"/>
    <w:rsid w:val="00B972F8"/>
    <w:rsid w:val="00B97573"/>
    <w:rsid w:val="00B97E66"/>
    <w:rsid w:val="00BA0D6C"/>
    <w:rsid w:val="00BA0E5A"/>
    <w:rsid w:val="00BA1486"/>
    <w:rsid w:val="00BA18A8"/>
    <w:rsid w:val="00BA21FC"/>
    <w:rsid w:val="00BA2AE3"/>
    <w:rsid w:val="00BA39A3"/>
    <w:rsid w:val="00BA40D1"/>
    <w:rsid w:val="00BA4B56"/>
    <w:rsid w:val="00BA51CC"/>
    <w:rsid w:val="00BA5539"/>
    <w:rsid w:val="00BA55A5"/>
    <w:rsid w:val="00BA591D"/>
    <w:rsid w:val="00BA592C"/>
    <w:rsid w:val="00BA5BE2"/>
    <w:rsid w:val="00BA5CA5"/>
    <w:rsid w:val="00BA6844"/>
    <w:rsid w:val="00BA6865"/>
    <w:rsid w:val="00BB1246"/>
    <w:rsid w:val="00BB1772"/>
    <w:rsid w:val="00BB18E8"/>
    <w:rsid w:val="00BB1ADB"/>
    <w:rsid w:val="00BB1CAA"/>
    <w:rsid w:val="00BB225C"/>
    <w:rsid w:val="00BB2669"/>
    <w:rsid w:val="00BB27B6"/>
    <w:rsid w:val="00BB2E90"/>
    <w:rsid w:val="00BB3929"/>
    <w:rsid w:val="00BB3CC1"/>
    <w:rsid w:val="00BB42ED"/>
    <w:rsid w:val="00BB462E"/>
    <w:rsid w:val="00BB4721"/>
    <w:rsid w:val="00BB5162"/>
    <w:rsid w:val="00BB51B8"/>
    <w:rsid w:val="00BB5262"/>
    <w:rsid w:val="00BB5A97"/>
    <w:rsid w:val="00BB5E46"/>
    <w:rsid w:val="00BB6074"/>
    <w:rsid w:val="00BB6D9C"/>
    <w:rsid w:val="00BB6E00"/>
    <w:rsid w:val="00BB7B8C"/>
    <w:rsid w:val="00BC0208"/>
    <w:rsid w:val="00BC044F"/>
    <w:rsid w:val="00BC0527"/>
    <w:rsid w:val="00BC23F6"/>
    <w:rsid w:val="00BC255E"/>
    <w:rsid w:val="00BC2563"/>
    <w:rsid w:val="00BC2BFE"/>
    <w:rsid w:val="00BC305D"/>
    <w:rsid w:val="00BC39EC"/>
    <w:rsid w:val="00BC3FB0"/>
    <w:rsid w:val="00BC459B"/>
    <w:rsid w:val="00BC4952"/>
    <w:rsid w:val="00BC554F"/>
    <w:rsid w:val="00BC58F7"/>
    <w:rsid w:val="00BC5A57"/>
    <w:rsid w:val="00BC640B"/>
    <w:rsid w:val="00BC6A80"/>
    <w:rsid w:val="00BC6CE4"/>
    <w:rsid w:val="00BD0709"/>
    <w:rsid w:val="00BD0EC4"/>
    <w:rsid w:val="00BD136F"/>
    <w:rsid w:val="00BD19C4"/>
    <w:rsid w:val="00BD1BB8"/>
    <w:rsid w:val="00BD1D71"/>
    <w:rsid w:val="00BD1F98"/>
    <w:rsid w:val="00BD1FC1"/>
    <w:rsid w:val="00BD2221"/>
    <w:rsid w:val="00BD2400"/>
    <w:rsid w:val="00BD2562"/>
    <w:rsid w:val="00BD2A76"/>
    <w:rsid w:val="00BD3596"/>
    <w:rsid w:val="00BD3A5A"/>
    <w:rsid w:val="00BD3ABF"/>
    <w:rsid w:val="00BD4307"/>
    <w:rsid w:val="00BD464F"/>
    <w:rsid w:val="00BD48E7"/>
    <w:rsid w:val="00BD4DCF"/>
    <w:rsid w:val="00BD4EF4"/>
    <w:rsid w:val="00BD4FD8"/>
    <w:rsid w:val="00BD63E9"/>
    <w:rsid w:val="00BD6487"/>
    <w:rsid w:val="00BD6B8C"/>
    <w:rsid w:val="00BD6D27"/>
    <w:rsid w:val="00BE052E"/>
    <w:rsid w:val="00BE0881"/>
    <w:rsid w:val="00BE12CC"/>
    <w:rsid w:val="00BE1446"/>
    <w:rsid w:val="00BE1482"/>
    <w:rsid w:val="00BE1751"/>
    <w:rsid w:val="00BE2965"/>
    <w:rsid w:val="00BE2D13"/>
    <w:rsid w:val="00BE3526"/>
    <w:rsid w:val="00BE46E1"/>
    <w:rsid w:val="00BE54BC"/>
    <w:rsid w:val="00BE5FFF"/>
    <w:rsid w:val="00BE602E"/>
    <w:rsid w:val="00BE60A3"/>
    <w:rsid w:val="00BE6293"/>
    <w:rsid w:val="00BE6417"/>
    <w:rsid w:val="00BE6468"/>
    <w:rsid w:val="00BE65F0"/>
    <w:rsid w:val="00BE70C0"/>
    <w:rsid w:val="00BE79A4"/>
    <w:rsid w:val="00BE7C6F"/>
    <w:rsid w:val="00BE7CFD"/>
    <w:rsid w:val="00BE7D6B"/>
    <w:rsid w:val="00BF0461"/>
    <w:rsid w:val="00BF06A6"/>
    <w:rsid w:val="00BF11B8"/>
    <w:rsid w:val="00BF1775"/>
    <w:rsid w:val="00BF17FD"/>
    <w:rsid w:val="00BF1D2F"/>
    <w:rsid w:val="00BF22B4"/>
    <w:rsid w:val="00BF241B"/>
    <w:rsid w:val="00BF2542"/>
    <w:rsid w:val="00BF3CC5"/>
    <w:rsid w:val="00BF4056"/>
    <w:rsid w:val="00BF405E"/>
    <w:rsid w:val="00BF447E"/>
    <w:rsid w:val="00BF4588"/>
    <w:rsid w:val="00BF4869"/>
    <w:rsid w:val="00BF48B3"/>
    <w:rsid w:val="00BF4AA7"/>
    <w:rsid w:val="00BF5934"/>
    <w:rsid w:val="00BF641F"/>
    <w:rsid w:val="00BF6B06"/>
    <w:rsid w:val="00BF6B63"/>
    <w:rsid w:val="00BF6C61"/>
    <w:rsid w:val="00BF71A4"/>
    <w:rsid w:val="00BF7C70"/>
    <w:rsid w:val="00C0012E"/>
    <w:rsid w:val="00C00F3C"/>
    <w:rsid w:val="00C013E2"/>
    <w:rsid w:val="00C019C3"/>
    <w:rsid w:val="00C01EF2"/>
    <w:rsid w:val="00C02592"/>
    <w:rsid w:val="00C02C55"/>
    <w:rsid w:val="00C030B9"/>
    <w:rsid w:val="00C0341B"/>
    <w:rsid w:val="00C03CCC"/>
    <w:rsid w:val="00C040A4"/>
    <w:rsid w:val="00C041EB"/>
    <w:rsid w:val="00C04777"/>
    <w:rsid w:val="00C04D4C"/>
    <w:rsid w:val="00C05673"/>
    <w:rsid w:val="00C05862"/>
    <w:rsid w:val="00C05A4B"/>
    <w:rsid w:val="00C05D58"/>
    <w:rsid w:val="00C05D64"/>
    <w:rsid w:val="00C06BD3"/>
    <w:rsid w:val="00C06CB5"/>
    <w:rsid w:val="00C06EE3"/>
    <w:rsid w:val="00C07096"/>
    <w:rsid w:val="00C079DC"/>
    <w:rsid w:val="00C07E84"/>
    <w:rsid w:val="00C10310"/>
    <w:rsid w:val="00C10AA3"/>
    <w:rsid w:val="00C10FA3"/>
    <w:rsid w:val="00C1177E"/>
    <w:rsid w:val="00C11898"/>
    <w:rsid w:val="00C11CC6"/>
    <w:rsid w:val="00C11ED9"/>
    <w:rsid w:val="00C127C1"/>
    <w:rsid w:val="00C1295C"/>
    <w:rsid w:val="00C12BC1"/>
    <w:rsid w:val="00C12E39"/>
    <w:rsid w:val="00C136E3"/>
    <w:rsid w:val="00C1391C"/>
    <w:rsid w:val="00C13DD1"/>
    <w:rsid w:val="00C13EF7"/>
    <w:rsid w:val="00C13FBE"/>
    <w:rsid w:val="00C14A1C"/>
    <w:rsid w:val="00C14B23"/>
    <w:rsid w:val="00C15038"/>
    <w:rsid w:val="00C15724"/>
    <w:rsid w:val="00C161A1"/>
    <w:rsid w:val="00C166F0"/>
    <w:rsid w:val="00C16708"/>
    <w:rsid w:val="00C17C5C"/>
    <w:rsid w:val="00C17E1A"/>
    <w:rsid w:val="00C208DF"/>
    <w:rsid w:val="00C209A5"/>
    <w:rsid w:val="00C20AAA"/>
    <w:rsid w:val="00C2101A"/>
    <w:rsid w:val="00C227F1"/>
    <w:rsid w:val="00C229C9"/>
    <w:rsid w:val="00C22A2B"/>
    <w:rsid w:val="00C22F38"/>
    <w:rsid w:val="00C22F3A"/>
    <w:rsid w:val="00C22FF1"/>
    <w:rsid w:val="00C230C7"/>
    <w:rsid w:val="00C233BE"/>
    <w:rsid w:val="00C235C6"/>
    <w:rsid w:val="00C237A5"/>
    <w:rsid w:val="00C238B8"/>
    <w:rsid w:val="00C24462"/>
    <w:rsid w:val="00C24DC1"/>
    <w:rsid w:val="00C24FF4"/>
    <w:rsid w:val="00C25682"/>
    <w:rsid w:val="00C258E0"/>
    <w:rsid w:val="00C25927"/>
    <w:rsid w:val="00C26FBC"/>
    <w:rsid w:val="00C307DA"/>
    <w:rsid w:val="00C318A3"/>
    <w:rsid w:val="00C31D81"/>
    <w:rsid w:val="00C331AB"/>
    <w:rsid w:val="00C33B33"/>
    <w:rsid w:val="00C33C4D"/>
    <w:rsid w:val="00C34123"/>
    <w:rsid w:val="00C345DF"/>
    <w:rsid w:val="00C35347"/>
    <w:rsid w:val="00C35B3E"/>
    <w:rsid w:val="00C35CE9"/>
    <w:rsid w:val="00C36214"/>
    <w:rsid w:val="00C365BE"/>
    <w:rsid w:val="00C36E1B"/>
    <w:rsid w:val="00C40550"/>
    <w:rsid w:val="00C40937"/>
    <w:rsid w:val="00C41635"/>
    <w:rsid w:val="00C41698"/>
    <w:rsid w:val="00C42291"/>
    <w:rsid w:val="00C422AA"/>
    <w:rsid w:val="00C42ABE"/>
    <w:rsid w:val="00C430ED"/>
    <w:rsid w:val="00C439FF"/>
    <w:rsid w:val="00C44029"/>
    <w:rsid w:val="00C44038"/>
    <w:rsid w:val="00C44219"/>
    <w:rsid w:val="00C44359"/>
    <w:rsid w:val="00C44B3E"/>
    <w:rsid w:val="00C44C00"/>
    <w:rsid w:val="00C45224"/>
    <w:rsid w:val="00C45400"/>
    <w:rsid w:val="00C45C22"/>
    <w:rsid w:val="00C469FB"/>
    <w:rsid w:val="00C479C0"/>
    <w:rsid w:val="00C47A5D"/>
    <w:rsid w:val="00C47F4A"/>
    <w:rsid w:val="00C50035"/>
    <w:rsid w:val="00C5090E"/>
    <w:rsid w:val="00C51338"/>
    <w:rsid w:val="00C53DF8"/>
    <w:rsid w:val="00C53EB1"/>
    <w:rsid w:val="00C5425F"/>
    <w:rsid w:val="00C54BCE"/>
    <w:rsid w:val="00C54D43"/>
    <w:rsid w:val="00C55290"/>
    <w:rsid w:val="00C55353"/>
    <w:rsid w:val="00C55BA7"/>
    <w:rsid w:val="00C55F9E"/>
    <w:rsid w:val="00C56826"/>
    <w:rsid w:val="00C56897"/>
    <w:rsid w:val="00C56F8C"/>
    <w:rsid w:val="00C57281"/>
    <w:rsid w:val="00C57F2E"/>
    <w:rsid w:val="00C60257"/>
    <w:rsid w:val="00C60E50"/>
    <w:rsid w:val="00C6193D"/>
    <w:rsid w:val="00C61FB2"/>
    <w:rsid w:val="00C620F6"/>
    <w:rsid w:val="00C62454"/>
    <w:rsid w:val="00C624BD"/>
    <w:rsid w:val="00C62639"/>
    <w:rsid w:val="00C62A50"/>
    <w:rsid w:val="00C62F24"/>
    <w:rsid w:val="00C6304E"/>
    <w:rsid w:val="00C6348F"/>
    <w:rsid w:val="00C6355F"/>
    <w:rsid w:val="00C63FD2"/>
    <w:rsid w:val="00C64430"/>
    <w:rsid w:val="00C645B8"/>
    <w:rsid w:val="00C6469D"/>
    <w:rsid w:val="00C646BE"/>
    <w:rsid w:val="00C654CF"/>
    <w:rsid w:val="00C65FB9"/>
    <w:rsid w:val="00C661F9"/>
    <w:rsid w:val="00C6628D"/>
    <w:rsid w:val="00C66CEC"/>
    <w:rsid w:val="00C66EB6"/>
    <w:rsid w:val="00C671C0"/>
    <w:rsid w:val="00C715F3"/>
    <w:rsid w:val="00C71835"/>
    <w:rsid w:val="00C726C7"/>
    <w:rsid w:val="00C73054"/>
    <w:rsid w:val="00C7329F"/>
    <w:rsid w:val="00C73F8F"/>
    <w:rsid w:val="00C74648"/>
    <w:rsid w:val="00C7489A"/>
    <w:rsid w:val="00C75200"/>
    <w:rsid w:val="00C7571D"/>
    <w:rsid w:val="00C764ED"/>
    <w:rsid w:val="00C766E3"/>
    <w:rsid w:val="00C76929"/>
    <w:rsid w:val="00C76A11"/>
    <w:rsid w:val="00C776D3"/>
    <w:rsid w:val="00C77950"/>
    <w:rsid w:val="00C77985"/>
    <w:rsid w:val="00C8041C"/>
    <w:rsid w:val="00C80480"/>
    <w:rsid w:val="00C80BB4"/>
    <w:rsid w:val="00C80CDB"/>
    <w:rsid w:val="00C80D2D"/>
    <w:rsid w:val="00C81038"/>
    <w:rsid w:val="00C81330"/>
    <w:rsid w:val="00C81E2E"/>
    <w:rsid w:val="00C8212E"/>
    <w:rsid w:val="00C824BE"/>
    <w:rsid w:val="00C82C4B"/>
    <w:rsid w:val="00C845C6"/>
    <w:rsid w:val="00C852B9"/>
    <w:rsid w:val="00C86313"/>
    <w:rsid w:val="00C863B9"/>
    <w:rsid w:val="00C877EC"/>
    <w:rsid w:val="00C9197F"/>
    <w:rsid w:val="00C91A28"/>
    <w:rsid w:val="00C91FB0"/>
    <w:rsid w:val="00C936D3"/>
    <w:rsid w:val="00C9380A"/>
    <w:rsid w:val="00C93843"/>
    <w:rsid w:val="00C93967"/>
    <w:rsid w:val="00C940BD"/>
    <w:rsid w:val="00C94701"/>
    <w:rsid w:val="00C952FF"/>
    <w:rsid w:val="00C95F79"/>
    <w:rsid w:val="00C960E8"/>
    <w:rsid w:val="00C9628E"/>
    <w:rsid w:val="00C965D9"/>
    <w:rsid w:val="00C966D1"/>
    <w:rsid w:val="00C96796"/>
    <w:rsid w:val="00C97034"/>
    <w:rsid w:val="00C97261"/>
    <w:rsid w:val="00CA0233"/>
    <w:rsid w:val="00CA0560"/>
    <w:rsid w:val="00CA0EB1"/>
    <w:rsid w:val="00CA1004"/>
    <w:rsid w:val="00CA1AE4"/>
    <w:rsid w:val="00CA1F5F"/>
    <w:rsid w:val="00CA2800"/>
    <w:rsid w:val="00CA2A24"/>
    <w:rsid w:val="00CA2A94"/>
    <w:rsid w:val="00CA2E8A"/>
    <w:rsid w:val="00CA300B"/>
    <w:rsid w:val="00CA42D5"/>
    <w:rsid w:val="00CA4458"/>
    <w:rsid w:val="00CA45AD"/>
    <w:rsid w:val="00CA45C8"/>
    <w:rsid w:val="00CA5798"/>
    <w:rsid w:val="00CA5AF6"/>
    <w:rsid w:val="00CA6D14"/>
    <w:rsid w:val="00CA730F"/>
    <w:rsid w:val="00CA7F0A"/>
    <w:rsid w:val="00CB03EE"/>
    <w:rsid w:val="00CB05A0"/>
    <w:rsid w:val="00CB0809"/>
    <w:rsid w:val="00CB090C"/>
    <w:rsid w:val="00CB0D7C"/>
    <w:rsid w:val="00CB1105"/>
    <w:rsid w:val="00CB204E"/>
    <w:rsid w:val="00CB2CE1"/>
    <w:rsid w:val="00CB3456"/>
    <w:rsid w:val="00CB3F0A"/>
    <w:rsid w:val="00CB416C"/>
    <w:rsid w:val="00CB4931"/>
    <w:rsid w:val="00CB513A"/>
    <w:rsid w:val="00CB5D83"/>
    <w:rsid w:val="00CB5F22"/>
    <w:rsid w:val="00CB623C"/>
    <w:rsid w:val="00CB660D"/>
    <w:rsid w:val="00CB666F"/>
    <w:rsid w:val="00CB71AD"/>
    <w:rsid w:val="00CB721F"/>
    <w:rsid w:val="00CB753E"/>
    <w:rsid w:val="00CB75A7"/>
    <w:rsid w:val="00CB7786"/>
    <w:rsid w:val="00CB7B42"/>
    <w:rsid w:val="00CC045B"/>
    <w:rsid w:val="00CC1512"/>
    <w:rsid w:val="00CC167D"/>
    <w:rsid w:val="00CC1D2B"/>
    <w:rsid w:val="00CC3D96"/>
    <w:rsid w:val="00CC421E"/>
    <w:rsid w:val="00CC4C2C"/>
    <w:rsid w:val="00CC5527"/>
    <w:rsid w:val="00CC55D1"/>
    <w:rsid w:val="00CC5A36"/>
    <w:rsid w:val="00CC5C58"/>
    <w:rsid w:val="00CC6D83"/>
    <w:rsid w:val="00CC76D6"/>
    <w:rsid w:val="00CD033F"/>
    <w:rsid w:val="00CD081A"/>
    <w:rsid w:val="00CD0CDC"/>
    <w:rsid w:val="00CD123B"/>
    <w:rsid w:val="00CD135D"/>
    <w:rsid w:val="00CD156B"/>
    <w:rsid w:val="00CD23AC"/>
    <w:rsid w:val="00CD27DB"/>
    <w:rsid w:val="00CD2FE8"/>
    <w:rsid w:val="00CD3015"/>
    <w:rsid w:val="00CD3C6B"/>
    <w:rsid w:val="00CD47B2"/>
    <w:rsid w:val="00CD4A87"/>
    <w:rsid w:val="00CD4BDD"/>
    <w:rsid w:val="00CD4FBC"/>
    <w:rsid w:val="00CD5405"/>
    <w:rsid w:val="00CD57F3"/>
    <w:rsid w:val="00CD5968"/>
    <w:rsid w:val="00CD5C2E"/>
    <w:rsid w:val="00CD712F"/>
    <w:rsid w:val="00CD7131"/>
    <w:rsid w:val="00CD7BDA"/>
    <w:rsid w:val="00CE0388"/>
    <w:rsid w:val="00CE0453"/>
    <w:rsid w:val="00CE047C"/>
    <w:rsid w:val="00CE1784"/>
    <w:rsid w:val="00CE1899"/>
    <w:rsid w:val="00CE1BBD"/>
    <w:rsid w:val="00CE2125"/>
    <w:rsid w:val="00CE21C8"/>
    <w:rsid w:val="00CE2329"/>
    <w:rsid w:val="00CE2651"/>
    <w:rsid w:val="00CE2AEF"/>
    <w:rsid w:val="00CE3688"/>
    <w:rsid w:val="00CE36E9"/>
    <w:rsid w:val="00CE3BD8"/>
    <w:rsid w:val="00CE4062"/>
    <w:rsid w:val="00CE457F"/>
    <w:rsid w:val="00CE4889"/>
    <w:rsid w:val="00CE5EFB"/>
    <w:rsid w:val="00CE663C"/>
    <w:rsid w:val="00CE6E38"/>
    <w:rsid w:val="00CE6FAC"/>
    <w:rsid w:val="00CE785A"/>
    <w:rsid w:val="00CE785B"/>
    <w:rsid w:val="00CE7AA8"/>
    <w:rsid w:val="00CE7DB1"/>
    <w:rsid w:val="00CE7E42"/>
    <w:rsid w:val="00CF119F"/>
    <w:rsid w:val="00CF2266"/>
    <w:rsid w:val="00CF2F8C"/>
    <w:rsid w:val="00CF321A"/>
    <w:rsid w:val="00CF3414"/>
    <w:rsid w:val="00CF3715"/>
    <w:rsid w:val="00CF42E6"/>
    <w:rsid w:val="00CF47D9"/>
    <w:rsid w:val="00CF591C"/>
    <w:rsid w:val="00CF5D1F"/>
    <w:rsid w:val="00CF5E6C"/>
    <w:rsid w:val="00CF6662"/>
    <w:rsid w:val="00CF69D3"/>
    <w:rsid w:val="00CF6C3C"/>
    <w:rsid w:val="00CF70D4"/>
    <w:rsid w:val="00CF7BB8"/>
    <w:rsid w:val="00D00581"/>
    <w:rsid w:val="00D00827"/>
    <w:rsid w:val="00D00B96"/>
    <w:rsid w:val="00D01381"/>
    <w:rsid w:val="00D013B9"/>
    <w:rsid w:val="00D0196D"/>
    <w:rsid w:val="00D01C11"/>
    <w:rsid w:val="00D0210A"/>
    <w:rsid w:val="00D02759"/>
    <w:rsid w:val="00D0298A"/>
    <w:rsid w:val="00D02A95"/>
    <w:rsid w:val="00D048F2"/>
    <w:rsid w:val="00D04A1F"/>
    <w:rsid w:val="00D0646C"/>
    <w:rsid w:val="00D06DDA"/>
    <w:rsid w:val="00D06ED0"/>
    <w:rsid w:val="00D07495"/>
    <w:rsid w:val="00D07524"/>
    <w:rsid w:val="00D07920"/>
    <w:rsid w:val="00D07DEE"/>
    <w:rsid w:val="00D103E4"/>
    <w:rsid w:val="00D107BF"/>
    <w:rsid w:val="00D1094D"/>
    <w:rsid w:val="00D11307"/>
    <w:rsid w:val="00D11E52"/>
    <w:rsid w:val="00D11ECE"/>
    <w:rsid w:val="00D11F33"/>
    <w:rsid w:val="00D1207A"/>
    <w:rsid w:val="00D1237A"/>
    <w:rsid w:val="00D124F8"/>
    <w:rsid w:val="00D12B3D"/>
    <w:rsid w:val="00D13311"/>
    <w:rsid w:val="00D137B1"/>
    <w:rsid w:val="00D13888"/>
    <w:rsid w:val="00D146C8"/>
    <w:rsid w:val="00D14984"/>
    <w:rsid w:val="00D14B74"/>
    <w:rsid w:val="00D14D59"/>
    <w:rsid w:val="00D1580E"/>
    <w:rsid w:val="00D15A96"/>
    <w:rsid w:val="00D15BBF"/>
    <w:rsid w:val="00D15EE9"/>
    <w:rsid w:val="00D15F05"/>
    <w:rsid w:val="00D15FF3"/>
    <w:rsid w:val="00D161DF"/>
    <w:rsid w:val="00D16A18"/>
    <w:rsid w:val="00D16CA8"/>
    <w:rsid w:val="00D202F5"/>
    <w:rsid w:val="00D21DCD"/>
    <w:rsid w:val="00D22FC1"/>
    <w:rsid w:val="00D23D1C"/>
    <w:rsid w:val="00D23E24"/>
    <w:rsid w:val="00D2423C"/>
    <w:rsid w:val="00D24559"/>
    <w:rsid w:val="00D255C3"/>
    <w:rsid w:val="00D257EE"/>
    <w:rsid w:val="00D259E4"/>
    <w:rsid w:val="00D2696F"/>
    <w:rsid w:val="00D26AAC"/>
    <w:rsid w:val="00D3031E"/>
    <w:rsid w:val="00D30577"/>
    <w:rsid w:val="00D3093D"/>
    <w:rsid w:val="00D30D24"/>
    <w:rsid w:val="00D31723"/>
    <w:rsid w:val="00D3180C"/>
    <w:rsid w:val="00D3181F"/>
    <w:rsid w:val="00D31C0A"/>
    <w:rsid w:val="00D32AEC"/>
    <w:rsid w:val="00D32E9E"/>
    <w:rsid w:val="00D33252"/>
    <w:rsid w:val="00D335CF"/>
    <w:rsid w:val="00D33B5B"/>
    <w:rsid w:val="00D33B8D"/>
    <w:rsid w:val="00D34AE3"/>
    <w:rsid w:val="00D34CDA"/>
    <w:rsid w:val="00D3508C"/>
    <w:rsid w:val="00D35AA9"/>
    <w:rsid w:val="00D35DEE"/>
    <w:rsid w:val="00D3620A"/>
    <w:rsid w:val="00D3650A"/>
    <w:rsid w:val="00D36D84"/>
    <w:rsid w:val="00D37493"/>
    <w:rsid w:val="00D37842"/>
    <w:rsid w:val="00D37F8F"/>
    <w:rsid w:val="00D4066B"/>
    <w:rsid w:val="00D4073D"/>
    <w:rsid w:val="00D4108C"/>
    <w:rsid w:val="00D41259"/>
    <w:rsid w:val="00D41C1A"/>
    <w:rsid w:val="00D41EBF"/>
    <w:rsid w:val="00D420EC"/>
    <w:rsid w:val="00D428A1"/>
    <w:rsid w:val="00D43058"/>
    <w:rsid w:val="00D435C2"/>
    <w:rsid w:val="00D43A67"/>
    <w:rsid w:val="00D45B63"/>
    <w:rsid w:val="00D45D1F"/>
    <w:rsid w:val="00D460A5"/>
    <w:rsid w:val="00D465B0"/>
    <w:rsid w:val="00D467FE"/>
    <w:rsid w:val="00D4750C"/>
    <w:rsid w:val="00D47D2E"/>
    <w:rsid w:val="00D47E0D"/>
    <w:rsid w:val="00D50C2D"/>
    <w:rsid w:val="00D512B1"/>
    <w:rsid w:val="00D517AE"/>
    <w:rsid w:val="00D51AD0"/>
    <w:rsid w:val="00D51C85"/>
    <w:rsid w:val="00D51EAB"/>
    <w:rsid w:val="00D52026"/>
    <w:rsid w:val="00D52D97"/>
    <w:rsid w:val="00D531E1"/>
    <w:rsid w:val="00D53350"/>
    <w:rsid w:val="00D54177"/>
    <w:rsid w:val="00D55A49"/>
    <w:rsid w:val="00D55F88"/>
    <w:rsid w:val="00D573BB"/>
    <w:rsid w:val="00D57DBC"/>
    <w:rsid w:val="00D602E7"/>
    <w:rsid w:val="00D60878"/>
    <w:rsid w:val="00D6104E"/>
    <w:rsid w:val="00D61097"/>
    <w:rsid w:val="00D6131E"/>
    <w:rsid w:val="00D615AE"/>
    <w:rsid w:val="00D620FD"/>
    <w:rsid w:val="00D625D3"/>
    <w:rsid w:val="00D62CF7"/>
    <w:rsid w:val="00D63339"/>
    <w:rsid w:val="00D6371F"/>
    <w:rsid w:val="00D63B87"/>
    <w:rsid w:val="00D63C4A"/>
    <w:rsid w:val="00D63EA3"/>
    <w:rsid w:val="00D63FF0"/>
    <w:rsid w:val="00D6404F"/>
    <w:rsid w:val="00D64508"/>
    <w:rsid w:val="00D6490F"/>
    <w:rsid w:val="00D64BF4"/>
    <w:rsid w:val="00D655C0"/>
    <w:rsid w:val="00D65623"/>
    <w:rsid w:val="00D6572A"/>
    <w:rsid w:val="00D65FC1"/>
    <w:rsid w:val="00D664CF"/>
    <w:rsid w:val="00D66545"/>
    <w:rsid w:val="00D67887"/>
    <w:rsid w:val="00D67A1E"/>
    <w:rsid w:val="00D7018B"/>
    <w:rsid w:val="00D70D72"/>
    <w:rsid w:val="00D7162E"/>
    <w:rsid w:val="00D72115"/>
    <w:rsid w:val="00D72922"/>
    <w:rsid w:val="00D7332F"/>
    <w:rsid w:val="00D73E5C"/>
    <w:rsid w:val="00D749AF"/>
    <w:rsid w:val="00D75B00"/>
    <w:rsid w:val="00D77217"/>
    <w:rsid w:val="00D77C33"/>
    <w:rsid w:val="00D80C26"/>
    <w:rsid w:val="00D81BE4"/>
    <w:rsid w:val="00D82613"/>
    <w:rsid w:val="00D82626"/>
    <w:rsid w:val="00D83217"/>
    <w:rsid w:val="00D83D2A"/>
    <w:rsid w:val="00D83D60"/>
    <w:rsid w:val="00D8473E"/>
    <w:rsid w:val="00D84A77"/>
    <w:rsid w:val="00D85222"/>
    <w:rsid w:val="00D855BA"/>
    <w:rsid w:val="00D85BB1"/>
    <w:rsid w:val="00D85EE9"/>
    <w:rsid w:val="00D8631B"/>
    <w:rsid w:val="00D86349"/>
    <w:rsid w:val="00D870BA"/>
    <w:rsid w:val="00D8739F"/>
    <w:rsid w:val="00D8743B"/>
    <w:rsid w:val="00D87BB9"/>
    <w:rsid w:val="00D90088"/>
    <w:rsid w:val="00D904FC"/>
    <w:rsid w:val="00D91000"/>
    <w:rsid w:val="00D911E3"/>
    <w:rsid w:val="00D91693"/>
    <w:rsid w:val="00D92070"/>
    <w:rsid w:val="00D92A8D"/>
    <w:rsid w:val="00D92BAE"/>
    <w:rsid w:val="00D92EAC"/>
    <w:rsid w:val="00D9335C"/>
    <w:rsid w:val="00D93D11"/>
    <w:rsid w:val="00D94A33"/>
    <w:rsid w:val="00D94CBC"/>
    <w:rsid w:val="00D94CD6"/>
    <w:rsid w:val="00D94D95"/>
    <w:rsid w:val="00D9501A"/>
    <w:rsid w:val="00D95E37"/>
    <w:rsid w:val="00D95E5D"/>
    <w:rsid w:val="00D965FD"/>
    <w:rsid w:val="00D96BEE"/>
    <w:rsid w:val="00D96D38"/>
    <w:rsid w:val="00D96DA3"/>
    <w:rsid w:val="00D96DE1"/>
    <w:rsid w:val="00D96E57"/>
    <w:rsid w:val="00D97509"/>
    <w:rsid w:val="00D97519"/>
    <w:rsid w:val="00D978A7"/>
    <w:rsid w:val="00DA04EC"/>
    <w:rsid w:val="00DA0596"/>
    <w:rsid w:val="00DA13D9"/>
    <w:rsid w:val="00DA19CE"/>
    <w:rsid w:val="00DA1CAB"/>
    <w:rsid w:val="00DA3DBC"/>
    <w:rsid w:val="00DA3F3E"/>
    <w:rsid w:val="00DA4345"/>
    <w:rsid w:val="00DA4472"/>
    <w:rsid w:val="00DA4736"/>
    <w:rsid w:val="00DA56DC"/>
    <w:rsid w:val="00DA5DA0"/>
    <w:rsid w:val="00DA6299"/>
    <w:rsid w:val="00DA6812"/>
    <w:rsid w:val="00DA686E"/>
    <w:rsid w:val="00DA69DC"/>
    <w:rsid w:val="00DA7356"/>
    <w:rsid w:val="00DA785B"/>
    <w:rsid w:val="00DA7A6F"/>
    <w:rsid w:val="00DA7B5C"/>
    <w:rsid w:val="00DA7C12"/>
    <w:rsid w:val="00DA7FB5"/>
    <w:rsid w:val="00DB09B9"/>
    <w:rsid w:val="00DB0CA0"/>
    <w:rsid w:val="00DB0E7C"/>
    <w:rsid w:val="00DB0F40"/>
    <w:rsid w:val="00DB11DE"/>
    <w:rsid w:val="00DB1A67"/>
    <w:rsid w:val="00DB1C82"/>
    <w:rsid w:val="00DB1F15"/>
    <w:rsid w:val="00DB2259"/>
    <w:rsid w:val="00DB2F5F"/>
    <w:rsid w:val="00DB415F"/>
    <w:rsid w:val="00DB4E29"/>
    <w:rsid w:val="00DB5434"/>
    <w:rsid w:val="00DB5574"/>
    <w:rsid w:val="00DB5B35"/>
    <w:rsid w:val="00DB5B38"/>
    <w:rsid w:val="00DB667E"/>
    <w:rsid w:val="00DB6B61"/>
    <w:rsid w:val="00DB6C7C"/>
    <w:rsid w:val="00DB72B8"/>
    <w:rsid w:val="00DB74E4"/>
    <w:rsid w:val="00DB7DFE"/>
    <w:rsid w:val="00DC00C1"/>
    <w:rsid w:val="00DC0575"/>
    <w:rsid w:val="00DC1202"/>
    <w:rsid w:val="00DC2DD9"/>
    <w:rsid w:val="00DC2F77"/>
    <w:rsid w:val="00DC3044"/>
    <w:rsid w:val="00DC31C5"/>
    <w:rsid w:val="00DC32F5"/>
    <w:rsid w:val="00DC3850"/>
    <w:rsid w:val="00DC4231"/>
    <w:rsid w:val="00DC4E1C"/>
    <w:rsid w:val="00DC4F39"/>
    <w:rsid w:val="00DC5A86"/>
    <w:rsid w:val="00DC69B6"/>
    <w:rsid w:val="00DC6B1D"/>
    <w:rsid w:val="00DC6C9F"/>
    <w:rsid w:val="00DC6CCC"/>
    <w:rsid w:val="00DC6E3E"/>
    <w:rsid w:val="00DC79D3"/>
    <w:rsid w:val="00DC7E71"/>
    <w:rsid w:val="00DD049B"/>
    <w:rsid w:val="00DD0C29"/>
    <w:rsid w:val="00DD150B"/>
    <w:rsid w:val="00DD1B97"/>
    <w:rsid w:val="00DD1CBD"/>
    <w:rsid w:val="00DD2231"/>
    <w:rsid w:val="00DD2C8F"/>
    <w:rsid w:val="00DD2D80"/>
    <w:rsid w:val="00DD34A6"/>
    <w:rsid w:val="00DD383A"/>
    <w:rsid w:val="00DD42F3"/>
    <w:rsid w:val="00DD4590"/>
    <w:rsid w:val="00DD4A13"/>
    <w:rsid w:val="00DD4DF8"/>
    <w:rsid w:val="00DD518E"/>
    <w:rsid w:val="00DD538C"/>
    <w:rsid w:val="00DD5412"/>
    <w:rsid w:val="00DD54E4"/>
    <w:rsid w:val="00DD59DF"/>
    <w:rsid w:val="00DD6F39"/>
    <w:rsid w:val="00DE0044"/>
    <w:rsid w:val="00DE0275"/>
    <w:rsid w:val="00DE1C04"/>
    <w:rsid w:val="00DE1D6D"/>
    <w:rsid w:val="00DE1EDD"/>
    <w:rsid w:val="00DE1F81"/>
    <w:rsid w:val="00DE2086"/>
    <w:rsid w:val="00DE225C"/>
    <w:rsid w:val="00DE23E8"/>
    <w:rsid w:val="00DE2485"/>
    <w:rsid w:val="00DE27A5"/>
    <w:rsid w:val="00DE28E4"/>
    <w:rsid w:val="00DE4E7C"/>
    <w:rsid w:val="00DE51C4"/>
    <w:rsid w:val="00DE5264"/>
    <w:rsid w:val="00DE5AC2"/>
    <w:rsid w:val="00DE6CEF"/>
    <w:rsid w:val="00DE6F0E"/>
    <w:rsid w:val="00DE6FB6"/>
    <w:rsid w:val="00DE75E4"/>
    <w:rsid w:val="00DE76C4"/>
    <w:rsid w:val="00DE796C"/>
    <w:rsid w:val="00DF0BD0"/>
    <w:rsid w:val="00DF0CB1"/>
    <w:rsid w:val="00DF1A7E"/>
    <w:rsid w:val="00DF2BF1"/>
    <w:rsid w:val="00DF2CE5"/>
    <w:rsid w:val="00DF33C9"/>
    <w:rsid w:val="00DF3698"/>
    <w:rsid w:val="00DF4B58"/>
    <w:rsid w:val="00DF53F2"/>
    <w:rsid w:val="00DF5631"/>
    <w:rsid w:val="00DF57DA"/>
    <w:rsid w:val="00DF5987"/>
    <w:rsid w:val="00DF5C59"/>
    <w:rsid w:val="00DF618F"/>
    <w:rsid w:val="00DF61C5"/>
    <w:rsid w:val="00DF652D"/>
    <w:rsid w:val="00DF73B4"/>
    <w:rsid w:val="00DF7576"/>
    <w:rsid w:val="00DF7804"/>
    <w:rsid w:val="00DF7F8B"/>
    <w:rsid w:val="00E0084D"/>
    <w:rsid w:val="00E00DC9"/>
    <w:rsid w:val="00E01525"/>
    <w:rsid w:val="00E023C5"/>
    <w:rsid w:val="00E02523"/>
    <w:rsid w:val="00E0263B"/>
    <w:rsid w:val="00E02EB7"/>
    <w:rsid w:val="00E04B58"/>
    <w:rsid w:val="00E04DB6"/>
    <w:rsid w:val="00E0571B"/>
    <w:rsid w:val="00E05916"/>
    <w:rsid w:val="00E05FB6"/>
    <w:rsid w:val="00E05FF6"/>
    <w:rsid w:val="00E06B3B"/>
    <w:rsid w:val="00E07391"/>
    <w:rsid w:val="00E07805"/>
    <w:rsid w:val="00E07AE8"/>
    <w:rsid w:val="00E1008B"/>
    <w:rsid w:val="00E1040E"/>
    <w:rsid w:val="00E112F1"/>
    <w:rsid w:val="00E12780"/>
    <w:rsid w:val="00E129B1"/>
    <w:rsid w:val="00E1329F"/>
    <w:rsid w:val="00E134E4"/>
    <w:rsid w:val="00E14E58"/>
    <w:rsid w:val="00E150AE"/>
    <w:rsid w:val="00E15482"/>
    <w:rsid w:val="00E15A68"/>
    <w:rsid w:val="00E15CF0"/>
    <w:rsid w:val="00E165D6"/>
    <w:rsid w:val="00E1799F"/>
    <w:rsid w:val="00E20AE4"/>
    <w:rsid w:val="00E2116C"/>
    <w:rsid w:val="00E2149D"/>
    <w:rsid w:val="00E214B7"/>
    <w:rsid w:val="00E217F2"/>
    <w:rsid w:val="00E21DD1"/>
    <w:rsid w:val="00E22476"/>
    <w:rsid w:val="00E22ACD"/>
    <w:rsid w:val="00E22BB6"/>
    <w:rsid w:val="00E22C3F"/>
    <w:rsid w:val="00E232AD"/>
    <w:rsid w:val="00E235ED"/>
    <w:rsid w:val="00E237E1"/>
    <w:rsid w:val="00E23826"/>
    <w:rsid w:val="00E23951"/>
    <w:rsid w:val="00E23C70"/>
    <w:rsid w:val="00E23ED5"/>
    <w:rsid w:val="00E2583F"/>
    <w:rsid w:val="00E261A9"/>
    <w:rsid w:val="00E2680A"/>
    <w:rsid w:val="00E26A48"/>
    <w:rsid w:val="00E26CA3"/>
    <w:rsid w:val="00E26D70"/>
    <w:rsid w:val="00E27A22"/>
    <w:rsid w:val="00E315C0"/>
    <w:rsid w:val="00E317C3"/>
    <w:rsid w:val="00E3191D"/>
    <w:rsid w:val="00E328B0"/>
    <w:rsid w:val="00E32EEE"/>
    <w:rsid w:val="00E33219"/>
    <w:rsid w:val="00E33567"/>
    <w:rsid w:val="00E33FD1"/>
    <w:rsid w:val="00E344FD"/>
    <w:rsid w:val="00E345BC"/>
    <w:rsid w:val="00E35185"/>
    <w:rsid w:val="00E35F31"/>
    <w:rsid w:val="00E36672"/>
    <w:rsid w:val="00E3670A"/>
    <w:rsid w:val="00E40109"/>
    <w:rsid w:val="00E404B9"/>
    <w:rsid w:val="00E409E0"/>
    <w:rsid w:val="00E40AD7"/>
    <w:rsid w:val="00E4105C"/>
    <w:rsid w:val="00E417C4"/>
    <w:rsid w:val="00E41E0B"/>
    <w:rsid w:val="00E421D8"/>
    <w:rsid w:val="00E4270F"/>
    <w:rsid w:val="00E43E92"/>
    <w:rsid w:val="00E447A2"/>
    <w:rsid w:val="00E44D4A"/>
    <w:rsid w:val="00E44E93"/>
    <w:rsid w:val="00E459A3"/>
    <w:rsid w:val="00E45B18"/>
    <w:rsid w:val="00E47333"/>
    <w:rsid w:val="00E4796F"/>
    <w:rsid w:val="00E47BB2"/>
    <w:rsid w:val="00E47FA4"/>
    <w:rsid w:val="00E51823"/>
    <w:rsid w:val="00E51826"/>
    <w:rsid w:val="00E519C9"/>
    <w:rsid w:val="00E51CDB"/>
    <w:rsid w:val="00E5299D"/>
    <w:rsid w:val="00E52B77"/>
    <w:rsid w:val="00E52E2D"/>
    <w:rsid w:val="00E542A2"/>
    <w:rsid w:val="00E55DB5"/>
    <w:rsid w:val="00E55EE8"/>
    <w:rsid w:val="00E5687C"/>
    <w:rsid w:val="00E570D4"/>
    <w:rsid w:val="00E5716D"/>
    <w:rsid w:val="00E57606"/>
    <w:rsid w:val="00E57F99"/>
    <w:rsid w:val="00E60067"/>
    <w:rsid w:val="00E60254"/>
    <w:rsid w:val="00E610D0"/>
    <w:rsid w:val="00E61981"/>
    <w:rsid w:val="00E61B68"/>
    <w:rsid w:val="00E62663"/>
    <w:rsid w:val="00E62A6C"/>
    <w:rsid w:val="00E62C01"/>
    <w:rsid w:val="00E62CFF"/>
    <w:rsid w:val="00E62DC1"/>
    <w:rsid w:val="00E63218"/>
    <w:rsid w:val="00E633F1"/>
    <w:rsid w:val="00E63933"/>
    <w:rsid w:val="00E63E8F"/>
    <w:rsid w:val="00E64373"/>
    <w:rsid w:val="00E65922"/>
    <w:rsid w:val="00E65E24"/>
    <w:rsid w:val="00E66978"/>
    <w:rsid w:val="00E67FD2"/>
    <w:rsid w:val="00E701DE"/>
    <w:rsid w:val="00E7047D"/>
    <w:rsid w:val="00E70556"/>
    <w:rsid w:val="00E705B0"/>
    <w:rsid w:val="00E706E9"/>
    <w:rsid w:val="00E70A42"/>
    <w:rsid w:val="00E718E7"/>
    <w:rsid w:val="00E71E13"/>
    <w:rsid w:val="00E7243F"/>
    <w:rsid w:val="00E7299C"/>
    <w:rsid w:val="00E72EF7"/>
    <w:rsid w:val="00E73347"/>
    <w:rsid w:val="00E734D3"/>
    <w:rsid w:val="00E73BF3"/>
    <w:rsid w:val="00E73E97"/>
    <w:rsid w:val="00E74688"/>
    <w:rsid w:val="00E756EE"/>
    <w:rsid w:val="00E76A49"/>
    <w:rsid w:val="00E76CCC"/>
    <w:rsid w:val="00E76D60"/>
    <w:rsid w:val="00E77D7F"/>
    <w:rsid w:val="00E77F79"/>
    <w:rsid w:val="00E77F7F"/>
    <w:rsid w:val="00E81977"/>
    <w:rsid w:val="00E81C30"/>
    <w:rsid w:val="00E81D6A"/>
    <w:rsid w:val="00E81DEC"/>
    <w:rsid w:val="00E82549"/>
    <w:rsid w:val="00E84851"/>
    <w:rsid w:val="00E84A0E"/>
    <w:rsid w:val="00E84D19"/>
    <w:rsid w:val="00E85152"/>
    <w:rsid w:val="00E859AE"/>
    <w:rsid w:val="00E85F8A"/>
    <w:rsid w:val="00E86004"/>
    <w:rsid w:val="00E861A2"/>
    <w:rsid w:val="00E87CF1"/>
    <w:rsid w:val="00E90AB1"/>
    <w:rsid w:val="00E90E44"/>
    <w:rsid w:val="00E911A3"/>
    <w:rsid w:val="00E915B3"/>
    <w:rsid w:val="00E91684"/>
    <w:rsid w:val="00E924A0"/>
    <w:rsid w:val="00E92A1A"/>
    <w:rsid w:val="00E92BDD"/>
    <w:rsid w:val="00E9463C"/>
    <w:rsid w:val="00E947D7"/>
    <w:rsid w:val="00E94832"/>
    <w:rsid w:val="00E95754"/>
    <w:rsid w:val="00E957C2"/>
    <w:rsid w:val="00E96698"/>
    <w:rsid w:val="00E975A3"/>
    <w:rsid w:val="00E97A0D"/>
    <w:rsid w:val="00E97DE0"/>
    <w:rsid w:val="00EA07AD"/>
    <w:rsid w:val="00EA0853"/>
    <w:rsid w:val="00EA1C31"/>
    <w:rsid w:val="00EA1D29"/>
    <w:rsid w:val="00EA2159"/>
    <w:rsid w:val="00EA2749"/>
    <w:rsid w:val="00EA2C5A"/>
    <w:rsid w:val="00EA3133"/>
    <w:rsid w:val="00EA3723"/>
    <w:rsid w:val="00EA4B85"/>
    <w:rsid w:val="00EA4E6D"/>
    <w:rsid w:val="00EA545D"/>
    <w:rsid w:val="00EA5C88"/>
    <w:rsid w:val="00EA647C"/>
    <w:rsid w:val="00EA6914"/>
    <w:rsid w:val="00EA694D"/>
    <w:rsid w:val="00EA6FA0"/>
    <w:rsid w:val="00EA7A4A"/>
    <w:rsid w:val="00EB10DF"/>
    <w:rsid w:val="00EB12AE"/>
    <w:rsid w:val="00EB1C53"/>
    <w:rsid w:val="00EB20EE"/>
    <w:rsid w:val="00EB2875"/>
    <w:rsid w:val="00EB2AB4"/>
    <w:rsid w:val="00EB35C2"/>
    <w:rsid w:val="00EB4F15"/>
    <w:rsid w:val="00EB51E0"/>
    <w:rsid w:val="00EB521C"/>
    <w:rsid w:val="00EB52D8"/>
    <w:rsid w:val="00EB55CC"/>
    <w:rsid w:val="00EB562B"/>
    <w:rsid w:val="00EB58AF"/>
    <w:rsid w:val="00EB5A0C"/>
    <w:rsid w:val="00EB5E08"/>
    <w:rsid w:val="00EB5FC5"/>
    <w:rsid w:val="00EB6208"/>
    <w:rsid w:val="00EB6508"/>
    <w:rsid w:val="00EB66C4"/>
    <w:rsid w:val="00EB6DE7"/>
    <w:rsid w:val="00EB6ED9"/>
    <w:rsid w:val="00EB6F9F"/>
    <w:rsid w:val="00EB747B"/>
    <w:rsid w:val="00EB79B4"/>
    <w:rsid w:val="00EC0FA4"/>
    <w:rsid w:val="00EC1060"/>
    <w:rsid w:val="00EC18D5"/>
    <w:rsid w:val="00EC1A01"/>
    <w:rsid w:val="00EC2DCA"/>
    <w:rsid w:val="00EC36AB"/>
    <w:rsid w:val="00EC396F"/>
    <w:rsid w:val="00EC3B08"/>
    <w:rsid w:val="00EC3EE2"/>
    <w:rsid w:val="00EC436D"/>
    <w:rsid w:val="00EC514C"/>
    <w:rsid w:val="00EC5B88"/>
    <w:rsid w:val="00EC6383"/>
    <w:rsid w:val="00EC676C"/>
    <w:rsid w:val="00EC6896"/>
    <w:rsid w:val="00EC6B17"/>
    <w:rsid w:val="00EC6B6B"/>
    <w:rsid w:val="00EC6B92"/>
    <w:rsid w:val="00EC7F11"/>
    <w:rsid w:val="00ED085F"/>
    <w:rsid w:val="00ED0CA0"/>
    <w:rsid w:val="00ED17C5"/>
    <w:rsid w:val="00ED1978"/>
    <w:rsid w:val="00ED199E"/>
    <w:rsid w:val="00ED3138"/>
    <w:rsid w:val="00ED3316"/>
    <w:rsid w:val="00ED3F9D"/>
    <w:rsid w:val="00ED45D0"/>
    <w:rsid w:val="00ED4A15"/>
    <w:rsid w:val="00ED4A22"/>
    <w:rsid w:val="00ED5514"/>
    <w:rsid w:val="00ED5583"/>
    <w:rsid w:val="00ED58CF"/>
    <w:rsid w:val="00ED5A4F"/>
    <w:rsid w:val="00ED6370"/>
    <w:rsid w:val="00ED7123"/>
    <w:rsid w:val="00ED7C35"/>
    <w:rsid w:val="00ED7DAE"/>
    <w:rsid w:val="00ED7EAE"/>
    <w:rsid w:val="00EE0309"/>
    <w:rsid w:val="00EE09D9"/>
    <w:rsid w:val="00EE0AF1"/>
    <w:rsid w:val="00EE1963"/>
    <w:rsid w:val="00EE1B69"/>
    <w:rsid w:val="00EE1C29"/>
    <w:rsid w:val="00EE23ED"/>
    <w:rsid w:val="00EE31D7"/>
    <w:rsid w:val="00EE3532"/>
    <w:rsid w:val="00EE3902"/>
    <w:rsid w:val="00EE4B74"/>
    <w:rsid w:val="00EE4E6D"/>
    <w:rsid w:val="00EF001E"/>
    <w:rsid w:val="00EF041D"/>
    <w:rsid w:val="00EF0833"/>
    <w:rsid w:val="00EF119E"/>
    <w:rsid w:val="00EF1C7D"/>
    <w:rsid w:val="00EF2219"/>
    <w:rsid w:val="00EF22E3"/>
    <w:rsid w:val="00EF2A09"/>
    <w:rsid w:val="00EF2BE1"/>
    <w:rsid w:val="00EF39B7"/>
    <w:rsid w:val="00EF3EDB"/>
    <w:rsid w:val="00EF4547"/>
    <w:rsid w:val="00EF4C99"/>
    <w:rsid w:val="00EF4D5F"/>
    <w:rsid w:val="00EF4D9A"/>
    <w:rsid w:val="00EF52A8"/>
    <w:rsid w:val="00EF5931"/>
    <w:rsid w:val="00EF59F1"/>
    <w:rsid w:val="00EF5A42"/>
    <w:rsid w:val="00EF5F78"/>
    <w:rsid w:val="00EF7403"/>
    <w:rsid w:val="00F003F6"/>
    <w:rsid w:val="00F00E28"/>
    <w:rsid w:val="00F017B5"/>
    <w:rsid w:val="00F02625"/>
    <w:rsid w:val="00F04015"/>
    <w:rsid w:val="00F043CB"/>
    <w:rsid w:val="00F04794"/>
    <w:rsid w:val="00F04881"/>
    <w:rsid w:val="00F04A15"/>
    <w:rsid w:val="00F04D97"/>
    <w:rsid w:val="00F051B7"/>
    <w:rsid w:val="00F05753"/>
    <w:rsid w:val="00F05798"/>
    <w:rsid w:val="00F058B7"/>
    <w:rsid w:val="00F05C51"/>
    <w:rsid w:val="00F05EBE"/>
    <w:rsid w:val="00F06634"/>
    <w:rsid w:val="00F067FA"/>
    <w:rsid w:val="00F06C69"/>
    <w:rsid w:val="00F06C90"/>
    <w:rsid w:val="00F0747C"/>
    <w:rsid w:val="00F0795B"/>
    <w:rsid w:val="00F1044F"/>
    <w:rsid w:val="00F10974"/>
    <w:rsid w:val="00F10A50"/>
    <w:rsid w:val="00F10B0C"/>
    <w:rsid w:val="00F11458"/>
    <w:rsid w:val="00F120B3"/>
    <w:rsid w:val="00F1211B"/>
    <w:rsid w:val="00F12F3D"/>
    <w:rsid w:val="00F132A5"/>
    <w:rsid w:val="00F13372"/>
    <w:rsid w:val="00F136B8"/>
    <w:rsid w:val="00F138DB"/>
    <w:rsid w:val="00F13A0E"/>
    <w:rsid w:val="00F13A5C"/>
    <w:rsid w:val="00F13FC4"/>
    <w:rsid w:val="00F14571"/>
    <w:rsid w:val="00F1522D"/>
    <w:rsid w:val="00F159D1"/>
    <w:rsid w:val="00F15CB3"/>
    <w:rsid w:val="00F15E52"/>
    <w:rsid w:val="00F16215"/>
    <w:rsid w:val="00F16CE7"/>
    <w:rsid w:val="00F17AD9"/>
    <w:rsid w:val="00F2035C"/>
    <w:rsid w:val="00F20CFE"/>
    <w:rsid w:val="00F21537"/>
    <w:rsid w:val="00F22612"/>
    <w:rsid w:val="00F22C8D"/>
    <w:rsid w:val="00F230C9"/>
    <w:rsid w:val="00F23AC9"/>
    <w:rsid w:val="00F23F5F"/>
    <w:rsid w:val="00F24C73"/>
    <w:rsid w:val="00F260FF"/>
    <w:rsid w:val="00F27682"/>
    <w:rsid w:val="00F30846"/>
    <w:rsid w:val="00F3091E"/>
    <w:rsid w:val="00F30980"/>
    <w:rsid w:val="00F313A1"/>
    <w:rsid w:val="00F318C4"/>
    <w:rsid w:val="00F31AB9"/>
    <w:rsid w:val="00F31C31"/>
    <w:rsid w:val="00F320A3"/>
    <w:rsid w:val="00F32319"/>
    <w:rsid w:val="00F32819"/>
    <w:rsid w:val="00F32B74"/>
    <w:rsid w:val="00F332EF"/>
    <w:rsid w:val="00F344F4"/>
    <w:rsid w:val="00F36522"/>
    <w:rsid w:val="00F37282"/>
    <w:rsid w:val="00F37985"/>
    <w:rsid w:val="00F400A3"/>
    <w:rsid w:val="00F40E99"/>
    <w:rsid w:val="00F4119D"/>
    <w:rsid w:val="00F41BC8"/>
    <w:rsid w:val="00F41DCB"/>
    <w:rsid w:val="00F41E38"/>
    <w:rsid w:val="00F421F0"/>
    <w:rsid w:val="00F4242F"/>
    <w:rsid w:val="00F42BBF"/>
    <w:rsid w:val="00F42DDC"/>
    <w:rsid w:val="00F43441"/>
    <w:rsid w:val="00F43DF2"/>
    <w:rsid w:val="00F43F79"/>
    <w:rsid w:val="00F44EDC"/>
    <w:rsid w:val="00F45156"/>
    <w:rsid w:val="00F46186"/>
    <w:rsid w:val="00F463B0"/>
    <w:rsid w:val="00F503C5"/>
    <w:rsid w:val="00F5075F"/>
    <w:rsid w:val="00F51381"/>
    <w:rsid w:val="00F518B7"/>
    <w:rsid w:val="00F5230C"/>
    <w:rsid w:val="00F526D4"/>
    <w:rsid w:val="00F53CA2"/>
    <w:rsid w:val="00F54D10"/>
    <w:rsid w:val="00F55557"/>
    <w:rsid w:val="00F5556B"/>
    <w:rsid w:val="00F55709"/>
    <w:rsid w:val="00F55865"/>
    <w:rsid w:val="00F55AD0"/>
    <w:rsid w:val="00F55C53"/>
    <w:rsid w:val="00F563AE"/>
    <w:rsid w:val="00F563FE"/>
    <w:rsid w:val="00F572AE"/>
    <w:rsid w:val="00F57C62"/>
    <w:rsid w:val="00F6033D"/>
    <w:rsid w:val="00F60456"/>
    <w:rsid w:val="00F605D5"/>
    <w:rsid w:val="00F607AD"/>
    <w:rsid w:val="00F60926"/>
    <w:rsid w:val="00F60A3A"/>
    <w:rsid w:val="00F60D19"/>
    <w:rsid w:val="00F60F83"/>
    <w:rsid w:val="00F61421"/>
    <w:rsid w:val="00F61E11"/>
    <w:rsid w:val="00F62B11"/>
    <w:rsid w:val="00F62E07"/>
    <w:rsid w:val="00F63092"/>
    <w:rsid w:val="00F63403"/>
    <w:rsid w:val="00F63A15"/>
    <w:rsid w:val="00F63D82"/>
    <w:rsid w:val="00F63E10"/>
    <w:rsid w:val="00F64065"/>
    <w:rsid w:val="00F643FB"/>
    <w:rsid w:val="00F644C6"/>
    <w:rsid w:val="00F657FF"/>
    <w:rsid w:val="00F6692D"/>
    <w:rsid w:val="00F67CC8"/>
    <w:rsid w:val="00F70CA8"/>
    <w:rsid w:val="00F71CA3"/>
    <w:rsid w:val="00F73284"/>
    <w:rsid w:val="00F73617"/>
    <w:rsid w:val="00F741DA"/>
    <w:rsid w:val="00F745B2"/>
    <w:rsid w:val="00F74C54"/>
    <w:rsid w:val="00F754D5"/>
    <w:rsid w:val="00F75AD3"/>
    <w:rsid w:val="00F75B4D"/>
    <w:rsid w:val="00F76372"/>
    <w:rsid w:val="00F767BD"/>
    <w:rsid w:val="00F76B43"/>
    <w:rsid w:val="00F76CB6"/>
    <w:rsid w:val="00F76D0B"/>
    <w:rsid w:val="00F773A8"/>
    <w:rsid w:val="00F773F0"/>
    <w:rsid w:val="00F77523"/>
    <w:rsid w:val="00F776DE"/>
    <w:rsid w:val="00F77F86"/>
    <w:rsid w:val="00F808C4"/>
    <w:rsid w:val="00F81282"/>
    <w:rsid w:val="00F81EA9"/>
    <w:rsid w:val="00F826AB"/>
    <w:rsid w:val="00F82778"/>
    <w:rsid w:val="00F832E4"/>
    <w:rsid w:val="00F84074"/>
    <w:rsid w:val="00F8445D"/>
    <w:rsid w:val="00F84BC9"/>
    <w:rsid w:val="00F84D8F"/>
    <w:rsid w:val="00F84FDF"/>
    <w:rsid w:val="00F85C0D"/>
    <w:rsid w:val="00F85D1D"/>
    <w:rsid w:val="00F85EB1"/>
    <w:rsid w:val="00F86B54"/>
    <w:rsid w:val="00F8749B"/>
    <w:rsid w:val="00F878F5"/>
    <w:rsid w:val="00F87A90"/>
    <w:rsid w:val="00F87B11"/>
    <w:rsid w:val="00F87D94"/>
    <w:rsid w:val="00F9019B"/>
    <w:rsid w:val="00F909A4"/>
    <w:rsid w:val="00F911FE"/>
    <w:rsid w:val="00F9181E"/>
    <w:rsid w:val="00F92047"/>
    <w:rsid w:val="00F92BBE"/>
    <w:rsid w:val="00F92C52"/>
    <w:rsid w:val="00F93426"/>
    <w:rsid w:val="00F93453"/>
    <w:rsid w:val="00F93B28"/>
    <w:rsid w:val="00F93EB2"/>
    <w:rsid w:val="00F9427E"/>
    <w:rsid w:val="00F9428E"/>
    <w:rsid w:val="00F94512"/>
    <w:rsid w:val="00F946A5"/>
    <w:rsid w:val="00F948F2"/>
    <w:rsid w:val="00F95086"/>
    <w:rsid w:val="00F9524A"/>
    <w:rsid w:val="00FA02F1"/>
    <w:rsid w:val="00FA07DA"/>
    <w:rsid w:val="00FA0DF2"/>
    <w:rsid w:val="00FA1ABD"/>
    <w:rsid w:val="00FA34F1"/>
    <w:rsid w:val="00FA365A"/>
    <w:rsid w:val="00FA4127"/>
    <w:rsid w:val="00FA42AD"/>
    <w:rsid w:val="00FA4BD7"/>
    <w:rsid w:val="00FA54ED"/>
    <w:rsid w:val="00FA5672"/>
    <w:rsid w:val="00FA5AA0"/>
    <w:rsid w:val="00FA6409"/>
    <w:rsid w:val="00FA6717"/>
    <w:rsid w:val="00FA6A91"/>
    <w:rsid w:val="00FA6E28"/>
    <w:rsid w:val="00FA7455"/>
    <w:rsid w:val="00FA78DD"/>
    <w:rsid w:val="00FA7FFD"/>
    <w:rsid w:val="00FB051A"/>
    <w:rsid w:val="00FB0F01"/>
    <w:rsid w:val="00FB101E"/>
    <w:rsid w:val="00FB12F7"/>
    <w:rsid w:val="00FB157F"/>
    <w:rsid w:val="00FB26BE"/>
    <w:rsid w:val="00FB2F16"/>
    <w:rsid w:val="00FB3267"/>
    <w:rsid w:val="00FB3470"/>
    <w:rsid w:val="00FB3535"/>
    <w:rsid w:val="00FB39C2"/>
    <w:rsid w:val="00FB4395"/>
    <w:rsid w:val="00FB4969"/>
    <w:rsid w:val="00FB4987"/>
    <w:rsid w:val="00FB4FF9"/>
    <w:rsid w:val="00FB554D"/>
    <w:rsid w:val="00FB564B"/>
    <w:rsid w:val="00FB5AFC"/>
    <w:rsid w:val="00FB5E1A"/>
    <w:rsid w:val="00FB6463"/>
    <w:rsid w:val="00FB6529"/>
    <w:rsid w:val="00FB6559"/>
    <w:rsid w:val="00FB65A7"/>
    <w:rsid w:val="00FB7826"/>
    <w:rsid w:val="00FB7C9F"/>
    <w:rsid w:val="00FC013C"/>
    <w:rsid w:val="00FC0AE3"/>
    <w:rsid w:val="00FC13F5"/>
    <w:rsid w:val="00FC1A8B"/>
    <w:rsid w:val="00FC255D"/>
    <w:rsid w:val="00FC2732"/>
    <w:rsid w:val="00FC2CAA"/>
    <w:rsid w:val="00FC36DE"/>
    <w:rsid w:val="00FC42DD"/>
    <w:rsid w:val="00FC4A3D"/>
    <w:rsid w:val="00FC4A72"/>
    <w:rsid w:val="00FC57BA"/>
    <w:rsid w:val="00FC5B73"/>
    <w:rsid w:val="00FC6D74"/>
    <w:rsid w:val="00FC6F95"/>
    <w:rsid w:val="00FC760A"/>
    <w:rsid w:val="00FC787D"/>
    <w:rsid w:val="00FD055F"/>
    <w:rsid w:val="00FD0A35"/>
    <w:rsid w:val="00FD0B85"/>
    <w:rsid w:val="00FD111A"/>
    <w:rsid w:val="00FD12EC"/>
    <w:rsid w:val="00FD16B7"/>
    <w:rsid w:val="00FD1BF0"/>
    <w:rsid w:val="00FD1E1C"/>
    <w:rsid w:val="00FD2317"/>
    <w:rsid w:val="00FD24D5"/>
    <w:rsid w:val="00FD2724"/>
    <w:rsid w:val="00FD27FB"/>
    <w:rsid w:val="00FD2F98"/>
    <w:rsid w:val="00FD3959"/>
    <w:rsid w:val="00FD3A06"/>
    <w:rsid w:val="00FD3A85"/>
    <w:rsid w:val="00FD4115"/>
    <w:rsid w:val="00FD5261"/>
    <w:rsid w:val="00FD5CB9"/>
    <w:rsid w:val="00FD61F8"/>
    <w:rsid w:val="00FD62DF"/>
    <w:rsid w:val="00FD6BDB"/>
    <w:rsid w:val="00FD7491"/>
    <w:rsid w:val="00FD7A7D"/>
    <w:rsid w:val="00FD7D9A"/>
    <w:rsid w:val="00FE038C"/>
    <w:rsid w:val="00FE0816"/>
    <w:rsid w:val="00FE0969"/>
    <w:rsid w:val="00FE0D85"/>
    <w:rsid w:val="00FE16EF"/>
    <w:rsid w:val="00FE1F63"/>
    <w:rsid w:val="00FE230F"/>
    <w:rsid w:val="00FE31D9"/>
    <w:rsid w:val="00FE3551"/>
    <w:rsid w:val="00FE3AB2"/>
    <w:rsid w:val="00FE42E7"/>
    <w:rsid w:val="00FE468F"/>
    <w:rsid w:val="00FE46E6"/>
    <w:rsid w:val="00FE4718"/>
    <w:rsid w:val="00FE4BDE"/>
    <w:rsid w:val="00FE50C9"/>
    <w:rsid w:val="00FE5E27"/>
    <w:rsid w:val="00FE5EB6"/>
    <w:rsid w:val="00FE6C4A"/>
    <w:rsid w:val="00FE7367"/>
    <w:rsid w:val="00FF07B9"/>
    <w:rsid w:val="00FF17BD"/>
    <w:rsid w:val="00FF1D9B"/>
    <w:rsid w:val="00FF1DC4"/>
    <w:rsid w:val="00FF2222"/>
    <w:rsid w:val="00FF2AD8"/>
    <w:rsid w:val="00FF2D70"/>
    <w:rsid w:val="00FF2E20"/>
    <w:rsid w:val="00FF3531"/>
    <w:rsid w:val="00FF40A2"/>
    <w:rsid w:val="00FF44E3"/>
    <w:rsid w:val="00FF45D6"/>
    <w:rsid w:val="00FF46A2"/>
    <w:rsid w:val="00FF4703"/>
    <w:rsid w:val="00FF49B9"/>
    <w:rsid w:val="00FF556D"/>
    <w:rsid w:val="00FF5BDD"/>
    <w:rsid w:val="00FF5D51"/>
    <w:rsid w:val="00FF5E92"/>
    <w:rsid w:val="00FF64E4"/>
    <w:rsid w:val="00FF6DA6"/>
    <w:rsid w:val="00FF733C"/>
    <w:rsid w:val="00FF74FE"/>
    <w:rsid w:val="00FF77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7E7C30"/>
  <w15:docId w15:val="{C5B0447E-8662-4963-820D-7D6FD319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2C"/>
    <w:pPr>
      <w:spacing w:before="120" w:after="120" w:line="240" w:lineRule="auto"/>
    </w:pPr>
  </w:style>
  <w:style w:type="paragraph" w:styleId="Heading1">
    <w:name w:val="heading 1"/>
    <w:basedOn w:val="Normal"/>
    <w:next w:val="Normal"/>
    <w:link w:val="Heading1Char"/>
    <w:uiPriority w:val="9"/>
    <w:qFormat/>
    <w:rsid w:val="00EB6508"/>
    <w:pPr>
      <w:keepNext/>
      <w:keepLines/>
      <w:numPr>
        <w:numId w:val="1"/>
      </w:numPr>
      <w:spacing w:before="240" w:after="240"/>
      <w:ind w:left="0" w:firstLine="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644D"/>
    <w:pPr>
      <w:keepNext/>
      <w:keepLines/>
      <w:numPr>
        <w:ilvl w:val="1"/>
        <w:numId w:val="18"/>
      </w:numPr>
      <w:spacing w:before="240" w:after="200"/>
      <w:ind w:left="709" w:hanging="709"/>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813253"/>
    <w:pPr>
      <w:keepNext/>
      <w:keepLines/>
      <w:numPr>
        <w:ilvl w:val="2"/>
        <w:numId w:val="19"/>
      </w:numPr>
      <w:spacing w:before="200" w:after="200"/>
      <w:ind w:left="709" w:hanging="709"/>
      <w:outlineLvl w:val="2"/>
    </w:pPr>
    <w:rPr>
      <w:rFonts w:ascii="Calibri" w:eastAsiaTheme="majorEastAsia" w:hAnsi="Calibri" w:cstheme="majorBidi"/>
      <w:color w:val="1F4D78" w:themeColor="accent1" w:themeShade="7F"/>
      <w:szCs w:val="24"/>
    </w:rPr>
  </w:style>
  <w:style w:type="paragraph" w:styleId="Heading4">
    <w:name w:val="heading 4"/>
    <w:basedOn w:val="Normal"/>
    <w:next w:val="Normal"/>
    <w:link w:val="Heading4Char"/>
    <w:uiPriority w:val="9"/>
    <w:unhideWhenUsed/>
    <w:qFormat/>
    <w:rsid w:val="00A67BFE"/>
    <w:pPr>
      <w:keepNext/>
      <w:keepLines/>
      <w:spacing w:before="0" w:after="20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A7C12"/>
    <w:pPr>
      <w:keepNext/>
      <w:keepLines/>
      <w:spacing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E668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E668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668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668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644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3253"/>
    <w:rPr>
      <w:rFonts w:ascii="Calibri" w:eastAsiaTheme="majorEastAsia" w:hAnsi="Calibri" w:cstheme="majorBidi"/>
      <w:color w:val="1F4D78" w:themeColor="accent1" w:themeShade="7F"/>
      <w:szCs w:val="24"/>
    </w:rPr>
  </w:style>
  <w:style w:type="character" w:customStyle="1" w:styleId="Heading4Char">
    <w:name w:val="Heading 4 Char"/>
    <w:basedOn w:val="DefaultParagraphFont"/>
    <w:link w:val="Heading4"/>
    <w:uiPriority w:val="9"/>
    <w:rsid w:val="00A67BF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A7C1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E668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E668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E66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668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5B3B2D"/>
    <w:pPr>
      <w:ind w:left="720"/>
      <w:contextualSpacing/>
    </w:pPr>
  </w:style>
  <w:style w:type="character" w:customStyle="1" w:styleId="ListParagraphChar">
    <w:name w:val="List Paragraph Char"/>
    <w:link w:val="ListParagraph"/>
    <w:uiPriority w:val="34"/>
    <w:locked/>
    <w:rsid w:val="00DB0E7C"/>
  </w:style>
  <w:style w:type="character" w:styleId="CommentReference">
    <w:name w:val="annotation reference"/>
    <w:basedOn w:val="DefaultParagraphFont"/>
    <w:uiPriority w:val="99"/>
    <w:semiHidden/>
    <w:unhideWhenUsed/>
    <w:rsid w:val="003A197C"/>
    <w:rPr>
      <w:sz w:val="16"/>
      <w:szCs w:val="16"/>
    </w:rPr>
  </w:style>
  <w:style w:type="paragraph" w:styleId="CommentText">
    <w:name w:val="annotation text"/>
    <w:basedOn w:val="Normal"/>
    <w:link w:val="CommentTextChar"/>
    <w:uiPriority w:val="99"/>
    <w:unhideWhenUsed/>
    <w:rsid w:val="003A197C"/>
    <w:rPr>
      <w:sz w:val="20"/>
      <w:szCs w:val="20"/>
    </w:rPr>
  </w:style>
  <w:style w:type="character" w:customStyle="1" w:styleId="CommentTextChar">
    <w:name w:val="Comment Text Char"/>
    <w:basedOn w:val="DefaultParagraphFont"/>
    <w:link w:val="CommentText"/>
    <w:uiPriority w:val="99"/>
    <w:rsid w:val="003A197C"/>
    <w:rPr>
      <w:sz w:val="20"/>
      <w:szCs w:val="20"/>
    </w:rPr>
  </w:style>
  <w:style w:type="paragraph" w:styleId="CommentSubject">
    <w:name w:val="annotation subject"/>
    <w:basedOn w:val="CommentText"/>
    <w:next w:val="CommentText"/>
    <w:link w:val="CommentSubjectChar"/>
    <w:uiPriority w:val="99"/>
    <w:semiHidden/>
    <w:unhideWhenUsed/>
    <w:rsid w:val="003A197C"/>
    <w:rPr>
      <w:b/>
      <w:bCs/>
    </w:rPr>
  </w:style>
  <w:style w:type="character" w:customStyle="1" w:styleId="CommentSubjectChar">
    <w:name w:val="Comment Subject Char"/>
    <w:basedOn w:val="CommentTextChar"/>
    <w:link w:val="CommentSubject"/>
    <w:uiPriority w:val="99"/>
    <w:semiHidden/>
    <w:rsid w:val="003A197C"/>
    <w:rPr>
      <w:b/>
      <w:bCs/>
      <w:sz w:val="20"/>
      <w:szCs w:val="20"/>
    </w:rPr>
  </w:style>
  <w:style w:type="paragraph" w:styleId="BalloonText">
    <w:name w:val="Balloon Text"/>
    <w:basedOn w:val="Normal"/>
    <w:link w:val="BalloonTextChar"/>
    <w:uiPriority w:val="99"/>
    <w:semiHidden/>
    <w:unhideWhenUsed/>
    <w:rsid w:val="003A19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97C"/>
    <w:rPr>
      <w:rFonts w:ascii="Segoe UI" w:hAnsi="Segoe UI" w:cs="Segoe UI"/>
      <w:sz w:val="18"/>
      <w:szCs w:val="18"/>
    </w:rPr>
  </w:style>
  <w:style w:type="paragraph" w:customStyle="1" w:styleId="EndNoteBibliographyTitle">
    <w:name w:val="EndNote Bibliography Title"/>
    <w:basedOn w:val="Normal"/>
    <w:link w:val="EndNoteBibliographyTitleChar"/>
    <w:rsid w:val="00133B7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33B70"/>
    <w:rPr>
      <w:rFonts w:ascii="Calibri" w:hAnsi="Calibri"/>
      <w:noProof/>
      <w:lang w:val="en-US"/>
    </w:rPr>
  </w:style>
  <w:style w:type="paragraph" w:customStyle="1" w:styleId="EndNoteBibliography">
    <w:name w:val="EndNote Bibliography"/>
    <w:basedOn w:val="Normal"/>
    <w:link w:val="EndNoteBibliographyChar"/>
    <w:rsid w:val="00133B70"/>
    <w:rPr>
      <w:rFonts w:ascii="Calibri" w:hAnsi="Calibri"/>
      <w:noProof/>
      <w:lang w:val="en-US"/>
    </w:rPr>
  </w:style>
  <w:style w:type="character" w:customStyle="1" w:styleId="EndNoteBibliographyChar">
    <w:name w:val="EndNote Bibliography Char"/>
    <w:basedOn w:val="DefaultParagraphFont"/>
    <w:link w:val="EndNoteBibliography"/>
    <w:rsid w:val="00133B70"/>
    <w:rPr>
      <w:rFonts w:ascii="Calibri" w:hAnsi="Calibri"/>
      <w:noProof/>
      <w:lang w:val="en-US"/>
    </w:rPr>
  </w:style>
  <w:style w:type="paragraph" w:styleId="Caption">
    <w:name w:val="caption"/>
    <w:basedOn w:val="Normal"/>
    <w:next w:val="Normal"/>
    <w:link w:val="CaptionChar"/>
    <w:autoRedefine/>
    <w:uiPriority w:val="35"/>
    <w:unhideWhenUsed/>
    <w:qFormat/>
    <w:rsid w:val="001B3009"/>
    <w:pPr>
      <w:spacing w:after="200"/>
      <w:ind w:right="113"/>
    </w:pPr>
    <w:rPr>
      <w:i/>
      <w:color w:val="44546A" w:themeColor="text2"/>
      <w:sz w:val="18"/>
      <w:szCs w:val="18"/>
    </w:rPr>
  </w:style>
  <w:style w:type="character" w:customStyle="1" w:styleId="CaptionChar">
    <w:name w:val="Caption Char"/>
    <w:basedOn w:val="DefaultParagraphFont"/>
    <w:link w:val="Caption"/>
    <w:uiPriority w:val="35"/>
    <w:locked/>
    <w:rsid w:val="00D11ECE"/>
    <w:rPr>
      <w:i/>
      <w:color w:val="44546A" w:themeColor="text2"/>
      <w:sz w:val="18"/>
      <w:szCs w:val="18"/>
    </w:rPr>
  </w:style>
  <w:style w:type="paragraph" w:styleId="FootnoteText">
    <w:name w:val="footnote text"/>
    <w:basedOn w:val="Normal"/>
    <w:link w:val="FootnoteTextChar"/>
    <w:uiPriority w:val="99"/>
    <w:unhideWhenUsed/>
    <w:rsid w:val="00A4313A"/>
    <w:pPr>
      <w:spacing w:after="0"/>
    </w:pPr>
    <w:rPr>
      <w:sz w:val="20"/>
      <w:szCs w:val="20"/>
    </w:rPr>
  </w:style>
  <w:style w:type="character" w:customStyle="1" w:styleId="FootnoteTextChar">
    <w:name w:val="Footnote Text Char"/>
    <w:basedOn w:val="DefaultParagraphFont"/>
    <w:link w:val="FootnoteText"/>
    <w:uiPriority w:val="99"/>
    <w:rsid w:val="00A4313A"/>
    <w:rPr>
      <w:sz w:val="20"/>
      <w:szCs w:val="20"/>
    </w:rPr>
  </w:style>
  <w:style w:type="character" w:styleId="FootnoteReference">
    <w:name w:val="footnote reference"/>
    <w:aliases w:val="16 Point,Superscript 6 Point"/>
    <w:basedOn w:val="DefaultParagraphFont"/>
    <w:uiPriority w:val="99"/>
    <w:unhideWhenUsed/>
    <w:rsid w:val="00A4313A"/>
    <w:rPr>
      <w:vertAlign w:val="superscript"/>
    </w:rPr>
  </w:style>
  <w:style w:type="paragraph" w:styleId="TOCHeading">
    <w:name w:val="TOC Heading"/>
    <w:basedOn w:val="Heading1"/>
    <w:next w:val="Normal"/>
    <w:uiPriority w:val="39"/>
    <w:unhideWhenUsed/>
    <w:qFormat/>
    <w:rsid w:val="00960E0C"/>
    <w:pPr>
      <w:outlineLvl w:val="9"/>
    </w:pPr>
    <w:rPr>
      <w:lang w:val="en-US"/>
    </w:rPr>
  </w:style>
  <w:style w:type="paragraph" w:styleId="TOC1">
    <w:name w:val="toc 1"/>
    <w:basedOn w:val="Normal"/>
    <w:next w:val="Normal"/>
    <w:autoRedefine/>
    <w:uiPriority w:val="39"/>
    <w:unhideWhenUsed/>
    <w:rsid w:val="00960E0C"/>
    <w:rPr>
      <w:b/>
      <w:bCs/>
      <w:caps/>
      <w:sz w:val="20"/>
      <w:szCs w:val="20"/>
    </w:rPr>
  </w:style>
  <w:style w:type="paragraph" w:styleId="TOC2">
    <w:name w:val="toc 2"/>
    <w:basedOn w:val="Normal"/>
    <w:next w:val="Normal"/>
    <w:autoRedefine/>
    <w:uiPriority w:val="39"/>
    <w:unhideWhenUsed/>
    <w:rsid w:val="00960E0C"/>
    <w:pPr>
      <w:spacing w:before="0" w:after="0"/>
      <w:ind w:left="220"/>
    </w:pPr>
    <w:rPr>
      <w:smallCaps/>
      <w:sz w:val="20"/>
      <w:szCs w:val="20"/>
    </w:rPr>
  </w:style>
  <w:style w:type="paragraph" w:styleId="TOC3">
    <w:name w:val="toc 3"/>
    <w:basedOn w:val="Normal"/>
    <w:next w:val="Normal"/>
    <w:autoRedefine/>
    <w:uiPriority w:val="39"/>
    <w:unhideWhenUsed/>
    <w:rsid w:val="00960E0C"/>
    <w:pPr>
      <w:spacing w:before="0" w:after="0"/>
      <w:ind w:left="440"/>
    </w:pPr>
    <w:rPr>
      <w:i/>
      <w:iCs/>
      <w:sz w:val="20"/>
      <w:szCs w:val="20"/>
    </w:rPr>
  </w:style>
  <w:style w:type="character" w:styleId="Hyperlink">
    <w:name w:val="Hyperlink"/>
    <w:basedOn w:val="DefaultParagraphFont"/>
    <w:uiPriority w:val="99"/>
    <w:unhideWhenUsed/>
    <w:rsid w:val="00960E0C"/>
    <w:rPr>
      <w:color w:val="0563C1" w:themeColor="hyperlink"/>
      <w:u w:val="single"/>
    </w:rPr>
  </w:style>
  <w:style w:type="table" w:styleId="TableGrid">
    <w:name w:val="Table Grid"/>
    <w:basedOn w:val="TableNormal"/>
    <w:uiPriority w:val="59"/>
    <w:rsid w:val="0093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AGDocHeading">
    <w:name w:val="MRAG Doc Heading"/>
    <w:basedOn w:val="Normal"/>
    <w:qFormat/>
    <w:rsid w:val="00B34420"/>
    <w:pPr>
      <w:spacing w:before="0" w:after="0"/>
      <w:jc w:val="right"/>
    </w:pPr>
    <w:rPr>
      <w:rFonts w:ascii="Arial" w:eastAsia="Calibri" w:hAnsi="Arial" w:cs="Times New Roman"/>
      <w:b/>
      <w:color w:val="F2F2F2"/>
      <w:sz w:val="36"/>
    </w:rPr>
  </w:style>
  <w:style w:type="paragraph" w:customStyle="1" w:styleId="MRAGDocCoverOther">
    <w:name w:val="MRAG Doc Cover Other"/>
    <w:basedOn w:val="Normal"/>
    <w:rsid w:val="00B34420"/>
    <w:pPr>
      <w:spacing w:before="0"/>
      <w:jc w:val="right"/>
    </w:pPr>
    <w:rPr>
      <w:rFonts w:ascii="Arial" w:eastAsia="Calibri" w:hAnsi="Arial" w:cs="Times New Roman"/>
      <w:color w:val="F2F2F2"/>
      <w:sz w:val="24"/>
    </w:rPr>
  </w:style>
  <w:style w:type="character" w:customStyle="1" w:styleId="IDDVariableMarker">
    <w:name w:val="IDDVariableMarker"/>
    <w:rsid w:val="00B34420"/>
    <w:rPr>
      <w:b/>
    </w:rPr>
  </w:style>
  <w:style w:type="paragraph" w:customStyle="1" w:styleId="About">
    <w:name w:val="About"/>
    <w:basedOn w:val="Normal"/>
    <w:qFormat/>
    <w:rsid w:val="00B34420"/>
    <w:pPr>
      <w:pBdr>
        <w:top w:val="single" w:sz="4" w:space="1" w:color="auto"/>
        <w:left w:val="single" w:sz="4" w:space="1" w:color="auto"/>
        <w:bottom w:val="single" w:sz="4" w:space="1" w:color="auto"/>
        <w:right w:val="single" w:sz="4" w:space="1" w:color="auto"/>
      </w:pBdr>
      <w:spacing w:line="276" w:lineRule="auto"/>
    </w:pPr>
    <w:rPr>
      <w:rFonts w:ascii="Arial Narrow" w:eastAsia="Calibri" w:hAnsi="Arial Narrow" w:cs="Times New Roman"/>
      <w:b/>
      <w:color w:val="0054A4"/>
      <w:sz w:val="26"/>
      <w:szCs w:val="26"/>
    </w:rPr>
  </w:style>
  <w:style w:type="paragraph" w:styleId="Header">
    <w:name w:val="header"/>
    <w:basedOn w:val="Normal"/>
    <w:link w:val="HeaderChar"/>
    <w:uiPriority w:val="99"/>
    <w:unhideWhenUsed/>
    <w:rsid w:val="00B34420"/>
    <w:pPr>
      <w:tabs>
        <w:tab w:val="center" w:pos="4513"/>
        <w:tab w:val="right" w:pos="9026"/>
      </w:tabs>
      <w:spacing w:before="0" w:after="0"/>
    </w:pPr>
  </w:style>
  <w:style w:type="character" w:customStyle="1" w:styleId="HeaderChar">
    <w:name w:val="Header Char"/>
    <w:basedOn w:val="DefaultParagraphFont"/>
    <w:link w:val="Header"/>
    <w:uiPriority w:val="99"/>
    <w:rsid w:val="00B34420"/>
  </w:style>
  <w:style w:type="paragraph" w:styleId="Footer">
    <w:name w:val="footer"/>
    <w:basedOn w:val="Normal"/>
    <w:link w:val="FooterChar"/>
    <w:uiPriority w:val="99"/>
    <w:unhideWhenUsed/>
    <w:rsid w:val="00B34420"/>
    <w:pPr>
      <w:tabs>
        <w:tab w:val="center" w:pos="4513"/>
        <w:tab w:val="right" w:pos="9026"/>
      </w:tabs>
      <w:spacing w:before="0" w:after="0"/>
    </w:pPr>
  </w:style>
  <w:style w:type="character" w:customStyle="1" w:styleId="FooterChar">
    <w:name w:val="Footer Char"/>
    <w:basedOn w:val="DefaultParagraphFont"/>
    <w:link w:val="Footer"/>
    <w:uiPriority w:val="99"/>
    <w:rsid w:val="00B34420"/>
  </w:style>
  <w:style w:type="paragraph" w:styleId="NormalWeb">
    <w:name w:val="Normal (Web)"/>
    <w:basedOn w:val="Normal"/>
    <w:uiPriority w:val="99"/>
    <w:unhideWhenUsed/>
    <w:rsid w:val="0037258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372584"/>
  </w:style>
  <w:style w:type="paragraph" w:customStyle="1" w:styleId="Default">
    <w:name w:val="Default"/>
    <w:rsid w:val="00B305B4"/>
    <w:pPr>
      <w:autoSpaceDE w:val="0"/>
      <w:autoSpaceDN w:val="0"/>
      <w:adjustRightInd w:val="0"/>
      <w:spacing w:after="0" w:line="240" w:lineRule="auto"/>
    </w:pPr>
    <w:rPr>
      <w:rFonts w:ascii="Calibri" w:hAnsi="Calibri" w:cs="Calibri"/>
      <w:color w:val="000000"/>
      <w:sz w:val="24"/>
      <w:szCs w:val="24"/>
    </w:rPr>
  </w:style>
  <w:style w:type="character" w:customStyle="1" w:styleId="hvr">
    <w:name w:val="hvr"/>
    <w:basedOn w:val="DefaultParagraphFont"/>
    <w:rsid w:val="0092692C"/>
  </w:style>
  <w:style w:type="character" w:styleId="IntenseEmphasis">
    <w:name w:val="Intense Emphasis"/>
    <w:basedOn w:val="DefaultParagraphFont"/>
    <w:uiPriority w:val="21"/>
    <w:qFormat/>
    <w:rsid w:val="00750958"/>
    <w:rPr>
      <w:b/>
      <w:bCs/>
      <w:i/>
      <w:iCs/>
      <w:color w:val="5B9BD5" w:themeColor="accent1"/>
    </w:rPr>
  </w:style>
  <w:style w:type="paragraph" w:styleId="Subtitle">
    <w:name w:val="Subtitle"/>
    <w:basedOn w:val="Normal"/>
    <w:next w:val="Normal"/>
    <w:link w:val="SubtitleChar"/>
    <w:uiPriority w:val="11"/>
    <w:qFormat/>
    <w:rsid w:val="00F42BB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42BBF"/>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C55BA7"/>
    <w:pPr>
      <w:spacing w:after="0" w:line="240" w:lineRule="auto"/>
    </w:pPr>
  </w:style>
  <w:style w:type="character" w:styleId="Strong">
    <w:name w:val="Strong"/>
    <w:basedOn w:val="DefaultParagraphFont"/>
    <w:uiPriority w:val="22"/>
    <w:qFormat/>
    <w:rsid w:val="00C55BA7"/>
    <w:rPr>
      <w:b/>
      <w:bCs/>
    </w:rPr>
  </w:style>
  <w:style w:type="paragraph" w:styleId="TableofFigures">
    <w:name w:val="table of figures"/>
    <w:basedOn w:val="Normal"/>
    <w:next w:val="Normal"/>
    <w:uiPriority w:val="99"/>
    <w:unhideWhenUsed/>
    <w:rsid w:val="003D2931"/>
    <w:pPr>
      <w:spacing w:before="0" w:after="0"/>
      <w:ind w:left="440" w:hanging="440"/>
    </w:pPr>
    <w:rPr>
      <w:smallCaps/>
      <w:sz w:val="20"/>
      <w:szCs w:val="20"/>
    </w:rPr>
  </w:style>
  <w:style w:type="paragraph" w:styleId="TOC4">
    <w:name w:val="toc 4"/>
    <w:basedOn w:val="Normal"/>
    <w:next w:val="Normal"/>
    <w:autoRedefine/>
    <w:uiPriority w:val="39"/>
    <w:unhideWhenUsed/>
    <w:rsid w:val="00B643BA"/>
    <w:pPr>
      <w:spacing w:before="0" w:after="0"/>
      <w:ind w:left="660"/>
    </w:pPr>
    <w:rPr>
      <w:sz w:val="18"/>
      <w:szCs w:val="18"/>
    </w:rPr>
  </w:style>
  <w:style w:type="paragraph" w:styleId="TOC5">
    <w:name w:val="toc 5"/>
    <w:basedOn w:val="Normal"/>
    <w:next w:val="Normal"/>
    <w:autoRedefine/>
    <w:uiPriority w:val="39"/>
    <w:unhideWhenUsed/>
    <w:rsid w:val="00B643BA"/>
    <w:pPr>
      <w:spacing w:before="0" w:after="0"/>
      <w:ind w:left="880"/>
    </w:pPr>
    <w:rPr>
      <w:sz w:val="18"/>
      <w:szCs w:val="18"/>
    </w:rPr>
  </w:style>
  <w:style w:type="paragraph" w:styleId="TOC6">
    <w:name w:val="toc 6"/>
    <w:basedOn w:val="Normal"/>
    <w:next w:val="Normal"/>
    <w:autoRedefine/>
    <w:uiPriority w:val="39"/>
    <w:unhideWhenUsed/>
    <w:rsid w:val="00B643BA"/>
    <w:pPr>
      <w:spacing w:before="0" w:after="0"/>
      <w:ind w:left="1100"/>
    </w:pPr>
    <w:rPr>
      <w:sz w:val="18"/>
      <w:szCs w:val="18"/>
    </w:rPr>
  </w:style>
  <w:style w:type="paragraph" w:styleId="TOC7">
    <w:name w:val="toc 7"/>
    <w:basedOn w:val="Normal"/>
    <w:next w:val="Normal"/>
    <w:autoRedefine/>
    <w:uiPriority w:val="39"/>
    <w:unhideWhenUsed/>
    <w:rsid w:val="00B643BA"/>
    <w:pPr>
      <w:spacing w:before="0" w:after="0"/>
      <w:ind w:left="1320"/>
    </w:pPr>
    <w:rPr>
      <w:sz w:val="18"/>
      <w:szCs w:val="18"/>
    </w:rPr>
  </w:style>
  <w:style w:type="paragraph" w:styleId="TOC8">
    <w:name w:val="toc 8"/>
    <w:basedOn w:val="Normal"/>
    <w:next w:val="Normal"/>
    <w:autoRedefine/>
    <w:uiPriority w:val="39"/>
    <w:unhideWhenUsed/>
    <w:rsid w:val="00B643BA"/>
    <w:pPr>
      <w:spacing w:before="0" w:after="0"/>
      <w:ind w:left="1540"/>
    </w:pPr>
    <w:rPr>
      <w:sz w:val="18"/>
      <w:szCs w:val="18"/>
    </w:rPr>
  </w:style>
  <w:style w:type="paragraph" w:styleId="TOC9">
    <w:name w:val="toc 9"/>
    <w:basedOn w:val="Normal"/>
    <w:next w:val="Normal"/>
    <w:autoRedefine/>
    <w:uiPriority w:val="39"/>
    <w:unhideWhenUsed/>
    <w:rsid w:val="00B643BA"/>
    <w:pPr>
      <w:spacing w:before="0" w:after="0"/>
      <w:ind w:left="1760"/>
    </w:pPr>
    <w:rPr>
      <w:sz w:val="18"/>
      <w:szCs w:val="18"/>
    </w:rPr>
  </w:style>
  <w:style w:type="character" w:styleId="IntenseReference">
    <w:name w:val="Intense Reference"/>
    <w:basedOn w:val="DefaultParagraphFont"/>
    <w:uiPriority w:val="32"/>
    <w:qFormat/>
    <w:rsid w:val="004B0018"/>
    <w:rPr>
      <w:b/>
      <w:bCs/>
      <w:smallCaps/>
      <w:color w:val="5B9BD5" w:themeColor="accent1"/>
      <w:spacing w:val="5"/>
    </w:rPr>
  </w:style>
  <w:style w:type="table" w:customStyle="1" w:styleId="GridTable4-Accent51">
    <w:name w:val="Grid Table 4 - Accent 51"/>
    <w:basedOn w:val="TableNormal"/>
    <w:uiPriority w:val="49"/>
    <w:rsid w:val="00DB1C82"/>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EF5A42"/>
    <w:pPr>
      <w:spacing w:after="0" w:line="240" w:lineRule="auto"/>
    </w:pPr>
  </w:style>
  <w:style w:type="character" w:customStyle="1" w:styleId="UnresolvedMention1">
    <w:name w:val="Unresolved Mention1"/>
    <w:basedOn w:val="DefaultParagraphFont"/>
    <w:uiPriority w:val="99"/>
    <w:semiHidden/>
    <w:unhideWhenUsed/>
    <w:rsid w:val="00DC1202"/>
    <w:rPr>
      <w:color w:val="808080"/>
      <w:shd w:val="clear" w:color="auto" w:fill="E6E6E6"/>
    </w:rPr>
  </w:style>
  <w:style w:type="character" w:styleId="FollowedHyperlink">
    <w:name w:val="FollowedHyperlink"/>
    <w:basedOn w:val="DefaultParagraphFont"/>
    <w:uiPriority w:val="99"/>
    <w:semiHidden/>
    <w:unhideWhenUsed/>
    <w:rsid w:val="00585101"/>
    <w:rPr>
      <w:color w:val="954F72" w:themeColor="followedHyperlink"/>
      <w:u w:val="single"/>
    </w:rPr>
  </w:style>
  <w:style w:type="character" w:styleId="Emphasis">
    <w:name w:val="Emphasis"/>
    <w:basedOn w:val="DefaultParagraphFont"/>
    <w:uiPriority w:val="20"/>
    <w:qFormat/>
    <w:rsid w:val="00DB0E7C"/>
    <w:rPr>
      <w:i/>
      <w:iCs/>
    </w:rPr>
  </w:style>
  <w:style w:type="character" w:customStyle="1" w:styleId="Preparersnotenobold">
    <w:name w:val="Preparer's note (no bold)"/>
    <w:rsid w:val="00594908"/>
    <w:rPr>
      <w:i/>
    </w:rPr>
  </w:style>
  <w:style w:type="paragraph" w:styleId="Title">
    <w:name w:val="Title"/>
    <w:basedOn w:val="Normal"/>
    <w:next w:val="Normal"/>
    <w:link w:val="TitleChar"/>
    <w:uiPriority w:val="10"/>
    <w:qFormat/>
    <w:rsid w:val="00603CC2"/>
    <w:pPr>
      <w:spacing w:before="0" w:after="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603CC2"/>
    <w:rPr>
      <w:rFonts w:asciiTheme="majorHAnsi" w:eastAsiaTheme="majorEastAsia" w:hAnsiTheme="majorHAnsi" w:cstheme="majorBidi"/>
      <w:spacing w:val="-10"/>
      <w:kern w:val="28"/>
      <w:sz w:val="56"/>
      <w:szCs w:val="56"/>
      <w:lang w:val="en-GB"/>
    </w:rPr>
  </w:style>
  <w:style w:type="paragraph" w:customStyle="1" w:styleId="msonormal0">
    <w:name w:val="msonormal"/>
    <w:basedOn w:val="Normal"/>
    <w:uiPriority w:val="99"/>
    <w:semiHidden/>
    <w:rsid w:val="003B37C0"/>
    <w:pPr>
      <w:spacing w:before="100" w:beforeAutospacing="1" w:after="100" w:afterAutospacing="1"/>
    </w:pPr>
    <w:rPr>
      <w:rFonts w:ascii="Times New Roman" w:eastAsiaTheme="minorEastAsia" w:hAnsi="Times New Roman" w:cs="Times New Roman"/>
      <w:sz w:val="24"/>
      <w:szCs w:val="24"/>
      <w:lang w:eastAsia="en-AU"/>
    </w:rPr>
  </w:style>
  <w:style w:type="paragraph" w:customStyle="1" w:styleId="ydp6a5bb8bemsonormal">
    <w:name w:val="ydp6a5bb8bemsonormal"/>
    <w:basedOn w:val="Normal"/>
    <w:rsid w:val="003B37C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9468137775ydpef8f7c83yiv8354969507ydpcc648037yiv5820371427msolistparagraph">
    <w:name w:val="yiv9468137775ydpef8f7c83yiv8354969507ydpcc648037yiv5820371427msolistparagraph"/>
    <w:basedOn w:val="Normal"/>
    <w:uiPriority w:val="99"/>
    <w:semiHidden/>
    <w:rsid w:val="003B37C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0246033149msolistparagraph">
    <w:name w:val="yiv0246033149msolistparagraph"/>
    <w:basedOn w:val="Normal"/>
    <w:uiPriority w:val="99"/>
    <w:semiHidden/>
    <w:rsid w:val="003B37C0"/>
    <w:pPr>
      <w:spacing w:before="100" w:beforeAutospacing="1" w:after="100" w:afterAutospacing="1"/>
    </w:pPr>
    <w:rPr>
      <w:rFonts w:ascii="Times New Roman" w:eastAsia="Times New Roman" w:hAnsi="Times New Roman" w:cs="Times New Roman"/>
      <w:sz w:val="24"/>
      <w:szCs w:val="24"/>
      <w:lang w:val="en-US"/>
    </w:rPr>
  </w:style>
  <w:style w:type="character" w:customStyle="1" w:styleId="Style1Char">
    <w:name w:val="Style1 Char"/>
    <w:basedOn w:val="DefaultParagraphFont"/>
    <w:link w:val="Style1"/>
    <w:semiHidden/>
    <w:locked/>
    <w:rsid w:val="003B37C0"/>
    <w:rPr>
      <w:rFonts w:ascii="Times New Roman" w:hAnsi="Times New Roman" w:cs="Times New Roman"/>
      <w:b/>
      <w:color w:val="5B9BD5" w:themeColor="accent1"/>
    </w:rPr>
  </w:style>
  <w:style w:type="paragraph" w:customStyle="1" w:styleId="Style1">
    <w:name w:val="Style1"/>
    <w:basedOn w:val="Normal"/>
    <w:link w:val="Style1Char"/>
    <w:semiHidden/>
    <w:qFormat/>
    <w:rsid w:val="003B37C0"/>
    <w:pPr>
      <w:spacing w:before="0" w:after="160"/>
    </w:pPr>
    <w:rPr>
      <w:rFonts w:ascii="Times New Roman" w:hAnsi="Times New Roman" w:cs="Times New Roman"/>
      <w:b/>
      <w:color w:val="5B9BD5" w:themeColor="accent1"/>
    </w:rPr>
  </w:style>
  <w:style w:type="character" w:customStyle="1" w:styleId="Heading1PCCOSChar">
    <w:name w:val="Heading 1 PCCOS Char"/>
    <w:basedOn w:val="Style1Char"/>
    <w:link w:val="Heading1PCCOS"/>
    <w:semiHidden/>
    <w:locked/>
    <w:rsid w:val="003B37C0"/>
    <w:rPr>
      <w:rFonts w:ascii="Times New Roman" w:hAnsi="Times New Roman" w:cs="Times New Roman"/>
      <w:b/>
      <w:color w:val="5B9BD5" w:themeColor="accent1"/>
    </w:rPr>
  </w:style>
  <w:style w:type="paragraph" w:customStyle="1" w:styleId="Heading1PCCOS">
    <w:name w:val="Heading 1 PCCOS"/>
    <w:basedOn w:val="Style1"/>
    <w:link w:val="Heading1PCCOSChar"/>
    <w:semiHidden/>
    <w:rsid w:val="003B37C0"/>
  </w:style>
  <w:style w:type="character" w:customStyle="1" w:styleId="Heading2-PCCOSChar">
    <w:name w:val="Heading 2 - PCCOS Char"/>
    <w:basedOn w:val="DefaultParagraphFont"/>
    <w:link w:val="Heading2-PCCOS"/>
    <w:semiHidden/>
    <w:locked/>
    <w:rsid w:val="003B37C0"/>
    <w:rPr>
      <w:rFonts w:ascii="Times New Roman" w:hAnsi="Times New Roman" w:cs="Times New Roman"/>
      <w:i/>
      <w:color w:val="2E74B5" w:themeColor="accent1" w:themeShade="BF"/>
    </w:rPr>
  </w:style>
  <w:style w:type="paragraph" w:customStyle="1" w:styleId="Heading2-PCCOS">
    <w:name w:val="Heading 2 - PCCOS"/>
    <w:basedOn w:val="Normal"/>
    <w:link w:val="Heading2-PCCOSChar"/>
    <w:semiHidden/>
    <w:rsid w:val="003B37C0"/>
    <w:pPr>
      <w:spacing w:before="0" w:after="160"/>
    </w:pPr>
    <w:rPr>
      <w:rFonts w:ascii="Times New Roman" w:hAnsi="Times New Roman" w:cs="Times New Roman"/>
      <w:i/>
      <w:color w:val="2E74B5" w:themeColor="accent1" w:themeShade="BF"/>
    </w:rPr>
  </w:style>
  <w:style w:type="paragraph" w:customStyle="1" w:styleId="bodytext">
    <w:name w:val="bodytext"/>
    <w:basedOn w:val="Normal"/>
    <w:uiPriority w:val="99"/>
    <w:semiHidden/>
    <w:rsid w:val="003B37C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0967987596msonormal">
    <w:name w:val="yiv0967987596msonormal"/>
    <w:basedOn w:val="Normal"/>
    <w:uiPriority w:val="99"/>
    <w:semiHidden/>
    <w:rsid w:val="003B37C0"/>
    <w:pPr>
      <w:spacing w:before="100" w:beforeAutospacing="1" w:after="100" w:afterAutospacing="1"/>
    </w:pPr>
    <w:rPr>
      <w:rFonts w:ascii="Times New Roman" w:eastAsia="Times New Roman" w:hAnsi="Times New Roman" w:cs="Times New Roman"/>
      <w:sz w:val="24"/>
      <w:szCs w:val="24"/>
      <w:lang w:val="en-US"/>
    </w:rPr>
  </w:style>
  <w:style w:type="character" w:customStyle="1" w:styleId="yiv0246033149fontstyle01">
    <w:name w:val="yiv0246033149fontstyle01"/>
    <w:basedOn w:val="DefaultParagraphFont"/>
    <w:rsid w:val="003B37C0"/>
  </w:style>
  <w:style w:type="paragraph" w:customStyle="1" w:styleId="yiv1992861802msonormal">
    <w:name w:val="yiv1992861802msonormal"/>
    <w:basedOn w:val="Normal"/>
    <w:rsid w:val="007A598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yiv8963522518ydp1762fbf3yiv1478861104msonormal">
    <w:name w:val="yiv8963522518ydp1762fbf3yiv1478861104msonormal"/>
    <w:basedOn w:val="Normal"/>
    <w:rsid w:val="007A598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4z2avtcy">
    <w:name w:val="c4_z2avtcy"/>
    <w:basedOn w:val="DefaultParagraphFont"/>
    <w:rsid w:val="007A598D"/>
  </w:style>
  <w:style w:type="character" w:customStyle="1" w:styleId="efq7">
    <w:name w:val="e_fq7"/>
    <w:basedOn w:val="DefaultParagraphFont"/>
    <w:rsid w:val="007A598D"/>
  </w:style>
  <w:style w:type="character" w:customStyle="1" w:styleId="fn">
    <w:name w:val="fn"/>
    <w:basedOn w:val="DefaultParagraphFont"/>
    <w:rsid w:val="00A32107"/>
  </w:style>
  <w:style w:type="table" w:customStyle="1" w:styleId="TableGrid1">
    <w:name w:val="Table Grid1"/>
    <w:basedOn w:val="TableNormal"/>
    <w:next w:val="TableGrid"/>
    <w:uiPriority w:val="59"/>
    <w:rsid w:val="00570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rsid w:val="00C14A1C"/>
    <w:pPr>
      <w:spacing w:before="100" w:line="260" w:lineRule="atLeast"/>
    </w:pPr>
    <w:rPr>
      <w:rFonts w:ascii="Calibri" w:eastAsia="Times New Roman" w:hAnsi="Calibri" w:cs="Calibri"/>
      <w:lang w:eastAsia="en-AU"/>
    </w:rPr>
  </w:style>
  <w:style w:type="character" w:customStyle="1" w:styleId="BodyTextChar">
    <w:name w:val="Body Text Char"/>
    <w:basedOn w:val="DefaultParagraphFont"/>
    <w:link w:val="BodyText0"/>
    <w:rsid w:val="00C14A1C"/>
    <w:rPr>
      <w:rFonts w:ascii="Calibri" w:eastAsia="Times New Roman" w:hAnsi="Calibri" w:cs="Calibri"/>
      <w:lang w:eastAsia="en-AU"/>
    </w:rPr>
  </w:style>
  <w:style w:type="paragraph" w:customStyle="1" w:styleId="StyleBulletPointRed">
    <w:name w:val="Style Bullet Point + Red"/>
    <w:basedOn w:val="Normal"/>
    <w:rsid w:val="00C14A1C"/>
    <w:pPr>
      <w:tabs>
        <w:tab w:val="num" w:pos="1080"/>
        <w:tab w:val="left" w:pos="1701"/>
      </w:tabs>
      <w:ind w:left="1080" w:hanging="720"/>
      <w:jc w:val="both"/>
    </w:pPr>
    <w:rPr>
      <w:rFonts w:ascii="Times New Roman" w:eastAsia="Times New Roman" w:hAnsi="Times New Roman" w:cs="Times New Roman"/>
      <w:b/>
      <w:color w:val="FF0000"/>
      <w:szCs w:val="24"/>
      <w:lang w:eastAsia="en-AU"/>
    </w:rPr>
  </w:style>
  <w:style w:type="paragraph" w:customStyle="1" w:styleId="MRAGHeading1">
    <w:name w:val="MRAG Heading 1"/>
    <w:basedOn w:val="Normal"/>
    <w:next w:val="Normal"/>
    <w:qFormat/>
    <w:rsid w:val="00C80480"/>
    <w:pPr>
      <w:numPr>
        <w:numId w:val="4"/>
      </w:numPr>
      <w:spacing w:before="400" w:after="240"/>
      <w:jc w:val="both"/>
    </w:pPr>
    <w:rPr>
      <w:rFonts w:ascii="Arial" w:hAnsi="Arial" w:cs="Arial"/>
      <w:b/>
      <w:color w:val="0054A4"/>
      <w:sz w:val="26"/>
      <w:szCs w:val="24"/>
    </w:rPr>
  </w:style>
  <w:style w:type="paragraph" w:customStyle="1" w:styleId="MRAGHeading4">
    <w:name w:val="MRAG Heading 4"/>
    <w:basedOn w:val="Heading4"/>
    <w:next w:val="Normal"/>
    <w:link w:val="MRAGHeading4Char"/>
    <w:qFormat/>
    <w:rsid w:val="00C80480"/>
    <w:pPr>
      <w:spacing w:before="200" w:after="120"/>
      <w:ind w:left="284"/>
      <w:jc w:val="both"/>
    </w:pPr>
    <w:rPr>
      <w:rFonts w:ascii="Arial Narrow" w:hAnsi="Arial Narrow" w:cs="Arial"/>
      <w:b/>
      <w:bCs/>
      <w:color w:val="5B9BD5" w:themeColor="accent1"/>
    </w:rPr>
  </w:style>
  <w:style w:type="character" w:customStyle="1" w:styleId="MRAGHeading4Char">
    <w:name w:val="MRAG Heading 4 Char"/>
    <w:basedOn w:val="DefaultParagraphFont"/>
    <w:link w:val="MRAGHeading4"/>
    <w:rsid w:val="00C80480"/>
    <w:rPr>
      <w:rFonts w:ascii="Arial Narrow" w:eastAsiaTheme="majorEastAsia" w:hAnsi="Arial Narrow" w:cs="Arial"/>
      <w:b/>
      <w:bCs/>
      <w:i/>
      <w:iCs/>
      <w:color w:val="5B9BD5" w:themeColor="accent1"/>
    </w:rPr>
  </w:style>
  <w:style w:type="table" w:styleId="LightList-Accent1">
    <w:name w:val="Light List Accent 1"/>
    <w:basedOn w:val="TableNormal"/>
    <w:uiPriority w:val="61"/>
    <w:rsid w:val="008F258A"/>
    <w:pPr>
      <w:spacing w:after="0" w:line="240" w:lineRule="auto"/>
    </w:pPr>
    <w:rPr>
      <w:rFonts w:ascii="Arial" w:eastAsia="Times New Roman" w:hAnsi="Arial"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
    <w:name w:val="_Body"/>
    <w:qFormat/>
    <w:rsid w:val="008F258A"/>
    <w:pPr>
      <w:spacing w:after="113" w:line="240" w:lineRule="atLeast"/>
    </w:pPr>
    <w:rPr>
      <w:rFonts w:ascii="Arial" w:eastAsia="Times New Roman" w:hAnsi="Arial" w:cs="Arial"/>
      <w:sz w:val="18"/>
      <w:szCs w:val="24"/>
    </w:rPr>
  </w:style>
  <w:style w:type="character" w:styleId="UnresolvedMention">
    <w:name w:val="Unresolved Mention"/>
    <w:basedOn w:val="DefaultParagraphFont"/>
    <w:uiPriority w:val="99"/>
    <w:semiHidden/>
    <w:unhideWhenUsed/>
    <w:rsid w:val="001E4006"/>
    <w:rPr>
      <w:color w:val="605E5C"/>
      <w:shd w:val="clear" w:color="auto" w:fill="E1DFDD"/>
    </w:rPr>
  </w:style>
  <w:style w:type="character" w:customStyle="1" w:styleId="s1">
    <w:name w:val="s1"/>
    <w:basedOn w:val="DefaultParagraphFont"/>
    <w:rsid w:val="00D11ECE"/>
  </w:style>
  <w:style w:type="character" w:styleId="SubtleEmphasis">
    <w:name w:val="Subtle Emphasis"/>
    <w:basedOn w:val="DefaultParagraphFont"/>
    <w:uiPriority w:val="19"/>
    <w:qFormat/>
    <w:rsid w:val="00D11ECE"/>
    <w:rPr>
      <w:b/>
      <w:i/>
      <w:iCs/>
    </w:rPr>
  </w:style>
  <w:style w:type="paragraph" w:customStyle="1" w:styleId="MRAGDocSubHeading">
    <w:name w:val="MRAG Doc SubHeading"/>
    <w:basedOn w:val="Normal"/>
    <w:qFormat/>
    <w:rsid w:val="00D11ECE"/>
    <w:pPr>
      <w:spacing w:before="60" w:after="60"/>
      <w:jc w:val="right"/>
    </w:pPr>
    <w:rPr>
      <w:color w:val="F2F2F2" w:themeColor="background1" w:themeShade="F2"/>
      <w:sz w:val="30"/>
    </w:rPr>
  </w:style>
  <w:style w:type="paragraph" w:customStyle="1" w:styleId="to-top">
    <w:name w:val="to-top"/>
    <w:basedOn w:val="Normal"/>
    <w:rsid w:val="00D11ECE"/>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x-sent">
    <w:name w:val="ex-sent"/>
    <w:basedOn w:val="DefaultParagraphFont"/>
    <w:rsid w:val="00D11ECE"/>
  </w:style>
  <w:style w:type="character" w:customStyle="1" w:styleId="mwtwi">
    <w:name w:val="mw_t_wi"/>
    <w:basedOn w:val="DefaultParagraphFont"/>
    <w:rsid w:val="00D11ECE"/>
  </w:style>
  <w:style w:type="paragraph" w:customStyle="1" w:styleId="xmsonormal">
    <w:name w:val="x_msonormal"/>
    <w:basedOn w:val="Normal"/>
    <w:rsid w:val="00D11ECE"/>
    <w:pPr>
      <w:spacing w:before="0" w:after="0"/>
    </w:pPr>
    <w:rPr>
      <w:rFonts w:ascii="Calibri" w:hAnsi="Calibri" w:cs="Times New Roman"/>
      <w:lang w:eastAsia="en-AU"/>
    </w:rPr>
  </w:style>
  <w:style w:type="character" w:styleId="SubtleReference">
    <w:name w:val="Subtle Reference"/>
    <w:basedOn w:val="DefaultParagraphFont"/>
    <w:uiPriority w:val="31"/>
    <w:qFormat/>
    <w:rsid w:val="00D11ECE"/>
    <w:rPr>
      <w:smallCaps/>
      <w:color w:val="5A5A5A" w:themeColor="text1" w:themeTint="A5"/>
    </w:rPr>
  </w:style>
  <w:style w:type="paragraph" w:styleId="IntenseQuote">
    <w:name w:val="Intense Quote"/>
    <w:basedOn w:val="Normal"/>
    <w:next w:val="Normal"/>
    <w:link w:val="IntenseQuoteChar"/>
    <w:uiPriority w:val="30"/>
    <w:qFormat/>
    <w:rsid w:val="00D11EC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11ECE"/>
    <w:rPr>
      <w:i/>
      <w:iCs/>
      <w:color w:val="5B9BD5" w:themeColor="accent1"/>
    </w:rPr>
  </w:style>
  <w:style w:type="character" w:customStyle="1" w:styleId="StandardPrinciple1Char">
    <w:name w:val="Standard Principle 1 Char"/>
    <w:basedOn w:val="DefaultParagraphFont"/>
    <w:link w:val="StandardPrinciple1"/>
    <w:locked/>
    <w:rsid w:val="00D11ECE"/>
    <w:rPr>
      <w:rFonts w:asciiTheme="majorHAnsi" w:eastAsiaTheme="majorEastAsia" w:hAnsiTheme="majorHAnsi" w:cstheme="majorBidi"/>
      <w:color w:val="2E74B5" w:themeColor="accent1" w:themeShade="BF"/>
      <w:sz w:val="28"/>
      <w:szCs w:val="32"/>
    </w:rPr>
  </w:style>
  <w:style w:type="paragraph" w:customStyle="1" w:styleId="StandardPrinciple1">
    <w:name w:val="Standard Principle 1"/>
    <w:basedOn w:val="Heading1"/>
    <w:next w:val="StandardPrinciple2"/>
    <w:link w:val="StandardPrinciple1Char"/>
    <w:qFormat/>
    <w:rsid w:val="00D11ECE"/>
    <w:pPr>
      <w:numPr>
        <w:numId w:val="5"/>
      </w:numPr>
      <w:spacing w:after="0" w:line="256" w:lineRule="auto"/>
    </w:pPr>
    <w:rPr>
      <w:sz w:val="28"/>
    </w:rPr>
  </w:style>
  <w:style w:type="paragraph" w:customStyle="1" w:styleId="StandardPrinciple2">
    <w:name w:val="Standard Principle 2"/>
    <w:basedOn w:val="ListParagraph"/>
    <w:link w:val="StandardPrinciple2Char"/>
    <w:qFormat/>
    <w:rsid w:val="00D11ECE"/>
    <w:pPr>
      <w:numPr>
        <w:ilvl w:val="1"/>
        <w:numId w:val="5"/>
      </w:numPr>
      <w:contextualSpacing w:val="0"/>
    </w:pPr>
  </w:style>
  <w:style w:type="character" w:customStyle="1" w:styleId="StandardPrinciple2Char">
    <w:name w:val="Standard Principle 2 Char"/>
    <w:basedOn w:val="DefaultParagraphFont"/>
    <w:link w:val="StandardPrinciple2"/>
    <w:locked/>
    <w:rsid w:val="00D11ECE"/>
  </w:style>
  <w:style w:type="character" w:customStyle="1" w:styleId="StandardPrinciple3Char">
    <w:name w:val="Standard Principle 3 Char"/>
    <w:basedOn w:val="DefaultParagraphFont"/>
    <w:link w:val="StandardPrinciple3"/>
    <w:locked/>
    <w:rsid w:val="00D11ECE"/>
  </w:style>
  <w:style w:type="paragraph" w:customStyle="1" w:styleId="StandardPrinciple3">
    <w:name w:val="Standard Principle 3"/>
    <w:basedOn w:val="ListParagraph"/>
    <w:link w:val="StandardPrinciple3Char"/>
    <w:qFormat/>
    <w:rsid w:val="00D11ECE"/>
    <w:pPr>
      <w:numPr>
        <w:ilvl w:val="2"/>
        <w:numId w:val="5"/>
      </w:numPr>
      <w:contextualSpacing w:val="0"/>
    </w:pPr>
  </w:style>
  <w:style w:type="paragraph" w:customStyle="1" w:styleId="StandardPrinciple4">
    <w:name w:val="Standard Principle 4"/>
    <w:basedOn w:val="StandardPrinciple3"/>
    <w:link w:val="StandardPrinciple4Char"/>
    <w:qFormat/>
    <w:rsid w:val="00D11ECE"/>
    <w:pPr>
      <w:numPr>
        <w:ilvl w:val="3"/>
      </w:numPr>
    </w:pPr>
  </w:style>
  <w:style w:type="character" w:customStyle="1" w:styleId="StandardPrinciple4Char">
    <w:name w:val="Standard Principle 4 Char"/>
    <w:basedOn w:val="StandardPrinciple3Char"/>
    <w:link w:val="StandardPrinciple4"/>
    <w:locked/>
    <w:rsid w:val="00D11ECE"/>
  </w:style>
  <w:style w:type="paragraph" w:customStyle="1" w:styleId="TableCaption">
    <w:name w:val="Table Caption"/>
    <w:qFormat/>
    <w:rsid w:val="00D11ECE"/>
  </w:style>
  <w:style w:type="paragraph" w:customStyle="1" w:styleId="SourceCode">
    <w:name w:val="Source Code"/>
    <w:basedOn w:val="Normal"/>
    <w:rsid w:val="00D11ECE"/>
    <w:pPr>
      <w:shd w:val="clear" w:color="auto" w:fill="F8F8F8"/>
      <w:wordWrap w:val="0"/>
    </w:pPr>
  </w:style>
  <w:style w:type="character" w:customStyle="1" w:styleId="KeywordTok">
    <w:name w:val="KeywordTok"/>
    <w:rsid w:val="00D11ECE"/>
    <w:rPr>
      <w:b/>
      <w:color w:val="204A87"/>
      <w:shd w:val="clear" w:color="auto" w:fill="F8F8F8"/>
    </w:rPr>
  </w:style>
  <w:style w:type="character" w:customStyle="1" w:styleId="DataTypeTok">
    <w:name w:val="DataTypeTok"/>
    <w:rsid w:val="00D11ECE"/>
    <w:rPr>
      <w:color w:val="204A87"/>
      <w:shd w:val="clear" w:color="auto" w:fill="F8F8F8"/>
    </w:rPr>
  </w:style>
  <w:style w:type="character" w:customStyle="1" w:styleId="DecValTok">
    <w:name w:val="DecValTok"/>
    <w:rsid w:val="00D11ECE"/>
    <w:rPr>
      <w:color w:val="0000CF"/>
      <w:shd w:val="clear" w:color="auto" w:fill="F8F8F8"/>
    </w:rPr>
  </w:style>
  <w:style w:type="character" w:customStyle="1" w:styleId="BaseNTok">
    <w:name w:val="BaseNTok"/>
    <w:rsid w:val="00D11ECE"/>
    <w:rPr>
      <w:color w:val="0000CF"/>
      <w:shd w:val="clear" w:color="auto" w:fill="F8F8F8"/>
    </w:rPr>
  </w:style>
  <w:style w:type="character" w:customStyle="1" w:styleId="FloatTok">
    <w:name w:val="FloatTok"/>
    <w:rsid w:val="00D11ECE"/>
    <w:rPr>
      <w:color w:val="0000CF"/>
      <w:shd w:val="clear" w:color="auto" w:fill="F8F8F8"/>
    </w:rPr>
  </w:style>
  <w:style w:type="character" w:customStyle="1" w:styleId="ConstantTok">
    <w:name w:val="ConstantTok"/>
    <w:rsid w:val="00D11ECE"/>
    <w:rPr>
      <w:color w:val="000000"/>
      <w:shd w:val="clear" w:color="auto" w:fill="F8F8F8"/>
    </w:rPr>
  </w:style>
  <w:style w:type="character" w:customStyle="1" w:styleId="CharTok">
    <w:name w:val="CharTok"/>
    <w:rsid w:val="00D11ECE"/>
    <w:rPr>
      <w:color w:val="4E9A06"/>
      <w:shd w:val="clear" w:color="auto" w:fill="F8F8F8"/>
    </w:rPr>
  </w:style>
  <w:style w:type="character" w:customStyle="1" w:styleId="SpecialCharTok">
    <w:name w:val="SpecialCharTok"/>
    <w:rsid w:val="00D11ECE"/>
    <w:rPr>
      <w:color w:val="000000"/>
      <w:shd w:val="clear" w:color="auto" w:fill="F8F8F8"/>
    </w:rPr>
  </w:style>
  <w:style w:type="character" w:customStyle="1" w:styleId="StringTok">
    <w:name w:val="StringTok"/>
    <w:rsid w:val="00D11ECE"/>
    <w:rPr>
      <w:color w:val="4E9A06"/>
      <w:shd w:val="clear" w:color="auto" w:fill="F8F8F8"/>
    </w:rPr>
  </w:style>
  <w:style w:type="character" w:customStyle="1" w:styleId="VerbatimStringTok">
    <w:name w:val="VerbatimStringTok"/>
    <w:rsid w:val="00D11ECE"/>
    <w:rPr>
      <w:color w:val="4E9A06"/>
      <w:shd w:val="clear" w:color="auto" w:fill="F8F8F8"/>
    </w:rPr>
  </w:style>
  <w:style w:type="character" w:customStyle="1" w:styleId="SpecialStringTok">
    <w:name w:val="SpecialStringTok"/>
    <w:rsid w:val="00D11ECE"/>
    <w:rPr>
      <w:color w:val="4E9A06"/>
      <w:shd w:val="clear" w:color="auto" w:fill="F8F8F8"/>
    </w:rPr>
  </w:style>
  <w:style w:type="character" w:customStyle="1" w:styleId="ImportTok">
    <w:name w:val="ImportTok"/>
    <w:rsid w:val="00D11ECE"/>
    <w:rPr>
      <w:shd w:val="clear" w:color="auto" w:fill="F8F8F8"/>
    </w:rPr>
  </w:style>
  <w:style w:type="character" w:customStyle="1" w:styleId="CommentTok">
    <w:name w:val="CommentTok"/>
    <w:rsid w:val="00D11ECE"/>
    <w:rPr>
      <w:i/>
      <w:color w:val="8F5902"/>
      <w:shd w:val="clear" w:color="auto" w:fill="F8F8F8"/>
    </w:rPr>
  </w:style>
  <w:style w:type="character" w:customStyle="1" w:styleId="DocumentationTok">
    <w:name w:val="DocumentationTok"/>
    <w:rsid w:val="00D11ECE"/>
    <w:rPr>
      <w:b/>
      <w:i/>
      <w:color w:val="8F5902"/>
      <w:shd w:val="clear" w:color="auto" w:fill="F8F8F8"/>
    </w:rPr>
  </w:style>
  <w:style w:type="character" w:customStyle="1" w:styleId="AnnotationTok">
    <w:name w:val="AnnotationTok"/>
    <w:rsid w:val="00D11ECE"/>
    <w:rPr>
      <w:b/>
      <w:i/>
      <w:color w:val="8F5902"/>
      <w:shd w:val="clear" w:color="auto" w:fill="F8F8F8"/>
    </w:rPr>
  </w:style>
  <w:style w:type="character" w:customStyle="1" w:styleId="CommentVarTok">
    <w:name w:val="CommentVarTok"/>
    <w:rsid w:val="00D11ECE"/>
    <w:rPr>
      <w:b/>
      <w:i/>
      <w:color w:val="8F5902"/>
      <w:shd w:val="clear" w:color="auto" w:fill="F8F8F8"/>
    </w:rPr>
  </w:style>
  <w:style w:type="character" w:customStyle="1" w:styleId="OtherTok">
    <w:name w:val="OtherTok"/>
    <w:rsid w:val="00D11ECE"/>
    <w:rPr>
      <w:color w:val="8F5902"/>
      <w:shd w:val="clear" w:color="auto" w:fill="F8F8F8"/>
    </w:rPr>
  </w:style>
  <w:style w:type="character" w:customStyle="1" w:styleId="FunctionTok">
    <w:name w:val="FunctionTok"/>
    <w:rsid w:val="00D11ECE"/>
    <w:rPr>
      <w:color w:val="000000"/>
      <w:shd w:val="clear" w:color="auto" w:fill="F8F8F8"/>
    </w:rPr>
  </w:style>
  <w:style w:type="character" w:customStyle="1" w:styleId="VariableTok">
    <w:name w:val="VariableTok"/>
    <w:rsid w:val="00D11ECE"/>
    <w:rPr>
      <w:color w:val="000000"/>
      <w:shd w:val="clear" w:color="auto" w:fill="F8F8F8"/>
    </w:rPr>
  </w:style>
  <w:style w:type="character" w:customStyle="1" w:styleId="ControlFlowTok">
    <w:name w:val="ControlFlowTok"/>
    <w:rsid w:val="00D11ECE"/>
    <w:rPr>
      <w:b/>
      <w:color w:val="204A87"/>
      <w:shd w:val="clear" w:color="auto" w:fill="F8F8F8"/>
    </w:rPr>
  </w:style>
  <w:style w:type="character" w:customStyle="1" w:styleId="OperatorTok">
    <w:name w:val="OperatorTok"/>
    <w:rsid w:val="00D11ECE"/>
    <w:rPr>
      <w:b/>
      <w:color w:val="CE5C00"/>
      <w:shd w:val="clear" w:color="auto" w:fill="F8F8F8"/>
    </w:rPr>
  </w:style>
  <w:style w:type="character" w:customStyle="1" w:styleId="BuiltInTok">
    <w:name w:val="BuiltInTok"/>
    <w:rsid w:val="00D11ECE"/>
    <w:rPr>
      <w:shd w:val="clear" w:color="auto" w:fill="F8F8F8"/>
    </w:rPr>
  </w:style>
  <w:style w:type="character" w:customStyle="1" w:styleId="ExtensionTok">
    <w:name w:val="ExtensionTok"/>
    <w:rsid w:val="00D11ECE"/>
    <w:rPr>
      <w:shd w:val="clear" w:color="auto" w:fill="F8F8F8"/>
    </w:rPr>
  </w:style>
  <w:style w:type="character" w:customStyle="1" w:styleId="PreprocessorTok">
    <w:name w:val="PreprocessorTok"/>
    <w:rsid w:val="00D11ECE"/>
    <w:rPr>
      <w:i/>
      <w:color w:val="8F5902"/>
      <w:shd w:val="clear" w:color="auto" w:fill="F8F8F8"/>
    </w:rPr>
  </w:style>
  <w:style w:type="character" w:customStyle="1" w:styleId="AttributeTok">
    <w:name w:val="AttributeTok"/>
    <w:rsid w:val="00D11ECE"/>
    <w:rPr>
      <w:color w:val="C4A000"/>
      <w:shd w:val="clear" w:color="auto" w:fill="F8F8F8"/>
    </w:rPr>
  </w:style>
  <w:style w:type="character" w:customStyle="1" w:styleId="RegionMarkerTok">
    <w:name w:val="RegionMarkerTok"/>
    <w:rsid w:val="00D11ECE"/>
    <w:rPr>
      <w:shd w:val="clear" w:color="auto" w:fill="F8F8F8"/>
    </w:rPr>
  </w:style>
  <w:style w:type="character" w:customStyle="1" w:styleId="InformationTok">
    <w:name w:val="InformationTok"/>
    <w:rsid w:val="00D11ECE"/>
    <w:rPr>
      <w:b/>
      <w:i/>
      <w:color w:val="8F5902"/>
      <w:shd w:val="clear" w:color="auto" w:fill="F8F8F8"/>
    </w:rPr>
  </w:style>
  <w:style w:type="character" w:customStyle="1" w:styleId="WarningTok">
    <w:name w:val="WarningTok"/>
    <w:rsid w:val="00D11ECE"/>
    <w:rPr>
      <w:b/>
      <w:i/>
      <w:color w:val="8F5902"/>
      <w:shd w:val="clear" w:color="auto" w:fill="F8F8F8"/>
    </w:rPr>
  </w:style>
  <w:style w:type="character" w:customStyle="1" w:styleId="AlertTok">
    <w:name w:val="AlertTok"/>
    <w:rsid w:val="00D11ECE"/>
    <w:rPr>
      <w:color w:val="EF2929"/>
      <w:shd w:val="clear" w:color="auto" w:fill="F8F8F8"/>
    </w:rPr>
  </w:style>
  <w:style w:type="character" w:customStyle="1" w:styleId="ErrorTok">
    <w:name w:val="ErrorTok"/>
    <w:rsid w:val="00D11ECE"/>
    <w:rPr>
      <w:b/>
      <w:color w:val="A40000"/>
      <w:shd w:val="clear" w:color="auto" w:fill="F8F8F8"/>
    </w:rPr>
  </w:style>
  <w:style w:type="character" w:customStyle="1" w:styleId="NormalTok">
    <w:name w:val="NormalTok"/>
    <w:rsid w:val="00D11ECE"/>
    <w:rPr>
      <w:shd w:val="clear" w:color="auto" w:fill="F8F8F8"/>
    </w:rPr>
  </w:style>
  <w:style w:type="character" w:styleId="PageNumber">
    <w:name w:val="page number"/>
    <w:basedOn w:val="DefaultParagraphFont"/>
    <w:uiPriority w:val="99"/>
    <w:semiHidden/>
    <w:unhideWhenUsed/>
    <w:rsid w:val="0019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27781">
      <w:bodyDiv w:val="1"/>
      <w:marLeft w:val="0"/>
      <w:marRight w:val="0"/>
      <w:marTop w:val="0"/>
      <w:marBottom w:val="0"/>
      <w:divBdr>
        <w:top w:val="none" w:sz="0" w:space="0" w:color="auto"/>
        <w:left w:val="none" w:sz="0" w:space="0" w:color="auto"/>
        <w:bottom w:val="none" w:sz="0" w:space="0" w:color="auto"/>
        <w:right w:val="none" w:sz="0" w:space="0" w:color="auto"/>
      </w:divBdr>
    </w:div>
    <w:div w:id="114175932">
      <w:bodyDiv w:val="1"/>
      <w:marLeft w:val="0"/>
      <w:marRight w:val="0"/>
      <w:marTop w:val="0"/>
      <w:marBottom w:val="0"/>
      <w:divBdr>
        <w:top w:val="none" w:sz="0" w:space="0" w:color="auto"/>
        <w:left w:val="none" w:sz="0" w:space="0" w:color="auto"/>
        <w:bottom w:val="none" w:sz="0" w:space="0" w:color="auto"/>
        <w:right w:val="none" w:sz="0" w:space="0" w:color="auto"/>
      </w:divBdr>
    </w:div>
    <w:div w:id="145443484">
      <w:bodyDiv w:val="1"/>
      <w:marLeft w:val="0"/>
      <w:marRight w:val="0"/>
      <w:marTop w:val="0"/>
      <w:marBottom w:val="0"/>
      <w:divBdr>
        <w:top w:val="none" w:sz="0" w:space="0" w:color="auto"/>
        <w:left w:val="none" w:sz="0" w:space="0" w:color="auto"/>
        <w:bottom w:val="none" w:sz="0" w:space="0" w:color="auto"/>
        <w:right w:val="none" w:sz="0" w:space="0" w:color="auto"/>
      </w:divBdr>
    </w:div>
    <w:div w:id="157310712">
      <w:bodyDiv w:val="1"/>
      <w:marLeft w:val="0"/>
      <w:marRight w:val="0"/>
      <w:marTop w:val="0"/>
      <w:marBottom w:val="0"/>
      <w:divBdr>
        <w:top w:val="none" w:sz="0" w:space="0" w:color="auto"/>
        <w:left w:val="none" w:sz="0" w:space="0" w:color="auto"/>
        <w:bottom w:val="none" w:sz="0" w:space="0" w:color="auto"/>
        <w:right w:val="none" w:sz="0" w:space="0" w:color="auto"/>
      </w:divBdr>
    </w:div>
    <w:div w:id="211425467">
      <w:bodyDiv w:val="1"/>
      <w:marLeft w:val="0"/>
      <w:marRight w:val="0"/>
      <w:marTop w:val="0"/>
      <w:marBottom w:val="0"/>
      <w:divBdr>
        <w:top w:val="none" w:sz="0" w:space="0" w:color="auto"/>
        <w:left w:val="none" w:sz="0" w:space="0" w:color="auto"/>
        <w:bottom w:val="none" w:sz="0" w:space="0" w:color="auto"/>
        <w:right w:val="none" w:sz="0" w:space="0" w:color="auto"/>
      </w:divBdr>
    </w:div>
    <w:div w:id="215706463">
      <w:marLeft w:val="0"/>
      <w:marRight w:val="0"/>
      <w:marTop w:val="0"/>
      <w:marBottom w:val="0"/>
      <w:divBdr>
        <w:top w:val="none" w:sz="0" w:space="0" w:color="auto"/>
        <w:left w:val="none" w:sz="0" w:space="0" w:color="auto"/>
        <w:bottom w:val="none" w:sz="0" w:space="0" w:color="auto"/>
        <w:right w:val="none" w:sz="0" w:space="0" w:color="auto"/>
      </w:divBdr>
      <w:divsChild>
        <w:div w:id="126511285">
          <w:marLeft w:val="0"/>
          <w:marRight w:val="0"/>
          <w:marTop w:val="0"/>
          <w:marBottom w:val="0"/>
          <w:divBdr>
            <w:top w:val="none" w:sz="0" w:space="0" w:color="auto"/>
            <w:left w:val="none" w:sz="0" w:space="0" w:color="auto"/>
            <w:bottom w:val="none" w:sz="0" w:space="0" w:color="auto"/>
            <w:right w:val="none" w:sz="0" w:space="0" w:color="auto"/>
          </w:divBdr>
        </w:div>
      </w:divsChild>
    </w:div>
    <w:div w:id="256867529">
      <w:bodyDiv w:val="1"/>
      <w:marLeft w:val="0"/>
      <w:marRight w:val="0"/>
      <w:marTop w:val="0"/>
      <w:marBottom w:val="0"/>
      <w:divBdr>
        <w:top w:val="none" w:sz="0" w:space="0" w:color="auto"/>
        <w:left w:val="none" w:sz="0" w:space="0" w:color="auto"/>
        <w:bottom w:val="none" w:sz="0" w:space="0" w:color="auto"/>
        <w:right w:val="none" w:sz="0" w:space="0" w:color="auto"/>
      </w:divBdr>
    </w:div>
    <w:div w:id="259220705">
      <w:bodyDiv w:val="1"/>
      <w:marLeft w:val="0"/>
      <w:marRight w:val="0"/>
      <w:marTop w:val="0"/>
      <w:marBottom w:val="0"/>
      <w:divBdr>
        <w:top w:val="none" w:sz="0" w:space="0" w:color="auto"/>
        <w:left w:val="none" w:sz="0" w:space="0" w:color="auto"/>
        <w:bottom w:val="none" w:sz="0" w:space="0" w:color="auto"/>
        <w:right w:val="none" w:sz="0" w:space="0" w:color="auto"/>
      </w:divBdr>
    </w:div>
    <w:div w:id="272826652">
      <w:bodyDiv w:val="1"/>
      <w:marLeft w:val="0"/>
      <w:marRight w:val="0"/>
      <w:marTop w:val="0"/>
      <w:marBottom w:val="0"/>
      <w:divBdr>
        <w:top w:val="none" w:sz="0" w:space="0" w:color="auto"/>
        <w:left w:val="none" w:sz="0" w:space="0" w:color="auto"/>
        <w:bottom w:val="none" w:sz="0" w:space="0" w:color="auto"/>
        <w:right w:val="none" w:sz="0" w:space="0" w:color="auto"/>
      </w:divBdr>
    </w:div>
    <w:div w:id="278075132">
      <w:bodyDiv w:val="1"/>
      <w:marLeft w:val="0"/>
      <w:marRight w:val="0"/>
      <w:marTop w:val="0"/>
      <w:marBottom w:val="0"/>
      <w:divBdr>
        <w:top w:val="none" w:sz="0" w:space="0" w:color="auto"/>
        <w:left w:val="none" w:sz="0" w:space="0" w:color="auto"/>
        <w:bottom w:val="none" w:sz="0" w:space="0" w:color="auto"/>
        <w:right w:val="none" w:sz="0" w:space="0" w:color="auto"/>
      </w:divBdr>
    </w:div>
    <w:div w:id="292450051">
      <w:bodyDiv w:val="1"/>
      <w:marLeft w:val="0"/>
      <w:marRight w:val="0"/>
      <w:marTop w:val="0"/>
      <w:marBottom w:val="0"/>
      <w:divBdr>
        <w:top w:val="none" w:sz="0" w:space="0" w:color="auto"/>
        <w:left w:val="none" w:sz="0" w:space="0" w:color="auto"/>
        <w:bottom w:val="none" w:sz="0" w:space="0" w:color="auto"/>
        <w:right w:val="none" w:sz="0" w:space="0" w:color="auto"/>
      </w:divBdr>
    </w:div>
    <w:div w:id="314771231">
      <w:bodyDiv w:val="1"/>
      <w:marLeft w:val="0"/>
      <w:marRight w:val="0"/>
      <w:marTop w:val="0"/>
      <w:marBottom w:val="0"/>
      <w:divBdr>
        <w:top w:val="none" w:sz="0" w:space="0" w:color="auto"/>
        <w:left w:val="none" w:sz="0" w:space="0" w:color="auto"/>
        <w:bottom w:val="none" w:sz="0" w:space="0" w:color="auto"/>
        <w:right w:val="none" w:sz="0" w:space="0" w:color="auto"/>
      </w:divBdr>
    </w:div>
    <w:div w:id="323364049">
      <w:marLeft w:val="0"/>
      <w:marRight w:val="0"/>
      <w:marTop w:val="0"/>
      <w:marBottom w:val="0"/>
      <w:divBdr>
        <w:top w:val="none" w:sz="0" w:space="0" w:color="auto"/>
        <w:left w:val="none" w:sz="0" w:space="0" w:color="auto"/>
        <w:bottom w:val="none" w:sz="0" w:space="0" w:color="auto"/>
        <w:right w:val="none" w:sz="0" w:space="0" w:color="auto"/>
      </w:divBdr>
      <w:divsChild>
        <w:div w:id="745882686">
          <w:marLeft w:val="0"/>
          <w:marRight w:val="0"/>
          <w:marTop w:val="0"/>
          <w:marBottom w:val="0"/>
          <w:divBdr>
            <w:top w:val="none" w:sz="0" w:space="0" w:color="auto"/>
            <w:left w:val="none" w:sz="0" w:space="0" w:color="auto"/>
            <w:bottom w:val="none" w:sz="0" w:space="0" w:color="auto"/>
            <w:right w:val="none" w:sz="0" w:space="0" w:color="auto"/>
          </w:divBdr>
        </w:div>
      </w:divsChild>
    </w:div>
    <w:div w:id="326446726">
      <w:bodyDiv w:val="1"/>
      <w:marLeft w:val="0"/>
      <w:marRight w:val="0"/>
      <w:marTop w:val="0"/>
      <w:marBottom w:val="0"/>
      <w:divBdr>
        <w:top w:val="none" w:sz="0" w:space="0" w:color="auto"/>
        <w:left w:val="none" w:sz="0" w:space="0" w:color="auto"/>
        <w:bottom w:val="none" w:sz="0" w:space="0" w:color="auto"/>
        <w:right w:val="none" w:sz="0" w:space="0" w:color="auto"/>
      </w:divBdr>
    </w:div>
    <w:div w:id="347104354">
      <w:marLeft w:val="0"/>
      <w:marRight w:val="0"/>
      <w:marTop w:val="0"/>
      <w:marBottom w:val="0"/>
      <w:divBdr>
        <w:top w:val="none" w:sz="0" w:space="0" w:color="auto"/>
        <w:left w:val="none" w:sz="0" w:space="0" w:color="auto"/>
        <w:bottom w:val="none" w:sz="0" w:space="0" w:color="auto"/>
        <w:right w:val="none" w:sz="0" w:space="0" w:color="auto"/>
      </w:divBdr>
      <w:divsChild>
        <w:div w:id="765417629">
          <w:marLeft w:val="0"/>
          <w:marRight w:val="0"/>
          <w:marTop w:val="0"/>
          <w:marBottom w:val="0"/>
          <w:divBdr>
            <w:top w:val="none" w:sz="0" w:space="0" w:color="auto"/>
            <w:left w:val="none" w:sz="0" w:space="0" w:color="auto"/>
            <w:bottom w:val="none" w:sz="0" w:space="0" w:color="auto"/>
            <w:right w:val="none" w:sz="0" w:space="0" w:color="auto"/>
          </w:divBdr>
        </w:div>
      </w:divsChild>
    </w:div>
    <w:div w:id="347411805">
      <w:bodyDiv w:val="1"/>
      <w:marLeft w:val="0"/>
      <w:marRight w:val="0"/>
      <w:marTop w:val="0"/>
      <w:marBottom w:val="0"/>
      <w:divBdr>
        <w:top w:val="none" w:sz="0" w:space="0" w:color="auto"/>
        <w:left w:val="none" w:sz="0" w:space="0" w:color="auto"/>
        <w:bottom w:val="none" w:sz="0" w:space="0" w:color="auto"/>
        <w:right w:val="none" w:sz="0" w:space="0" w:color="auto"/>
      </w:divBdr>
    </w:div>
    <w:div w:id="400909538">
      <w:bodyDiv w:val="1"/>
      <w:marLeft w:val="0"/>
      <w:marRight w:val="0"/>
      <w:marTop w:val="0"/>
      <w:marBottom w:val="0"/>
      <w:divBdr>
        <w:top w:val="none" w:sz="0" w:space="0" w:color="auto"/>
        <w:left w:val="none" w:sz="0" w:space="0" w:color="auto"/>
        <w:bottom w:val="none" w:sz="0" w:space="0" w:color="auto"/>
        <w:right w:val="none" w:sz="0" w:space="0" w:color="auto"/>
      </w:divBdr>
    </w:div>
    <w:div w:id="421342378">
      <w:marLeft w:val="0"/>
      <w:marRight w:val="0"/>
      <w:marTop w:val="0"/>
      <w:marBottom w:val="0"/>
      <w:divBdr>
        <w:top w:val="none" w:sz="0" w:space="0" w:color="auto"/>
        <w:left w:val="none" w:sz="0" w:space="0" w:color="auto"/>
        <w:bottom w:val="none" w:sz="0" w:space="0" w:color="auto"/>
        <w:right w:val="none" w:sz="0" w:space="0" w:color="auto"/>
      </w:divBdr>
      <w:divsChild>
        <w:div w:id="1584490307">
          <w:marLeft w:val="0"/>
          <w:marRight w:val="0"/>
          <w:marTop w:val="0"/>
          <w:marBottom w:val="0"/>
          <w:divBdr>
            <w:top w:val="none" w:sz="0" w:space="0" w:color="auto"/>
            <w:left w:val="none" w:sz="0" w:space="0" w:color="auto"/>
            <w:bottom w:val="none" w:sz="0" w:space="0" w:color="auto"/>
            <w:right w:val="none" w:sz="0" w:space="0" w:color="auto"/>
          </w:divBdr>
        </w:div>
      </w:divsChild>
    </w:div>
    <w:div w:id="471407735">
      <w:bodyDiv w:val="1"/>
      <w:marLeft w:val="0"/>
      <w:marRight w:val="0"/>
      <w:marTop w:val="0"/>
      <w:marBottom w:val="0"/>
      <w:divBdr>
        <w:top w:val="none" w:sz="0" w:space="0" w:color="auto"/>
        <w:left w:val="none" w:sz="0" w:space="0" w:color="auto"/>
        <w:bottom w:val="none" w:sz="0" w:space="0" w:color="auto"/>
        <w:right w:val="none" w:sz="0" w:space="0" w:color="auto"/>
      </w:divBdr>
      <w:divsChild>
        <w:div w:id="90467680">
          <w:marLeft w:val="1166"/>
          <w:marRight w:val="0"/>
          <w:marTop w:val="77"/>
          <w:marBottom w:val="0"/>
          <w:divBdr>
            <w:top w:val="none" w:sz="0" w:space="0" w:color="auto"/>
            <w:left w:val="none" w:sz="0" w:space="0" w:color="auto"/>
            <w:bottom w:val="none" w:sz="0" w:space="0" w:color="auto"/>
            <w:right w:val="none" w:sz="0" w:space="0" w:color="auto"/>
          </w:divBdr>
        </w:div>
        <w:div w:id="605775447">
          <w:marLeft w:val="1166"/>
          <w:marRight w:val="0"/>
          <w:marTop w:val="77"/>
          <w:marBottom w:val="0"/>
          <w:divBdr>
            <w:top w:val="none" w:sz="0" w:space="0" w:color="auto"/>
            <w:left w:val="none" w:sz="0" w:space="0" w:color="auto"/>
            <w:bottom w:val="none" w:sz="0" w:space="0" w:color="auto"/>
            <w:right w:val="none" w:sz="0" w:space="0" w:color="auto"/>
          </w:divBdr>
        </w:div>
        <w:div w:id="1306934126">
          <w:marLeft w:val="1166"/>
          <w:marRight w:val="0"/>
          <w:marTop w:val="77"/>
          <w:marBottom w:val="0"/>
          <w:divBdr>
            <w:top w:val="none" w:sz="0" w:space="0" w:color="auto"/>
            <w:left w:val="none" w:sz="0" w:space="0" w:color="auto"/>
            <w:bottom w:val="none" w:sz="0" w:space="0" w:color="auto"/>
            <w:right w:val="none" w:sz="0" w:space="0" w:color="auto"/>
          </w:divBdr>
        </w:div>
        <w:div w:id="1349407332">
          <w:marLeft w:val="1166"/>
          <w:marRight w:val="0"/>
          <w:marTop w:val="77"/>
          <w:marBottom w:val="0"/>
          <w:divBdr>
            <w:top w:val="none" w:sz="0" w:space="0" w:color="auto"/>
            <w:left w:val="none" w:sz="0" w:space="0" w:color="auto"/>
            <w:bottom w:val="none" w:sz="0" w:space="0" w:color="auto"/>
            <w:right w:val="none" w:sz="0" w:space="0" w:color="auto"/>
          </w:divBdr>
        </w:div>
        <w:div w:id="1557202016">
          <w:marLeft w:val="1166"/>
          <w:marRight w:val="0"/>
          <w:marTop w:val="77"/>
          <w:marBottom w:val="0"/>
          <w:divBdr>
            <w:top w:val="none" w:sz="0" w:space="0" w:color="auto"/>
            <w:left w:val="none" w:sz="0" w:space="0" w:color="auto"/>
            <w:bottom w:val="none" w:sz="0" w:space="0" w:color="auto"/>
            <w:right w:val="none" w:sz="0" w:space="0" w:color="auto"/>
          </w:divBdr>
        </w:div>
        <w:div w:id="1594586127">
          <w:marLeft w:val="1166"/>
          <w:marRight w:val="0"/>
          <w:marTop w:val="77"/>
          <w:marBottom w:val="0"/>
          <w:divBdr>
            <w:top w:val="none" w:sz="0" w:space="0" w:color="auto"/>
            <w:left w:val="none" w:sz="0" w:space="0" w:color="auto"/>
            <w:bottom w:val="none" w:sz="0" w:space="0" w:color="auto"/>
            <w:right w:val="none" w:sz="0" w:space="0" w:color="auto"/>
          </w:divBdr>
        </w:div>
        <w:div w:id="2110277319">
          <w:marLeft w:val="1166"/>
          <w:marRight w:val="0"/>
          <w:marTop w:val="77"/>
          <w:marBottom w:val="0"/>
          <w:divBdr>
            <w:top w:val="none" w:sz="0" w:space="0" w:color="auto"/>
            <w:left w:val="none" w:sz="0" w:space="0" w:color="auto"/>
            <w:bottom w:val="none" w:sz="0" w:space="0" w:color="auto"/>
            <w:right w:val="none" w:sz="0" w:space="0" w:color="auto"/>
          </w:divBdr>
        </w:div>
      </w:divsChild>
    </w:div>
    <w:div w:id="503133342">
      <w:marLeft w:val="0"/>
      <w:marRight w:val="0"/>
      <w:marTop w:val="0"/>
      <w:marBottom w:val="0"/>
      <w:divBdr>
        <w:top w:val="none" w:sz="0" w:space="0" w:color="auto"/>
        <w:left w:val="none" w:sz="0" w:space="0" w:color="auto"/>
        <w:bottom w:val="none" w:sz="0" w:space="0" w:color="auto"/>
        <w:right w:val="none" w:sz="0" w:space="0" w:color="auto"/>
      </w:divBdr>
      <w:divsChild>
        <w:div w:id="639968376">
          <w:marLeft w:val="0"/>
          <w:marRight w:val="0"/>
          <w:marTop w:val="0"/>
          <w:marBottom w:val="0"/>
          <w:divBdr>
            <w:top w:val="none" w:sz="0" w:space="0" w:color="auto"/>
            <w:left w:val="none" w:sz="0" w:space="0" w:color="auto"/>
            <w:bottom w:val="none" w:sz="0" w:space="0" w:color="auto"/>
            <w:right w:val="none" w:sz="0" w:space="0" w:color="auto"/>
          </w:divBdr>
        </w:div>
      </w:divsChild>
    </w:div>
    <w:div w:id="503208506">
      <w:bodyDiv w:val="1"/>
      <w:marLeft w:val="0"/>
      <w:marRight w:val="0"/>
      <w:marTop w:val="0"/>
      <w:marBottom w:val="0"/>
      <w:divBdr>
        <w:top w:val="none" w:sz="0" w:space="0" w:color="auto"/>
        <w:left w:val="none" w:sz="0" w:space="0" w:color="auto"/>
        <w:bottom w:val="none" w:sz="0" w:space="0" w:color="auto"/>
        <w:right w:val="none" w:sz="0" w:space="0" w:color="auto"/>
      </w:divBdr>
    </w:div>
    <w:div w:id="529294391">
      <w:bodyDiv w:val="1"/>
      <w:marLeft w:val="0"/>
      <w:marRight w:val="0"/>
      <w:marTop w:val="0"/>
      <w:marBottom w:val="0"/>
      <w:divBdr>
        <w:top w:val="none" w:sz="0" w:space="0" w:color="auto"/>
        <w:left w:val="none" w:sz="0" w:space="0" w:color="auto"/>
        <w:bottom w:val="none" w:sz="0" w:space="0" w:color="auto"/>
        <w:right w:val="none" w:sz="0" w:space="0" w:color="auto"/>
      </w:divBdr>
      <w:divsChild>
        <w:div w:id="116611493">
          <w:marLeft w:val="1800"/>
          <w:marRight w:val="0"/>
          <w:marTop w:val="0"/>
          <w:marBottom w:val="150"/>
          <w:divBdr>
            <w:top w:val="none" w:sz="0" w:space="0" w:color="auto"/>
            <w:left w:val="none" w:sz="0" w:space="0" w:color="auto"/>
            <w:bottom w:val="none" w:sz="0" w:space="0" w:color="auto"/>
            <w:right w:val="none" w:sz="0" w:space="0" w:color="auto"/>
          </w:divBdr>
        </w:div>
        <w:div w:id="1332834759">
          <w:marLeft w:val="1800"/>
          <w:marRight w:val="0"/>
          <w:marTop w:val="225"/>
          <w:marBottom w:val="0"/>
          <w:divBdr>
            <w:top w:val="none" w:sz="0" w:space="0" w:color="auto"/>
            <w:left w:val="none" w:sz="0" w:space="0" w:color="auto"/>
            <w:bottom w:val="none" w:sz="0" w:space="0" w:color="auto"/>
            <w:right w:val="none" w:sz="0" w:space="0" w:color="auto"/>
          </w:divBdr>
        </w:div>
      </w:divsChild>
    </w:div>
    <w:div w:id="533426242">
      <w:bodyDiv w:val="1"/>
      <w:marLeft w:val="0"/>
      <w:marRight w:val="0"/>
      <w:marTop w:val="0"/>
      <w:marBottom w:val="0"/>
      <w:divBdr>
        <w:top w:val="none" w:sz="0" w:space="0" w:color="auto"/>
        <w:left w:val="none" w:sz="0" w:space="0" w:color="auto"/>
        <w:bottom w:val="none" w:sz="0" w:space="0" w:color="auto"/>
        <w:right w:val="none" w:sz="0" w:space="0" w:color="auto"/>
      </w:divBdr>
    </w:div>
    <w:div w:id="544875802">
      <w:bodyDiv w:val="1"/>
      <w:marLeft w:val="0"/>
      <w:marRight w:val="0"/>
      <w:marTop w:val="0"/>
      <w:marBottom w:val="0"/>
      <w:divBdr>
        <w:top w:val="none" w:sz="0" w:space="0" w:color="auto"/>
        <w:left w:val="none" w:sz="0" w:space="0" w:color="auto"/>
        <w:bottom w:val="none" w:sz="0" w:space="0" w:color="auto"/>
        <w:right w:val="none" w:sz="0" w:space="0" w:color="auto"/>
      </w:divBdr>
    </w:div>
    <w:div w:id="577135495">
      <w:bodyDiv w:val="1"/>
      <w:marLeft w:val="0"/>
      <w:marRight w:val="0"/>
      <w:marTop w:val="0"/>
      <w:marBottom w:val="0"/>
      <w:divBdr>
        <w:top w:val="none" w:sz="0" w:space="0" w:color="auto"/>
        <w:left w:val="none" w:sz="0" w:space="0" w:color="auto"/>
        <w:bottom w:val="none" w:sz="0" w:space="0" w:color="auto"/>
        <w:right w:val="none" w:sz="0" w:space="0" w:color="auto"/>
      </w:divBdr>
    </w:div>
    <w:div w:id="608121866">
      <w:bodyDiv w:val="1"/>
      <w:marLeft w:val="0"/>
      <w:marRight w:val="0"/>
      <w:marTop w:val="0"/>
      <w:marBottom w:val="0"/>
      <w:divBdr>
        <w:top w:val="none" w:sz="0" w:space="0" w:color="auto"/>
        <w:left w:val="none" w:sz="0" w:space="0" w:color="auto"/>
        <w:bottom w:val="none" w:sz="0" w:space="0" w:color="auto"/>
        <w:right w:val="none" w:sz="0" w:space="0" w:color="auto"/>
      </w:divBdr>
      <w:divsChild>
        <w:div w:id="61221757">
          <w:marLeft w:val="1166"/>
          <w:marRight w:val="0"/>
          <w:marTop w:val="82"/>
          <w:marBottom w:val="0"/>
          <w:divBdr>
            <w:top w:val="none" w:sz="0" w:space="0" w:color="auto"/>
            <w:left w:val="none" w:sz="0" w:space="0" w:color="auto"/>
            <w:bottom w:val="none" w:sz="0" w:space="0" w:color="auto"/>
            <w:right w:val="none" w:sz="0" w:space="0" w:color="auto"/>
          </w:divBdr>
        </w:div>
        <w:div w:id="74086467">
          <w:marLeft w:val="1166"/>
          <w:marRight w:val="0"/>
          <w:marTop w:val="82"/>
          <w:marBottom w:val="0"/>
          <w:divBdr>
            <w:top w:val="none" w:sz="0" w:space="0" w:color="auto"/>
            <w:left w:val="none" w:sz="0" w:space="0" w:color="auto"/>
            <w:bottom w:val="none" w:sz="0" w:space="0" w:color="auto"/>
            <w:right w:val="none" w:sz="0" w:space="0" w:color="auto"/>
          </w:divBdr>
        </w:div>
        <w:div w:id="85005994">
          <w:marLeft w:val="1166"/>
          <w:marRight w:val="0"/>
          <w:marTop w:val="82"/>
          <w:marBottom w:val="0"/>
          <w:divBdr>
            <w:top w:val="none" w:sz="0" w:space="0" w:color="auto"/>
            <w:left w:val="none" w:sz="0" w:space="0" w:color="auto"/>
            <w:bottom w:val="none" w:sz="0" w:space="0" w:color="auto"/>
            <w:right w:val="none" w:sz="0" w:space="0" w:color="auto"/>
          </w:divBdr>
        </w:div>
        <w:div w:id="258804215">
          <w:marLeft w:val="1166"/>
          <w:marRight w:val="0"/>
          <w:marTop w:val="82"/>
          <w:marBottom w:val="0"/>
          <w:divBdr>
            <w:top w:val="none" w:sz="0" w:space="0" w:color="auto"/>
            <w:left w:val="none" w:sz="0" w:space="0" w:color="auto"/>
            <w:bottom w:val="none" w:sz="0" w:space="0" w:color="auto"/>
            <w:right w:val="none" w:sz="0" w:space="0" w:color="auto"/>
          </w:divBdr>
        </w:div>
        <w:div w:id="334721781">
          <w:marLeft w:val="1166"/>
          <w:marRight w:val="0"/>
          <w:marTop w:val="82"/>
          <w:marBottom w:val="0"/>
          <w:divBdr>
            <w:top w:val="none" w:sz="0" w:space="0" w:color="auto"/>
            <w:left w:val="none" w:sz="0" w:space="0" w:color="auto"/>
            <w:bottom w:val="none" w:sz="0" w:space="0" w:color="auto"/>
            <w:right w:val="none" w:sz="0" w:space="0" w:color="auto"/>
          </w:divBdr>
        </w:div>
        <w:div w:id="1303774049">
          <w:marLeft w:val="1166"/>
          <w:marRight w:val="0"/>
          <w:marTop w:val="82"/>
          <w:marBottom w:val="0"/>
          <w:divBdr>
            <w:top w:val="none" w:sz="0" w:space="0" w:color="auto"/>
            <w:left w:val="none" w:sz="0" w:space="0" w:color="auto"/>
            <w:bottom w:val="none" w:sz="0" w:space="0" w:color="auto"/>
            <w:right w:val="none" w:sz="0" w:space="0" w:color="auto"/>
          </w:divBdr>
        </w:div>
      </w:divsChild>
    </w:div>
    <w:div w:id="654337066">
      <w:marLeft w:val="0"/>
      <w:marRight w:val="0"/>
      <w:marTop w:val="0"/>
      <w:marBottom w:val="0"/>
      <w:divBdr>
        <w:top w:val="none" w:sz="0" w:space="0" w:color="auto"/>
        <w:left w:val="none" w:sz="0" w:space="0" w:color="auto"/>
        <w:bottom w:val="none" w:sz="0" w:space="0" w:color="auto"/>
        <w:right w:val="none" w:sz="0" w:space="0" w:color="auto"/>
      </w:divBdr>
      <w:divsChild>
        <w:div w:id="1596329159">
          <w:marLeft w:val="0"/>
          <w:marRight w:val="0"/>
          <w:marTop w:val="0"/>
          <w:marBottom w:val="0"/>
          <w:divBdr>
            <w:top w:val="none" w:sz="0" w:space="0" w:color="auto"/>
            <w:left w:val="none" w:sz="0" w:space="0" w:color="auto"/>
            <w:bottom w:val="none" w:sz="0" w:space="0" w:color="auto"/>
            <w:right w:val="none" w:sz="0" w:space="0" w:color="auto"/>
          </w:divBdr>
        </w:div>
      </w:divsChild>
    </w:div>
    <w:div w:id="665131212">
      <w:bodyDiv w:val="1"/>
      <w:marLeft w:val="0"/>
      <w:marRight w:val="0"/>
      <w:marTop w:val="0"/>
      <w:marBottom w:val="0"/>
      <w:divBdr>
        <w:top w:val="none" w:sz="0" w:space="0" w:color="auto"/>
        <w:left w:val="none" w:sz="0" w:space="0" w:color="auto"/>
        <w:bottom w:val="none" w:sz="0" w:space="0" w:color="auto"/>
        <w:right w:val="none" w:sz="0" w:space="0" w:color="auto"/>
      </w:divBdr>
      <w:divsChild>
        <w:div w:id="377246813">
          <w:marLeft w:val="0"/>
          <w:marRight w:val="0"/>
          <w:marTop w:val="0"/>
          <w:marBottom w:val="0"/>
          <w:divBdr>
            <w:top w:val="none" w:sz="0" w:space="0" w:color="auto"/>
            <w:left w:val="none" w:sz="0" w:space="0" w:color="auto"/>
            <w:bottom w:val="none" w:sz="0" w:space="0" w:color="auto"/>
            <w:right w:val="none" w:sz="0" w:space="0" w:color="auto"/>
          </w:divBdr>
          <w:divsChild>
            <w:div w:id="5351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1189">
      <w:bodyDiv w:val="1"/>
      <w:marLeft w:val="0"/>
      <w:marRight w:val="0"/>
      <w:marTop w:val="0"/>
      <w:marBottom w:val="0"/>
      <w:divBdr>
        <w:top w:val="none" w:sz="0" w:space="0" w:color="auto"/>
        <w:left w:val="none" w:sz="0" w:space="0" w:color="auto"/>
        <w:bottom w:val="none" w:sz="0" w:space="0" w:color="auto"/>
        <w:right w:val="none" w:sz="0" w:space="0" w:color="auto"/>
      </w:divBdr>
    </w:div>
    <w:div w:id="738285269">
      <w:bodyDiv w:val="1"/>
      <w:marLeft w:val="0"/>
      <w:marRight w:val="0"/>
      <w:marTop w:val="0"/>
      <w:marBottom w:val="0"/>
      <w:divBdr>
        <w:top w:val="none" w:sz="0" w:space="0" w:color="auto"/>
        <w:left w:val="none" w:sz="0" w:space="0" w:color="auto"/>
        <w:bottom w:val="none" w:sz="0" w:space="0" w:color="auto"/>
        <w:right w:val="none" w:sz="0" w:space="0" w:color="auto"/>
      </w:divBdr>
    </w:div>
    <w:div w:id="750547486">
      <w:marLeft w:val="0"/>
      <w:marRight w:val="0"/>
      <w:marTop w:val="0"/>
      <w:marBottom w:val="0"/>
      <w:divBdr>
        <w:top w:val="none" w:sz="0" w:space="0" w:color="auto"/>
        <w:left w:val="none" w:sz="0" w:space="0" w:color="auto"/>
        <w:bottom w:val="none" w:sz="0" w:space="0" w:color="auto"/>
        <w:right w:val="none" w:sz="0" w:space="0" w:color="auto"/>
      </w:divBdr>
      <w:divsChild>
        <w:div w:id="1032222279">
          <w:marLeft w:val="0"/>
          <w:marRight w:val="0"/>
          <w:marTop w:val="0"/>
          <w:marBottom w:val="0"/>
          <w:divBdr>
            <w:top w:val="none" w:sz="0" w:space="0" w:color="auto"/>
            <w:left w:val="none" w:sz="0" w:space="0" w:color="auto"/>
            <w:bottom w:val="none" w:sz="0" w:space="0" w:color="auto"/>
            <w:right w:val="none" w:sz="0" w:space="0" w:color="auto"/>
          </w:divBdr>
        </w:div>
      </w:divsChild>
    </w:div>
    <w:div w:id="773094122">
      <w:bodyDiv w:val="1"/>
      <w:marLeft w:val="0"/>
      <w:marRight w:val="0"/>
      <w:marTop w:val="0"/>
      <w:marBottom w:val="0"/>
      <w:divBdr>
        <w:top w:val="none" w:sz="0" w:space="0" w:color="auto"/>
        <w:left w:val="none" w:sz="0" w:space="0" w:color="auto"/>
        <w:bottom w:val="none" w:sz="0" w:space="0" w:color="auto"/>
        <w:right w:val="none" w:sz="0" w:space="0" w:color="auto"/>
      </w:divBdr>
    </w:div>
    <w:div w:id="842087604">
      <w:bodyDiv w:val="1"/>
      <w:marLeft w:val="0"/>
      <w:marRight w:val="0"/>
      <w:marTop w:val="0"/>
      <w:marBottom w:val="0"/>
      <w:divBdr>
        <w:top w:val="none" w:sz="0" w:space="0" w:color="auto"/>
        <w:left w:val="none" w:sz="0" w:space="0" w:color="auto"/>
        <w:bottom w:val="none" w:sz="0" w:space="0" w:color="auto"/>
        <w:right w:val="none" w:sz="0" w:space="0" w:color="auto"/>
      </w:divBdr>
    </w:div>
    <w:div w:id="845945674">
      <w:bodyDiv w:val="1"/>
      <w:marLeft w:val="0"/>
      <w:marRight w:val="0"/>
      <w:marTop w:val="0"/>
      <w:marBottom w:val="0"/>
      <w:divBdr>
        <w:top w:val="none" w:sz="0" w:space="0" w:color="auto"/>
        <w:left w:val="none" w:sz="0" w:space="0" w:color="auto"/>
        <w:bottom w:val="none" w:sz="0" w:space="0" w:color="auto"/>
        <w:right w:val="none" w:sz="0" w:space="0" w:color="auto"/>
      </w:divBdr>
    </w:div>
    <w:div w:id="860313677">
      <w:bodyDiv w:val="1"/>
      <w:marLeft w:val="0"/>
      <w:marRight w:val="0"/>
      <w:marTop w:val="0"/>
      <w:marBottom w:val="0"/>
      <w:divBdr>
        <w:top w:val="none" w:sz="0" w:space="0" w:color="auto"/>
        <w:left w:val="none" w:sz="0" w:space="0" w:color="auto"/>
        <w:bottom w:val="none" w:sz="0" w:space="0" w:color="auto"/>
        <w:right w:val="none" w:sz="0" w:space="0" w:color="auto"/>
      </w:divBdr>
      <w:divsChild>
        <w:div w:id="191966185">
          <w:marLeft w:val="1166"/>
          <w:marRight w:val="0"/>
          <w:marTop w:val="82"/>
          <w:marBottom w:val="0"/>
          <w:divBdr>
            <w:top w:val="none" w:sz="0" w:space="0" w:color="auto"/>
            <w:left w:val="none" w:sz="0" w:space="0" w:color="auto"/>
            <w:bottom w:val="none" w:sz="0" w:space="0" w:color="auto"/>
            <w:right w:val="none" w:sz="0" w:space="0" w:color="auto"/>
          </w:divBdr>
        </w:div>
        <w:div w:id="206652288">
          <w:marLeft w:val="1166"/>
          <w:marRight w:val="0"/>
          <w:marTop w:val="82"/>
          <w:marBottom w:val="0"/>
          <w:divBdr>
            <w:top w:val="none" w:sz="0" w:space="0" w:color="auto"/>
            <w:left w:val="none" w:sz="0" w:space="0" w:color="auto"/>
            <w:bottom w:val="none" w:sz="0" w:space="0" w:color="auto"/>
            <w:right w:val="none" w:sz="0" w:space="0" w:color="auto"/>
          </w:divBdr>
        </w:div>
        <w:div w:id="212277177">
          <w:marLeft w:val="1166"/>
          <w:marRight w:val="0"/>
          <w:marTop w:val="82"/>
          <w:marBottom w:val="0"/>
          <w:divBdr>
            <w:top w:val="none" w:sz="0" w:space="0" w:color="auto"/>
            <w:left w:val="none" w:sz="0" w:space="0" w:color="auto"/>
            <w:bottom w:val="none" w:sz="0" w:space="0" w:color="auto"/>
            <w:right w:val="none" w:sz="0" w:space="0" w:color="auto"/>
          </w:divBdr>
        </w:div>
        <w:div w:id="362554452">
          <w:marLeft w:val="1166"/>
          <w:marRight w:val="0"/>
          <w:marTop w:val="82"/>
          <w:marBottom w:val="0"/>
          <w:divBdr>
            <w:top w:val="none" w:sz="0" w:space="0" w:color="auto"/>
            <w:left w:val="none" w:sz="0" w:space="0" w:color="auto"/>
            <w:bottom w:val="none" w:sz="0" w:space="0" w:color="auto"/>
            <w:right w:val="none" w:sz="0" w:space="0" w:color="auto"/>
          </w:divBdr>
        </w:div>
        <w:div w:id="776407315">
          <w:marLeft w:val="1166"/>
          <w:marRight w:val="0"/>
          <w:marTop w:val="82"/>
          <w:marBottom w:val="0"/>
          <w:divBdr>
            <w:top w:val="none" w:sz="0" w:space="0" w:color="auto"/>
            <w:left w:val="none" w:sz="0" w:space="0" w:color="auto"/>
            <w:bottom w:val="none" w:sz="0" w:space="0" w:color="auto"/>
            <w:right w:val="none" w:sz="0" w:space="0" w:color="auto"/>
          </w:divBdr>
        </w:div>
        <w:div w:id="1105612979">
          <w:marLeft w:val="1166"/>
          <w:marRight w:val="0"/>
          <w:marTop w:val="82"/>
          <w:marBottom w:val="0"/>
          <w:divBdr>
            <w:top w:val="none" w:sz="0" w:space="0" w:color="auto"/>
            <w:left w:val="none" w:sz="0" w:space="0" w:color="auto"/>
            <w:bottom w:val="none" w:sz="0" w:space="0" w:color="auto"/>
            <w:right w:val="none" w:sz="0" w:space="0" w:color="auto"/>
          </w:divBdr>
        </w:div>
        <w:div w:id="1490244876">
          <w:marLeft w:val="1166"/>
          <w:marRight w:val="0"/>
          <w:marTop w:val="82"/>
          <w:marBottom w:val="0"/>
          <w:divBdr>
            <w:top w:val="none" w:sz="0" w:space="0" w:color="auto"/>
            <w:left w:val="none" w:sz="0" w:space="0" w:color="auto"/>
            <w:bottom w:val="none" w:sz="0" w:space="0" w:color="auto"/>
            <w:right w:val="none" w:sz="0" w:space="0" w:color="auto"/>
          </w:divBdr>
        </w:div>
      </w:divsChild>
    </w:div>
    <w:div w:id="873233785">
      <w:marLeft w:val="0"/>
      <w:marRight w:val="0"/>
      <w:marTop w:val="0"/>
      <w:marBottom w:val="0"/>
      <w:divBdr>
        <w:top w:val="none" w:sz="0" w:space="0" w:color="auto"/>
        <w:left w:val="none" w:sz="0" w:space="0" w:color="auto"/>
        <w:bottom w:val="none" w:sz="0" w:space="0" w:color="auto"/>
        <w:right w:val="none" w:sz="0" w:space="0" w:color="auto"/>
      </w:divBdr>
      <w:divsChild>
        <w:div w:id="1653439274">
          <w:marLeft w:val="0"/>
          <w:marRight w:val="0"/>
          <w:marTop w:val="0"/>
          <w:marBottom w:val="0"/>
          <w:divBdr>
            <w:top w:val="none" w:sz="0" w:space="0" w:color="auto"/>
            <w:left w:val="none" w:sz="0" w:space="0" w:color="auto"/>
            <w:bottom w:val="none" w:sz="0" w:space="0" w:color="auto"/>
            <w:right w:val="none" w:sz="0" w:space="0" w:color="auto"/>
          </w:divBdr>
        </w:div>
      </w:divsChild>
    </w:div>
    <w:div w:id="885528286">
      <w:bodyDiv w:val="1"/>
      <w:marLeft w:val="0"/>
      <w:marRight w:val="0"/>
      <w:marTop w:val="0"/>
      <w:marBottom w:val="0"/>
      <w:divBdr>
        <w:top w:val="none" w:sz="0" w:space="0" w:color="auto"/>
        <w:left w:val="none" w:sz="0" w:space="0" w:color="auto"/>
        <w:bottom w:val="none" w:sz="0" w:space="0" w:color="auto"/>
        <w:right w:val="none" w:sz="0" w:space="0" w:color="auto"/>
      </w:divBdr>
    </w:div>
    <w:div w:id="894193594">
      <w:bodyDiv w:val="1"/>
      <w:marLeft w:val="0"/>
      <w:marRight w:val="0"/>
      <w:marTop w:val="0"/>
      <w:marBottom w:val="0"/>
      <w:divBdr>
        <w:top w:val="none" w:sz="0" w:space="0" w:color="auto"/>
        <w:left w:val="none" w:sz="0" w:space="0" w:color="auto"/>
        <w:bottom w:val="none" w:sz="0" w:space="0" w:color="auto"/>
        <w:right w:val="none" w:sz="0" w:space="0" w:color="auto"/>
      </w:divBdr>
    </w:div>
    <w:div w:id="940533996">
      <w:marLeft w:val="0"/>
      <w:marRight w:val="0"/>
      <w:marTop w:val="0"/>
      <w:marBottom w:val="0"/>
      <w:divBdr>
        <w:top w:val="none" w:sz="0" w:space="0" w:color="auto"/>
        <w:left w:val="none" w:sz="0" w:space="0" w:color="auto"/>
        <w:bottom w:val="none" w:sz="0" w:space="0" w:color="auto"/>
        <w:right w:val="none" w:sz="0" w:space="0" w:color="auto"/>
      </w:divBdr>
      <w:divsChild>
        <w:div w:id="410352663">
          <w:marLeft w:val="0"/>
          <w:marRight w:val="0"/>
          <w:marTop w:val="0"/>
          <w:marBottom w:val="0"/>
          <w:divBdr>
            <w:top w:val="none" w:sz="0" w:space="0" w:color="auto"/>
            <w:left w:val="none" w:sz="0" w:space="0" w:color="auto"/>
            <w:bottom w:val="none" w:sz="0" w:space="0" w:color="auto"/>
            <w:right w:val="none" w:sz="0" w:space="0" w:color="auto"/>
          </w:divBdr>
        </w:div>
      </w:divsChild>
    </w:div>
    <w:div w:id="943613571">
      <w:bodyDiv w:val="1"/>
      <w:marLeft w:val="0"/>
      <w:marRight w:val="0"/>
      <w:marTop w:val="0"/>
      <w:marBottom w:val="0"/>
      <w:divBdr>
        <w:top w:val="none" w:sz="0" w:space="0" w:color="auto"/>
        <w:left w:val="none" w:sz="0" w:space="0" w:color="auto"/>
        <w:bottom w:val="none" w:sz="0" w:space="0" w:color="auto"/>
        <w:right w:val="none" w:sz="0" w:space="0" w:color="auto"/>
      </w:divBdr>
    </w:div>
    <w:div w:id="954671657">
      <w:bodyDiv w:val="1"/>
      <w:marLeft w:val="0"/>
      <w:marRight w:val="0"/>
      <w:marTop w:val="0"/>
      <w:marBottom w:val="0"/>
      <w:divBdr>
        <w:top w:val="none" w:sz="0" w:space="0" w:color="auto"/>
        <w:left w:val="none" w:sz="0" w:space="0" w:color="auto"/>
        <w:bottom w:val="none" w:sz="0" w:space="0" w:color="auto"/>
        <w:right w:val="none" w:sz="0" w:space="0" w:color="auto"/>
      </w:divBdr>
      <w:divsChild>
        <w:div w:id="641273812">
          <w:marLeft w:val="1166"/>
          <w:marRight w:val="0"/>
          <w:marTop w:val="82"/>
          <w:marBottom w:val="0"/>
          <w:divBdr>
            <w:top w:val="none" w:sz="0" w:space="0" w:color="auto"/>
            <w:left w:val="none" w:sz="0" w:space="0" w:color="auto"/>
            <w:bottom w:val="none" w:sz="0" w:space="0" w:color="auto"/>
            <w:right w:val="none" w:sz="0" w:space="0" w:color="auto"/>
          </w:divBdr>
        </w:div>
        <w:div w:id="697244727">
          <w:marLeft w:val="1166"/>
          <w:marRight w:val="0"/>
          <w:marTop w:val="82"/>
          <w:marBottom w:val="0"/>
          <w:divBdr>
            <w:top w:val="none" w:sz="0" w:space="0" w:color="auto"/>
            <w:left w:val="none" w:sz="0" w:space="0" w:color="auto"/>
            <w:bottom w:val="none" w:sz="0" w:space="0" w:color="auto"/>
            <w:right w:val="none" w:sz="0" w:space="0" w:color="auto"/>
          </w:divBdr>
        </w:div>
        <w:div w:id="1236402206">
          <w:marLeft w:val="1166"/>
          <w:marRight w:val="0"/>
          <w:marTop w:val="82"/>
          <w:marBottom w:val="0"/>
          <w:divBdr>
            <w:top w:val="none" w:sz="0" w:space="0" w:color="auto"/>
            <w:left w:val="none" w:sz="0" w:space="0" w:color="auto"/>
            <w:bottom w:val="none" w:sz="0" w:space="0" w:color="auto"/>
            <w:right w:val="none" w:sz="0" w:space="0" w:color="auto"/>
          </w:divBdr>
        </w:div>
        <w:div w:id="1652782443">
          <w:marLeft w:val="1166"/>
          <w:marRight w:val="0"/>
          <w:marTop w:val="82"/>
          <w:marBottom w:val="0"/>
          <w:divBdr>
            <w:top w:val="none" w:sz="0" w:space="0" w:color="auto"/>
            <w:left w:val="none" w:sz="0" w:space="0" w:color="auto"/>
            <w:bottom w:val="none" w:sz="0" w:space="0" w:color="auto"/>
            <w:right w:val="none" w:sz="0" w:space="0" w:color="auto"/>
          </w:divBdr>
        </w:div>
        <w:div w:id="1670594022">
          <w:marLeft w:val="1166"/>
          <w:marRight w:val="0"/>
          <w:marTop w:val="82"/>
          <w:marBottom w:val="0"/>
          <w:divBdr>
            <w:top w:val="none" w:sz="0" w:space="0" w:color="auto"/>
            <w:left w:val="none" w:sz="0" w:space="0" w:color="auto"/>
            <w:bottom w:val="none" w:sz="0" w:space="0" w:color="auto"/>
            <w:right w:val="none" w:sz="0" w:space="0" w:color="auto"/>
          </w:divBdr>
        </w:div>
        <w:div w:id="1927959705">
          <w:marLeft w:val="1166"/>
          <w:marRight w:val="0"/>
          <w:marTop w:val="82"/>
          <w:marBottom w:val="0"/>
          <w:divBdr>
            <w:top w:val="none" w:sz="0" w:space="0" w:color="auto"/>
            <w:left w:val="none" w:sz="0" w:space="0" w:color="auto"/>
            <w:bottom w:val="none" w:sz="0" w:space="0" w:color="auto"/>
            <w:right w:val="none" w:sz="0" w:space="0" w:color="auto"/>
          </w:divBdr>
        </w:div>
        <w:div w:id="1982877978">
          <w:marLeft w:val="1166"/>
          <w:marRight w:val="0"/>
          <w:marTop w:val="82"/>
          <w:marBottom w:val="0"/>
          <w:divBdr>
            <w:top w:val="none" w:sz="0" w:space="0" w:color="auto"/>
            <w:left w:val="none" w:sz="0" w:space="0" w:color="auto"/>
            <w:bottom w:val="none" w:sz="0" w:space="0" w:color="auto"/>
            <w:right w:val="none" w:sz="0" w:space="0" w:color="auto"/>
          </w:divBdr>
        </w:div>
        <w:div w:id="2037005347">
          <w:marLeft w:val="1166"/>
          <w:marRight w:val="0"/>
          <w:marTop w:val="82"/>
          <w:marBottom w:val="0"/>
          <w:divBdr>
            <w:top w:val="none" w:sz="0" w:space="0" w:color="auto"/>
            <w:left w:val="none" w:sz="0" w:space="0" w:color="auto"/>
            <w:bottom w:val="none" w:sz="0" w:space="0" w:color="auto"/>
            <w:right w:val="none" w:sz="0" w:space="0" w:color="auto"/>
          </w:divBdr>
        </w:div>
      </w:divsChild>
    </w:div>
    <w:div w:id="956831405">
      <w:bodyDiv w:val="1"/>
      <w:marLeft w:val="0"/>
      <w:marRight w:val="0"/>
      <w:marTop w:val="0"/>
      <w:marBottom w:val="0"/>
      <w:divBdr>
        <w:top w:val="none" w:sz="0" w:space="0" w:color="auto"/>
        <w:left w:val="none" w:sz="0" w:space="0" w:color="auto"/>
        <w:bottom w:val="none" w:sz="0" w:space="0" w:color="auto"/>
        <w:right w:val="none" w:sz="0" w:space="0" w:color="auto"/>
      </w:divBdr>
    </w:div>
    <w:div w:id="961569835">
      <w:bodyDiv w:val="1"/>
      <w:marLeft w:val="0"/>
      <w:marRight w:val="0"/>
      <w:marTop w:val="0"/>
      <w:marBottom w:val="0"/>
      <w:divBdr>
        <w:top w:val="none" w:sz="0" w:space="0" w:color="auto"/>
        <w:left w:val="none" w:sz="0" w:space="0" w:color="auto"/>
        <w:bottom w:val="none" w:sz="0" w:space="0" w:color="auto"/>
        <w:right w:val="none" w:sz="0" w:space="0" w:color="auto"/>
      </w:divBdr>
      <w:divsChild>
        <w:div w:id="465196252">
          <w:marLeft w:val="1166"/>
          <w:marRight w:val="0"/>
          <w:marTop w:val="82"/>
          <w:marBottom w:val="0"/>
          <w:divBdr>
            <w:top w:val="none" w:sz="0" w:space="0" w:color="auto"/>
            <w:left w:val="none" w:sz="0" w:space="0" w:color="auto"/>
            <w:bottom w:val="none" w:sz="0" w:space="0" w:color="auto"/>
            <w:right w:val="none" w:sz="0" w:space="0" w:color="auto"/>
          </w:divBdr>
        </w:div>
        <w:div w:id="974917194">
          <w:marLeft w:val="1166"/>
          <w:marRight w:val="0"/>
          <w:marTop w:val="82"/>
          <w:marBottom w:val="0"/>
          <w:divBdr>
            <w:top w:val="none" w:sz="0" w:space="0" w:color="auto"/>
            <w:left w:val="none" w:sz="0" w:space="0" w:color="auto"/>
            <w:bottom w:val="none" w:sz="0" w:space="0" w:color="auto"/>
            <w:right w:val="none" w:sz="0" w:space="0" w:color="auto"/>
          </w:divBdr>
        </w:div>
        <w:div w:id="1292437819">
          <w:marLeft w:val="1166"/>
          <w:marRight w:val="0"/>
          <w:marTop w:val="82"/>
          <w:marBottom w:val="0"/>
          <w:divBdr>
            <w:top w:val="none" w:sz="0" w:space="0" w:color="auto"/>
            <w:left w:val="none" w:sz="0" w:space="0" w:color="auto"/>
            <w:bottom w:val="none" w:sz="0" w:space="0" w:color="auto"/>
            <w:right w:val="none" w:sz="0" w:space="0" w:color="auto"/>
          </w:divBdr>
        </w:div>
        <w:div w:id="1544250394">
          <w:marLeft w:val="1166"/>
          <w:marRight w:val="0"/>
          <w:marTop w:val="82"/>
          <w:marBottom w:val="0"/>
          <w:divBdr>
            <w:top w:val="none" w:sz="0" w:space="0" w:color="auto"/>
            <w:left w:val="none" w:sz="0" w:space="0" w:color="auto"/>
            <w:bottom w:val="none" w:sz="0" w:space="0" w:color="auto"/>
            <w:right w:val="none" w:sz="0" w:space="0" w:color="auto"/>
          </w:divBdr>
        </w:div>
        <w:div w:id="1618640566">
          <w:marLeft w:val="1166"/>
          <w:marRight w:val="0"/>
          <w:marTop w:val="82"/>
          <w:marBottom w:val="0"/>
          <w:divBdr>
            <w:top w:val="none" w:sz="0" w:space="0" w:color="auto"/>
            <w:left w:val="none" w:sz="0" w:space="0" w:color="auto"/>
            <w:bottom w:val="none" w:sz="0" w:space="0" w:color="auto"/>
            <w:right w:val="none" w:sz="0" w:space="0" w:color="auto"/>
          </w:divBdr>
        </w:div>
        <w:div w:id="1932084060">
          <w:marLeft w:val="1166"/>
          <w:marRight w:val="0"/>
          <w:marTop w:val="82"/>
          <w:marBottom w:val="0"/>
          <w:divBdr>
            <w:top w:val="none" w:sz="0" w:space="0" w:color="auto"/>
            <w:left w:val="none" w:sz="0" w:space="0" w:color="auto"/>
            <w:bottom w:val="none" w:sz="0" w:space="0" w:color="auto"/>
            <w:right w:val="none" w:sz="0" w:space="0" w:color="auto"/>
          </w:divBdr>
        </w:div>
        <w:div w:id="1955673502">
          <w:marLeft w:val="1166"/>
          <w:marRight w:val="0"/>
          <w:marTop w:val="82"/>
          <w:marBottom w:val="0"/>
          <w:divBdr>
            <w:top w:val="none" w:sz="0" w:space="0" w:color="auto"/>
            <w:left w:val="none" w:sz="0" w:space="0" w:color="auto"/>
            <w:bottom w:val="none" w:sz="0" w:space="0" w:color="auto"/>
            <w:right w:val="none" w:sz="0" w:space="0" w:color="auto"/>
          </w:divBdr>
        </w:div>
        <w:div w:id="1968969981">
          <w:marLeft w:val="1166"/>
          <w:marRight w:val="0"/>
          <w:marTop w:val="82"/>
          <w:marBottom w:val="0"/>
          <w:divBdr>
            <w:top w:val="none" w:sz="0" w:space="0" w:color="auto"/>
            <w:left w:val="none" w:sz="0" w:space="0" w:color="auto"/>
            <w:bottom w:val="none" w:sz="0" w:space="0" w:color="auto"/>
            <w:right w:val="none" w:sz="0" w:space="0" w:color="auto"/>
          </w:divBdr>
        </w:div>
        <w:div w:id="2004697902">
          <w:marLeft w:val="1166"/>
          <w:marRight w:val="0"/>
          <w:marTop w:val="82"/>
          <w:marBottom w:val="0"/>
          <w:divBdr>
            <w:top w:val="none" w:sz="0" w:space="0" w:color="auto"/>
            <w:left w:val="none" w:sz="0" w:space="0" w:color="auto"/>
            <w:bottom w:val="none" w:sz="0" w:space="0" w:color="auto"/>
            <w:right w:val="none" w:sz="0" w:space="0" w:color="auto"/>
          </w:divBdr>
        </w:div>
      </w:divsChild>
    </w:div>
    <w:div w:id="1078746794">
      <w:bodyDiv w:val="1"/>
      <w:marLeft w:val="0"/>
      <w:marRight w:val="0"/>
      <w:marTop w:val="0"/>
      <w:marBottom w:val="0"/>
      <w:divBdr>
        <w:top w:val="none" w:sz="0" w:space="0" w:color="auto"/>
        <w:left w:val="none" w:sz="0" w:space="0" w:color="auto"/>
        <w:bottom w:val="none" w:sz="0" w:space="0" w:color="auto"/>
        <w:right w:val="none" w:sz="0" w:space="0" w:color="auto"/>
      </w:divBdr>
    </w:div>
    <w:div w:id="1085682896">
      <w:bodyDiv w:val="1"/>
      <w:marLeft w:val="0"/>
      <w:marRight w:val="0"/>
      <w:marTop w:val="0"/>
      <w:marBottom w:val="0"/>
      <w:divBdr>
        <w:top w:val="none" w:sz="0" w:space="0" w:color="auto"/>
        <w:left w:val="none" w:sz="0" w:space="0" w:color="auto"/>
        <w:bottom w:val="none" w:sz="0" w:space="0" w:color="auto"/>
        <w:right w:val="none" w:sz="0" w:space="0" w:color="auto"/>
      </w:divBdr>
    </w:div>
    <w:div w:id="1113015963">
      <w:bodyDiv w:val="1"/>
      <w:marLeft w:val="0"/>
      <w:marRight w:val="0"/>
      <w:marTop w:val="0"/>
      <w:marBottom w:val="0"/>
      <w:divBdr>
        <w:top w:val="none" w:sz="0" w:space="0" w:color="auto"/>
        <w:left w:val="none" w:sz="0" w:space="0" w:color="auto"/>
        <w:bottom w:val="none" w:sz="0" w:space="0" w:color="auto"/>
        <w:right w:val="none" w:sz="0" w:space="0" w:color="auto"/>
      </w:divBdr>
    </w:div>
    <w:div w:id="1344473360">
      <w:marLeft w:val="0"/>
      <w:marRight w:val="0"/>
      <w:marTop w:val="0"/>
      <w:marBottom w:val="0"/>
      <w:divBdr>
        <w:top w:val="none" w:sz="0" w:space="0" w:color="auto"/>
        <w:left w:val="none" w:sz="0" w:space="0" w:color="auto"/>
        <w:bottom w:val="none" w:sz="0" w:space="0" w:color="auto"/>
        <w:right w:val="none" w:sz="0" w:space="0" w:color="auto"/>
      </w:divBdr>
      <w:divsChild>
        <w:div w:id="518086678">
          <w:marLeft w:val="0"/>
          <w:marRight w:val="0"/>
          <w:marTop w:val="0"/>
          <w:marBottom w:val="0"/>
          <w:divBdr>
            <w:top w:val="none" w:sz="0" w:space="0" w:color="auto"/>
            <w:left w:val="none" w:sz="0" w:space="0" w:color="auto"/>
            <w:bottom w:val="none" w:sz="0" w:space="0" w:color="auto"/>
            <w:right w:val="none" w:sz="0" w:space="0" w:color="auto"/>
          </w:divBdr>
        </w:div>
      </w:divsChild>
    </w:div>
    <w:div w:id="1419785246">
      <w:bodyDiv w:val="1"/>
      <w:marLeft w:val="0"/>
      <w:marRight w:val="0"/>
      <w:marTop w:val="0"/>
      <w:marBottom w:val="0"/>
      <w:divBdr>
        <w:top w:val="none" w:sz="0" w:space="0" w:color="auto"/>
        <w:left w:val="none" w:sz="0" w:space="0" w:color="auto"/>
        <w:bottom w:val="none" w:sz="0" w:space="0" w:color="auto"/>
        <w:right w:val="none" w:sz="0" w:space="0" w:color="auto"/>
      </w:divBdr>
    </w:div>
    <w:div w:id="1444154822">
      <w:bodyDiv w:val="1"/>
      <w:marLeft w:val="0"/>
      <w:marRight w:val="0"/>
      <w:marTop w:val="0"/>
      <w:marBottom w:val="0"/>
      <w:divBdr>
        <w:top w:val="none" w:sz="0" w:space="0" w:color="auto"/>
        <w:left w:val="none" w:sz="0" w:space="0" w:color="auto"/>
        <w:bottom w:val="none" w:sz="0" w:space="0" w:color="auto"/>
        <w:right w:val="none" w:sz="0" w:space="0" w:color="auto"/>
      </w:divBdr>
    </w:div>
    <w:div w:id="1458374118">
      <w:bodyDiv w:val="1"/>
      <w:marLeft w:val="0"/>
      <w:marRight w:val="0"/>
      <w:marTop w:val="0"/>
      <w:marBottom w:val="0"/>
      <w:divBdr>
        <w:top w:val="none" w:sz="0" w:space="0" w:color="auto"/>
        <w:left w:val="none" w:sz="0" w:space="0" w:color="auto"/>
        <w:bottom w:val="none" w:sz="0" w:space="0" w:color="auto"/>
        <w:right w:val="none" w:sz="0" w:space="0" w:color="auto"/>
      </w:divBdr>
    </w:div>
    <w:div w:id="1467313389">
      <w:bodyDiv w:val="1"/>
      <w:marLeft w:val="0"/>
      <w:marRight w:val="0"/>
      <w:marTop w:val="0"/>
      <w:marBottom w:val="0"/>
      <w:divBdr>
        <w:top w:val="none" w:sz="0" w:space="0" w:color="auto"/>
        <w:left w:val="none" w:sz="0" w:space="0" w:color="auto"/>
        <w:bottom w:val="none" w:sz="0" w:space="0" w:color="auto"/>
        <w:right w:val="none" w:sz="0" w:space="0" w:color="auto"/>
      </w:divBdr>
    </w:div>
    <w:div w:id="1502624380">
      <w:marLeft w:val="0"/>
      <w:marRight w:val="0"/>
      <w:marTop w:val="0"/>
      <w:marBottom w:val="0"/>
      <w:divBdr>
        <w:top w:val="none" w:sz="0" w:space="0" w:color="auto"/>
        <w:left w:val="none" w:sz="0" w:space="0" w:color="auto"/>
        <w:bottom w:val="none" w:sz="0" w:space="0" w:color="auto"/>
        <w:right w:val="none" w:sz="0" w:space="0" w:color="auto"/>
      </w:divBdr>
      <w:divsChild>
        <w:div w:id="1082024642">
          <w:marLeft w:val="0"/>
          <w:marRight w:val="0"/>
          <w:marTop w:val="0"/>
          <w:marBottom w:val="0"/>
          <w:divBdr>
            <w:top w:val="none" w:sz="0" w:space="0" w:color="auto"/>
            <w:left w:val="none" w:sz="0" w:space="0" w:color="auto"/>
            <w:bottom w:val="none" w:sz="0" w:space="0" w:color="auto"/>
            <w:right w:val="none" w:sz="0" w:space="0" w:color="auto"/>
          </w:divBdr>
        </w:div>
      </w:divsChild>
    </w:div>
    <w:div w:id="1527864076">
      <w:marLeft w:val="0"/>
      <w:marRight w:val="0"/>
      <w:marTop w:val="0"/>
      <w:marBottom w:val="0"/>
      <w:divBdr>
        <w:top w:val="none" w:sz="0" w:space="0" w:color="auto"/>
        <w:left w:val="none" w:sz="0" w:space="0" w:color="auto"/>
        <w:bottom w:val="none" w:sz="0" w:space="0" w:color="auto"/>
        <w:right w:val="none" w:sz="0" w:space="0" w:color="auto"/>
      </w:divBdr>
      <w:divsChild>
        <w:div w:id="2098137191">
          <w:marLeft w:val="0"/>
          <w:marRight w:val="0"/>
          <w:marTop w:val="0"/>
          <w:marBottom w:val="0"/>
          <w:divBdr>
            <w:top w:val="none" w:sz="0" w:space="0" w:color="auto"/>
            <w:left w:val="none" w:sz="0" w:space="0" w:color="auto"/>
            <w:bottom w:val="none" w:sz="0" w:space="0" w:color="auto"/>
            <w:right w:val="none" w:sz="0" w:space="0" w:color="auto"/>
          </w:divBdr>
        </w:div>
      </w:divsChild>
    </w:div>
    <w:div w:id="1530802762">
      <w:bodyDiv w:val="1"/>
      <w:marLeft w:val="0"/>
      <w:marRight w:val="0"/>
      <w:marTop w:val="0"/>
      <w:marBottom w:val="0"/>
      <w:divBdr>
        <w:top w:val="none" w:sz="0" w:space="0" w:color="auto"/>
        <w:left w:val="none" w:sz="0" w:space="0" w:color="auto"/>
        <w:bottom w:val="none" w:sz="0" w:space="0" w:color="auto"/>
        <w:right w:val="none" w:sz="0" w:space="0" w:color="auto"/>
      </w:divBdr>
    </w:div>
    <w:div w:id="1563712512">
      <w:bodyDiv w:val="1"/>
      <w:marLeft w:val="0"/>
      <w:marRight w:val="0"/>
      <w:marTop w:val="0"/>
      <w:marBottom w:val="0"/>
      <w:divBdr>
        <w:top w:val="none" w:sz="0" w:space="0" w:color="auto"/>
        <w:left w:val="none" w:sz="0" w:space="0" w:color="auto"/>
        <w:bottom w:val="none" w:sz="0" w:space="0" w:color="auto"/>
        <w:right w:val="none" w:sz="0" w:space="0" w:color="auto"/>
      </w:divBdr>
    </w:div>
    <w:div w:id="1576932100">
      <w:marLeft w:val="0"/>
      <w:marRight w:val="0"/>
      <w:marTop w:val="0"/>
      <w:marBottom w:val="0"/>
      <w:divBdr>
        <w:top w:val="none" w:sz="0" w:space="0" w:color="auto"/>
        <w:left w:val="none" w:sz="0" w:space="0" w:color="auto"/>
        <w:bottom w:val="none" w:sz="0" w:space="0" w:color="auto"/>
        <w:right w:val="none" w:sz="0" w:space="0" w:color="auto"/>
      </w:divBdr>
      <w:divsChild>
        <w:div w:id="889537353">
          <w:marLeft w:val="0"/>
          <w:marRight w:val="0"/>
          <w:marTop w:val="0"/>
          <w:marBottom w:val="0"/>
          <w:divBdr>
            <w:top w:val="none" w:sz="0" w:space="0" w:color="auto"/>
            <w:left w:val="none" w:sz="0" w:space="0" w:color="auto"/>
            <w:bottom w:val="none" w:sz="0" w:space="0" w:color="auto"/>
            <w:right w:val="none" w:sz="0" w:space="0" w:color="auto"/>
          </w:divBdr>
        </w:div>
      </w:divsChild>
    </w:div>
    <w:div w:id="1580208139">
      <w:marLeft w:val="0"/>
      <w:marRight w:val="0"/>
      <w:marTop w:val="0"/>
      <w:marBottom w:val="0"/>
      <w:divBdr>
        <w:top w:val="none" w:sz="0" w:space="0" w:color="auto"/>
        <w:left w:val="none" w:sz="0" w:space="0" w:color="auto"/>
        <w:bottom w:val="none" w:sz="0" w:space="0" w:color="auto"/>
        <w:right w:val="none" w:sz="0" w:space="0" w:color="auto"/>
      </w:divBdr>
      <w:divsChild>
        <w:div w:id="1223247549">
          <w:marLeft w:val="0"/>
          <w:marRight w:val="0"/>
          <w:marTop w:val="0"/>
          <w:marBottom w:val="0"/>
          <w:divBdr>
            <w:top w:val="none" w:sz="0" w:space="0" w:color="auto"/>
            <w:left w:val="none" w:sz="0" w:space="0" w:color="auto"/>
            <w:bottom w:val="none" w:sz="0" w:space="0" w:color="auto"/>
            <w:right w:val="none" w:sz="0" w:space="0" w:color="auto"/>
          </w:divBdr>
        </w:div>
      </w:divsChild>
    </w:div>
    <w:div w:id="1592660262">
      <w:bodyDiv w:val="1"/>
      <w:marLeft w:val="0"/>
      <w:marRight w:val="0"/>
      <w:marTop w:val="0"/>
      <w:marBottom w:val="0"/>
      <w:divBdr>
        <w:top w:val="none" w:sz="0" w:space="0" w:color="auto"/>
        <w:left w:val="none" w:sz="0" w:space="0" w:color="auto"/>
        <w:bottom w:val="none" w:sz="0" w:space="0" w:color="auto"/>
        <w:right w:val="none" w:sz="0" w:space="0" w:color="auto"/>
      </w:divBdr>
    </w:div>
    <w:div w:id="1606228066">
      <w:bodyDiv w:val="1"/>
      <w:marLeft w:val="0"/>
      <w:marRight w:val="0"/>
      <w:marTop w:val="0"/>
      <w:marBottom w:val="0"/>
      <w:divBdr>
        <w:top w:val="none" w:sz="0" w:space="0" w:color="auto"/>
        <w:left w:val="none" w:sz="0" w:space="0" w:color="auto"/>
        <w:bottom w:val="none" w:sz="0" w:space="0" w:color="auto"/>
        <w:right w:val="none" w:sz="0" w:space="0" w:color="auto"/>
      </w:divBdr>
    </w:div>
    <w:div w:id="1629360315">
      <w:bodyDiv w:val="1"/>
      <w:marLeft w:val="0"/>
      <w:marRight w:val="0"/>
      <w:marTop w:val="0"/>
      <w:marBottom w:val="0"/>
      <w:divBdr>
        <w:top w:val="none" w:sz="0" w:space="0" w:color="auto"/>
        <w:left w:val="none" w:sz="0" w:space="0" w:color="auto"/>
        <w:bottom w:val="none" w:sz="0" w:space="0" w:color="auto"/>
        <w:right w:val="none" w:sz="0" w:space="0" w:color="auto"/>
      </w:divBdr>
    </w:div>
    <w:div w:id="1636761881">
      <w:bodyDiv w:val="1"/>
      <w:marLeft w:val="0"/>
      <w:marRight w:val="0"/>
      <w:marTop w:val="0"/>
      <w:marBottom w:val="0"/>
      <w:divBdr>
        <w:top w:val="none" w:sz="0" w:space="0" w:color="auto"/>
        <w:left w:val="none" w:sz="0" w:space="0" w:color="auto"/>
        <w:bottom w:val="none" w:sz="0" w:space="0" w:color="auto"/>
        <w:right w:val="none" w:sz="0" w:space="0" w:color="auto"/>
      </w:divBdr>
    </w:div>
    <w:div w:id="1656639418">
      <w:bodyDiv w:val="1"/>
      <w:marLeft w:val="0"/>
      <w:marRight w:val="0"/>
      <w:marTop w:val="0"/>
      <w:marBottom w:val="0"/>
      <w:divBdr>
        <w:top w:val="none" w:sz="0" w:space="0" w:color="auto"/>
        <w:left w:val="none" w:sz="0" w:space="0" w:color="auto"/>
        <w:bottom w:val="none" w:sz="0" w:space="0" w:color="auto"/>
        <w:right w:val="none" w:sz="0" w:space="0" w:color="auto"/>
      </w:divBdr>
    </w:div>
    <w:div w:id="1659067186">
      <w:marLeft w:val="0"/>
      <w:marRight w:val="0"/>
      <w:marTop w:val="0"/>
      <w:marBottom w:val="0"/>
      <w:divBdr>
        <w:top w:val="none" w:sz="0" w:space="0" w:color="auto"/>
        <w:left w:val="none" w:sz="0" w:space="0" w:color="auto"/>
        <w:bottom w:val="none" w:sz="0" w:space="0" w:color="auto"/>
        <w:right w:val="none" w:sz="0" w:space="0" w:color="auto"/>
      </w:divBdr>
      <w:divsChild>
        <w:div w:id="283540801">
          <w:marLeft w:val="0"/>
          <w:marRight w:val="0"/>
          <w:marTop w:val="0"/>
          <w:marBottom w:val="0"/>
          <w:divBdr>
            <w:top w:val="none" w:sz="0" w:space="0" w:color="auto"/>
            <w:left w:val="none" w:sz="0" w:space="0" w:color="auto"/>
            <w:bottom w:val="none" w:sz="0" w:space="0" w:color="auto"/>
            <w:right w:val="none" w:sz="0" w:space="0" w:color="auto"/>
          </w:divBdr>
        </w:div>
      </w:divsChild>
    </w:div>
    <w:div w:id="1685328326">
      <w:bodyDiv w:val="1"/>
      <w:marLeft w:val="0"/>
      <w:marRight w:val="0"/>
      <w:marTop w:val="0"/>
      <w:marBottom w:val="0"/>
      <w:divBdr>
        <w:top w:val="none" w:sz="0" w:space="0" w:color="auto"/>
        <w:left w:val="none" w:sz="0" w:space="0" w:color="auto"/>
        <w:bottom w:val="none" w:sz="0" w:space="0" w:color="auto"/>
        <w:right w:val="none" w:sz="0" w:space="0" w:color="auto"/>
      </w:divBdr>
    </w:div>
    <w:div w:id="1697972470">
      <w:bodyDiv w:val="1"/>
      <w:marLeft w:val="0"/>
      <w:marRight w:val="0"/>
      <w:marTop w:val="0"/>
      <w:marBottom w:val="0"/>
      <w:divBdr>
        <w:top w:val="none" w:sz="0" w:space="0" w:color="auto"/>
        <w:left w:val="none" w:sz="0" w:space="0" w:color="auto"/>
        <w:bottom w:val="none" w:sz="0" w:space="0" w:color="auto"/>
        <w:right w:val="none" w:sz="0" w:space="0" w:color="auto"/>
      </w:divBdr>
    </w:div>
    <w:div w:id="1717966225">
      <w:marLeft w:val="0"/>
      <w:marRight w:val="0"/>
      <w:marTop w:val="0"/>
      <w:marBottom w:val="0"/>
      <w:divBdr>
        <w:top w:val="none" w:sz="0" w:space="0" w:color="auto"/>
        <w:left w:val="none" w:sz="0" w:space="0" w:color="auto"/>
        <w:bottom w:val="none" w:sz="0" w:space="0" w:color="auto"/>
        <w:right w:val="none" w:sz="0" w:space="0" w:color="auto"/>
      </w:divBdr>
      <w:divsChild>
        <w:div w:id="1609853905">
          <w:marLeft w:val="0"/>
          <w:marRight w:val="0"/>
          <w:marTop w:val="0"/>
          <w:marBottom w:val="0"/>
          <w:divBdr>
            <w:top w:val="none" w:sz="0" w:space="0" w:color="auto"/>
            <w:left w:val="none" w:sz="0" w:space="0" w:color="auto"/>
            <w:bottom w:val="none" w:sz="0" w:space="0" w:color="auto"/>
            <w:right w:val="none" w:sz="0" w:space="0" w:color="auto"/>
          </w:divBdr>
        </w:div>
      </w:divsChild>
    </w:div>
    <w:div w:id="1752198864">
      <w:bodyDiv w:val="1"/>
      <w:marLeft w:val="0"/>
      <w:marRight w:val="0"/>
      <w:marTop w:val="0"/>
      <w:marBottom w:val="0"/>
      <w:divBdr>
        <w:top w:val="none" w:sz="0" w:space="0" w:color="auto"/>
        <w:left w:val="none" w:sz="0" w:space="0" w:color="auto"/>
        <w:bottom w:val="none" w:sz="0" w:space="0" w:color="auto"/>
        <w:right w:val="none" w:sz="0" w:space="0" w:color="auto"/>
      </w:divBdr>
      <w:divsChild>
        <w:div w:id="1359819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3335131">
      <w:bodyDiv w:val="1"/>
      <w:marLeft w:val="0"/>
      <w:marRight w:val="0"/>
      <w:marTop w:val="0"/>
      <w:marBottom w:val="0"/>
      <w:divBdr>
        <w:top w:val="none" w:sz="0" w:space="0" w:color="auto"/>
        <w:left w:val="none" w:sz="0" w:space="0" w:color="auto"/>
        <w:bottom w:val="none" w:sz="0" w:space="0" w:color="auto"/>
        <w:right w:val="none" w:sz="0" w:space="0" w:color="auto"/>
      </w:divBdr>
    </w:div>
    <w:div w:id="1766730204">
      <w:bodyDiv w:val="1"/>
      <w:marLeft w:val="0"/>
      <w:marRight w:val="0"/>
      <w:marTop w:val="0"/>
      <w:marBottom w:val="0"/>
      <w:divBdr>
        <w:top w:val="none" w:sz="0" w:space="0" w:color="auto"/>
        <w:left w:val="none" w:sz="0" w:space="0" w:color="auto"/>
        <w:bottom w:val="none" w:sz="0" w:space="0" w:color="auto"/>
        <w:right w:val="none" w:sz="0" w:space="0" w:color="auto"/>
      </w:divBdr>
    </w:div>
    <w:div w:id="1781100381">
      <w:marLeft w:val="0"/>
      <w:marRight w:val="0"/>
      <w:marTop w:val="0"/>
      <w:marBottom w:val="0"/>
      <w:divBdr>
        <w:top w:val="none" w:sz="0" w:space="0" w:color="auto"/>
        <w:left w:val="none" w:sz="0" w:space="0" w:color="auto"/>
        <w:bottom w:val="none" w:sz="0" w:space="0" w:color="auto"/>
        <w:right w:val="none" w:sz="0" w:space="0" w:color="auto"/>
      </w:divBdr>
      <w:divsChild>
        <w:div w:id="872425614">
          <w:marLeft w:val="0"/>
          <w:marRight w:val="0"/>
          <w:marTop w:val="0"/>
          <w:marBottom w:val="0"/>
          <w:divBdr>
            <w:top w:val="none" w:sz="0" w:space="0" w:color="auto"/>
            <w:left w:val="none" w:sz="0" w:space="0" w:color="auto"/>
            <w:bottom w:val="none" w:sz="0" w:space="0" w:color="auto"/>
            <w:right w:val="none" w:sz="0" w:space="0" w:color="auto"/>
          </w:divBdr>
        </w:div>
      </w:divsChild>
    </w:div>
    <w:div w:id="1819763577">
      <w:marLeft w:val="0"/>
      <w:marRight w:val="0"/>
      <w:marTop w:val="0"/>
      <w:marBottom w:val="0"/>
      <w:divBdr>
        <w:top w:val="none" w:sz="0" w:space="0" w:color="auto"/>
        <w:left w:val="none" w:sz="0" w:space="0" w:color="auto"/>
        <w:bottom w:val="none" w:sz="0" w:space="0" w:color="auto"/>
        <w:right w:val="none" w:sz="0" w:space="0" w:color="auto"/>
      </w:divBdr>
      <w:divsChild>
        <w:div w:id="92822003">
          <w:marLeft w:val="0"/>
          <w:marRight w:val="0"/>
          <w:marTop w:val="0"/>
          <w:marBottom w:val="0"/>
          <w:divBdr>
            <w:top w:val="none" w:sz="0" w:space="0" w:color="auto"/>
            <w:left w:val="none" w:sz="0" w:space="0" w:color="auto"/>
            <w:bottom w:val="none" w:sz="0" w:space="0" w:color="auto"/>
            <w:right w:val="none" w:sz="0" w:space="0" w:color="auto"/>
          </w:divBdr>
        </w:div>
      </w:divsChild>
    </w:div>
    <w:div w:id="1833914250">
      <w:marLeft w:val="0"/>
      <w:marRight w:val="0"/>
      <w:marTop w:val="0"/>
      <w:marBottom w:val="0"/>
      <w:divBdr>
        <w:top w:val="none" w:sz="0" w:space="0" w:color="auto"/>
        <w:left w:val="none" w:sz="0" w:space="0" w:color="auto"/>
        <w:bottom w:val="none" w:sz="0" w:space="0" w:color="auto"/>
        <w:right w:val="none" w:sz="0" w:space="0" w:color="auto"/>
      </w:divBdr>
      <w:divsChild>
        <w:div w:id="1025593676">
          <w:marLeft w:val="0"/>
          <w:marRight w:val="0"/>
          <w:marTop w:val="0"/>
          <w:marBottom w:val="0"/>
          <w:divBdr>
            <w:top w:val="none" w:sz="0" w:space="0" w:color="auto"/>
            <w:left w:val="none" w:sz="0" w:space="0" w:color="auto"/>
            <w:bottom w:val="none" w:sz="0" w:space="0" w:color="auto"/>
            <w:right w:val="none" w:sz="0" w:space="0" w:color="auto"/>
          </w:divBdr>
        </w:div>
      </w:divsChild>
    </w:div>
    <w:div w:id="1845053057">
      <w:bodyDiv w:val="1"/>
      <w:marLeft w:val="0"/>
      <w:marRight w:val="0"/>
      <w:marTop w:val="0"/>
      <w:marBottom w:val="0"/>
      <w:divBdr>
        <w:top w:val="none" w:sz="0" w:space="0" w:color="auto"/>
        <w:left w:val="none" w:sz="0" w:space="0" w:color="auto"/>
        <w:bottom w:val="none" w:sz="0" w:space="0" w:color="auto"/>
        <w:right w:val="none" w:sz="0" w:space="0" w:color="auto"/>
      </w:divBdr>
    </w:div>
    <w:div w:id="1850680158">
      <w:marLeft w:val="0"/>
      <w:marRight w:val="0"/>
      <w:marTop w:val="0"/>
      <w:marBottom w:val="0"/>
      <w:divBdr>
        <w:top w:val="none" w:sz="0" w:space="0" w:color="auto"/>
        <w:left w:val="none" w:sz="0" w:space="0" w:color="auto"/>
        <w:bottom w:val="none" w:sz="0" w:space="0" w:color="auto"/>
        <w:right w:val="none" w:sz="0" w:space="0" w:color="auto"/>
      </w:divBdr>
      <w:divsChild>
        <w:div w:id="260841717">
          <w:marLeft w:val="0"/>
          <w:marRight w:val="0"/>
          <w:marTop w:val="0"/>
          <w:marBottom w:val="0"/>
          <w:divBdr>
            <w:top w:val="none" w:sz="0" w:space="0" w:color="auto"/>
            <w:left w:val="none" w:sz="0" w:space="0" w:color="auto"/>
            <w:bottom w:val="none" w:sz="0" w:space="0" w:color="auto"/>
            <w:right w:val="none" w:sz="0" w:space="0" w:color="auto"/>
          </w:divBdr>
        </w:div>
      </w:divsChild>
    </w:div>
    <w:div w:id="1878080724">
      <w:bodyDiv w:val="1"/>
      <w:marLeft w:val="0"/>
      <w:marRight w:val="0"/>
      <w:marTop w:val="0"/>
      <w:marBottom w:val="0"/>
      <w:divBdr>
        <w:top w:val="none" w:sz="0" w:space="0" w:color="auto"/>
        <w:left w:val="none" w:sz="0" w:space="0" w:color="auto"/>
        <w:bottom w:val="none" w:sz="0" w:space="0" w:color="auto"/>
        <w:right w:val="none" w:sz="0" w:space="0" w:color="auto"/>
      </w:divBdr>
    </w:div>
    <w:div w:id="1918057345">
      <w:marLeft w:val="0"/>
      <w:marRight w:val="0"/>
      <w:marTop w:val="0"/>
      <w:marBottom w:val="0"/>
      <w:divBdr>
        <w:top w:val="none" w:sz="0" w:space="0" w:color="auto"/>
        <w:left w:val="none" w:sz="0" w:space="0" w:color="auto"/>
        <w:bottom w:val="none" w:sz="0" w:space="0" w:color="auto"/>
        <w:right w:val="none" w:sz="0" w:space="0" w:color="auto"/>
      </w:divBdr>
      <w:divsChild>
        <w:div w:id="1116756948">
          <w:marLeft w:val="0"/>
          <w:marRight w:val="0"/>
          <w:marTop w:val="0"/>
          <w:marBottom w:val="0"/>
          <w:divBdr>
            <w:top w:val="none" w:sz="0" w:space="0" w:color="auto"/>
            <w:left w:val="none" w:sz="0" w:space="0" w:color="auto"/>
            <w:bottom w:val="none" w:sz="0" w:space="0" w:color="auto"/>
            <w:right w:val="none" w:sz="0" w:space="0" w:color="auto"/>
          </w:divBdr>
        </w:div>
      </w:divsChild>
    </w:div>
    <w:div w:id="1918443524">
      <w:bodyDiv w:val="1"/>
      <w:marLeft w:val="0"/>
      <w:marRight w:val="0"/>
      <w:marTop w:val="0"/>
      <w:marBottom w:val="0"/>
      <w:divBdr>
        <w:top w:val="none" w:sz="0" w:space="0" w:color="auto"/>
        <w:left w:val="none" w:sz="0" w:space="0" w:color="auto"/>
        <w:bottom w:val="none" w:sz="0" w:space="0" w:color="auto"/>
        <w:right w:val="none" w:sz="0" w:space="0" w:color="auto"/>
      </w:divBdr>
    </w:div>
    <w:div w:id="1922988140">
      <w:bodyDiv w:val="1"/>
      <w:marLeft w:val="0"/>
      <w:marRight w:val="0"/>
      <w:marTop w:val="0"/>
      <w:marBottom w:val="0"/>
      <w:divBdr>
        <w:top w:val="none" w:sz="0" w:space="0" w:color="auto"/>
        <w:left w:val="none" w:sz="0" w:space="0" w:color="auto"/>
        <w:bottom w:val="none" w:sz="0" w:space="0" w:color="auto"/>
        <w:right w:val="none" w:sz="0" w:space="0" w:color="auto"/>
      </w:divBdr>
    </w:div>
    <w:div w:id="1923054466">
      <w:bodyDiv w:val="1"/>
      <w:marLeft w:val="0"/>
      <w:marRight w:val="0"/>
      <w:marTop w:val="0"/>
      <w:marBottom w:val="0"/>
      <w:divBdr>
        <w:top w:val="none" w:sz="0" w:space="0" w:color="auto"/>
        <w:left w:val="none" w:sz="0" w:space="0" w:color="auto"/>
        <w:bottom w:val="none" w:sz="0" w:space="0" w:color="auto"/>
        <w:right w:val="none" w:sz="0" w:space="0" w:color="auto"/>
      </w:divBdr>
    </w:div>
    <w:div w:id="1945259245">
      <w:bodyDiv w:val="1"/>
      <w:marLeft w:val="0"/>
      <w:marRight w:val="0"/>
      <w:marTop w:val="0"/>
      <w:marBottom w:val="0"/>
      <w:divBdr>
        <w:top w:val="none" w:sz="0" w:space="0" w:color="auto"/>
        <w:left w:val="none" w:sz="0" w:space="0" w:color="auto"/>
        <w:bottom w:val="none" w:sz="0" w:space="0" w:color="auto"/>
        <w:right w:val="none" w:sz="0" w:space="0" w:color="auto"/>
      </w:divBdr>
    </w:div>
    <w:div w:id="2012489199">
      <w:marLeft w:val="0"/>
      <w:marRight w:val="0"/>
      <w:marTop w:val="0"/>
      <w:marBottom w:val="0"/>
      <w:divBdr>
        <w:top w:val="none" w:sz="0" w:space="0" w:color="auto"/>
        <w:left w:val="none" w:sz="0" w:space="0" w:color="auto"/>
        <w:bottom w:val="none" w:sz="0" w:space="0" w:color="auto"/>
        <w:right w:val="none" w:sz="0" w:space="0" w:color="auto"/>
      </w:divBdr>
      <w:divsChild>
        <w:div w:id="1263151310">
          <w:marLeft w:val="0"/>
          <w:marRight w:val="0"/>
          <w:marTop w:val="0"/>
          <w:marBottom w:val="0"/>
          <w:divBdr>
            <w:top w:val="none" w:sz="0" w:space="0" w:color="auto"/>
            <w:left w:val="none" w:sz="0" w:space="0" w:color="auto"/>
            <w:bottom w:val="none" w:sz="0" w:space="0" w:color="auto"/>
            <w:right w:val="none" w:sz="0" w:space="0" w:color="auto"/>
          </w:divBdr>
        </w:div>
      </w:divsChild>
    </w:div>
    <w:div w:id="2112317389">
      <w:marLeft w:val="0"/>
      <w:marRight w:val="0"/>
      <w:marTop w:val="0"/>
      <w:marBottom w:val="0"/>
      <w:divBdr>
        <w:top w:val="none" w:sz="0" w:space="0" w:color="auto"/>
        <w:left w:val="none" w:sz="0" w:space="0" w:color="auto"/>
        <w:bottom w:val="none" w:sz="0" w:space="0" w:color="auto"/>
        <w:right w:val="none" w:sz="0" w:space="0" w:color="auto"/>
      </w:divBdr>
      <w:divsChild>
        <w:div w:id="1621641184">
          <w:marLeft w:val="0"/>
          <w:marRight w:val="0"/>
          <w:marTop w:val="0"/>
          <w:marBottom w:val="0"/>
          <w:divBdr>
            <w:top w:val="none" w:sz="0" w:space="0" w:color="auto"/>
            <w:left w:val="none" w:sz="0" w:space="0" w:color="auto"/>
            <w:bottom w:val="none" w:sz="0" w:space="0" w:color="auto"/>
            <w:right w:val="none" w:sz="0" w:space="0" w:color="auto"/>
          </w:divBdr>
        </w:div>
      </w:divsChild>
    </w:div>
    <w:div w:id="2112580206">
      <w:bodyDiv w:val="1"/>
      <w:marLeft w:val="0"/>
      <w:marRight w:val="0"/>
      <w:marTop w:val="0"/>
      <w:marBottom w:val="0"/>
      <w:divBdr>
        <w:top w:val="none" w:sz="0" w:space="0" w:color="auto"/>
        <w:left w:val="none" w:sz="0" w:space="0" w:color="auto"/>
        <w:bottom w:val="none" w:sz="0" w:space="0" w:color="auto"/>
        <w:right w:val="none" w:sz="0" w:space="0" w:color="auto"/>
      </w:divBdr>
    </w:div>
    <w:div w:id="21202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C2DC-0DE4-450D-A019-2AE8A2B4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dc:creator>
  <cp:keywords/>
  <dc:description/>
  <cp:lastModifiedBy>app1 mrag</cp:lastModifiedBy>
  <cp:revision>2</cp:revision>
  <cp:lastPrinted>2025-03-13T06:54:00Z</cp:lastPrinted>
  <dcterms:created xsi:type="dcterms:W3CDTF">2025-05-14T22:21:00Z</dcterms:created>
  <dcterms:modified xsi:type="dcterms:W3CDTF">2025-05-14T22:21:00Z</dcterms:modified>
</cp:coreProperties>
</file>