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23A8" w14:textId="41E82B10" w:rsidR="00D10099" w:rsidRDefault="00074B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64F196B" wp14:editId="0ADF5F13">
            <wp:simplePos x="0" y="0"/>
            <wp:positionH relativeFrom="page">
              <wp:posOffset>153670</wp:posOffset>
            </wp:positionH>
            <wp:positionV relativeFrom="page">
              <wp:align>top</wp:align>
            </wp:positionV>
            <wp:extent cx="2763986" cy="2009775"/>
            <wp:effectExtent l="0" t="0" r="0" b="0"/>
            <wp:wrapNone/>
            <wp:docPr id="2" name="Picture 2" descr="VFA0004_Stationery_Letterhead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A0004_Stationery_Letterhead_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79" cy="20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A9E9F" w14:textId="70D8A2BD" w:rsidR="00D10099" w:rsidRDefault="00D10099" w:rsidP="00D10099"/>
    <w:p w14:paraId="73943B9C" w14:textId="77777777" w:rsidR="00D10099" w:rsidRDefault="00D10099" w:rsidP="00D10099"/>
    <w:p w14:paraId="18BFC7A3" w14:textId="77777777" w:rsidR="00D10099" w:rsidRPr="00D10099" w:rsidRDefault="00D10099" w:rsidP="00D10099"/>
    <w:p w14:paraId="105A645A" w14:textId="77777777" w:rsidR="00D10099" w:rsidRPr="00D10099" w:rsidRDefault="00D10099" w:rsidP="00D10099"/>
    <w:p w14:paraId="76C883A5" w14:textId="77777777" w:rsidR="00D10099" w:rsidRPr="00D10099" w:rsidRDefault="00D10099" w:rsidP="00D10099"/>
    <w:p w14:paraId="056F3E91" w14:textId="77777777" w:rsidR="00D10099" w:rsidRPr="00D10099" w:rsidRDefault="00D10099" w:rsidP="00D10099"/>
    <w:p w14:paraId="17BFEA44" w14:textId="77777777" w:rsidR="00D10099" w:rsidRPr="00D10099" w:rsidRDefault="00D10099" w:rsidP="00D10099"/>
    <w:p w14:paraId="388ADEE9" w14:textId="77777777" w:rsidR="00D10099" w:rsidRPr="00D10099" w:rsidRDefault="00D10099" w:rsidP="00D10099"/>
    <w:p w14:paraId="429670ED" w14:textId="77777777" w:rsidR="00D10099" w:rsidRDefault="00D10099" w:rsidP="00D10099"/>
    <w:p w14:paraId="20771D99" w14:textId="185E78AC" w:rsidR="00D10099" w:rsidRPr="008E3386" w:rsidRDefault="00D10099" w:rsidP="00D10099">
      <w:pPr>
        <w:pStyle w:val="Title"/>
        <w:rPr>
          <w:sz w:val="72"/>
          <w:szCs w:val="72"/>
        </w:rPr>
      </w:pPr>
      <w:r w:rsidRPr="00D10099">
        <w:rPr>
          <w:color w:val="auto"/>
          <w:sz w:val="72"/>
          <w:szCs w:val="72"/>
        </w:rPr>
        <w:t xml:space="preserve">Fisheries </w:t>
      </w:r>
      <w:r w:rsidR="00FA0DD8">
        <w:rPr>
          <w:color w:val="auto"/>
          <w:sz w:val="72"/>
          <w:szCs w:val="72"/>
        </w:rPr>
        <w:t>(</w:t>
      </w:r>
      <w:r w:rsidR="007D35D9">
        <w:rPr>
          <w:color w:val="auto"/>
          <w:sz w:val="72"/>
          <w:szCs w:val="72"/>
        </w:rPr>
        <w:t>Spider Crab</w:t>
      </w:r>
      <w:r w:rsidR="00FA0DD8">
        <w:rPr>
          <w:color w:val="auto"/>
          <w:sz w:val="72"/>
          <w:szCs w:val="72"/>
        </w:rPr>
        <w:t xml:space="preserve">) </w:t>
      </w:r>
      <w:r w:rsidRPr="00D10099">
        <w:rPr>
          <w:color w:val="auto"/>
          <w:sz w:val="72"/>
          <w:szCs w:val="72"/>
        </w:rPr>
        <w:t xml:space="preserve">Notice </w:t>
      </w:r>
      <w:r w:rsidR="00FA0DD8">
        <w:rPr>
          <w:color w:val="auto"/>
          <w:sz w:val="72"/>
          <w:szCs w:val="72"/>
        </w:rPr>
        <w:t>2020</w:t>
      </w:r>
    </w:p>
    <w:p w14:paraId="14B746D5" w14:textId="77777777" w:rsidR="00D10099" w:rsidRPr="00052588" w:rsidRDefault="00D10099" w:rsidP="00D10099">
      <w:pPr>
        <w:rPr>
          <w:b/>
          <w:sz w:val="36"/>
          <w:szCs w:val="36"/>
        </w:rPr>
      </w:pPr>
      <w:r w:rsidRPr="00052588">
        <w:rPr>
          <w:b/>
          <w:sz w:val="36"/>
          <w:szCs w:val="36"/>
        </w:rPr>
        <w:t>Consultation Plan</w:t>
      </w:r>
    </w:p>
    <w:p w14:paraId="56252175" w14:textId="77777777" w:rsidR="00B0343E" w:rsidRDefault="00B0343E" w:rsidP="00D10099"/>
    <w:p w14:paraId="69817BAA" w14:textId="77777777" w:rsidR="00D10099" w:rsidRDefault="00D10099" w:rsidP="00D10099"/>
    <w:p w14:paraId="277213C2" w14:textId="77777777" w:rsidR="00D10099" w:rsidRDefault="00D10099" w:rsidP="00D10099"/>
    <w:p w14:paraId="5E6CBBA3" w14:textId="77777777" w:rsidR="00D10099" w:rsidRDefault="00D10099" w:rsidP="00D10099"/>
    <w:p w14:paraId="0C6744F8" w14:textId="77777777" w:rsidR="00D10099" w:rsidRDefault="00D10099" w:rsidP="00D10099"/>
    <w:p w14:paraId="70CD8F05" w14:textId="77777777" w:rsidR="00D10099" w:rsidRDefault="00D10099" w:rsidP="00D10099"/>
    <w:p w14:paraId="18F4A41C" w14:textId="77777777" w:rsidR="00D10099" w:rsidRDefault="00D10099" w:rsidP="00D10099"/>
    <w:p w14:paraId="7C489239" w14:textId="77777777" w:rsidR="00D10099" w:rsidRDefault="00D10099" w:rsidP="00D10099"/>
    <w:p w14:paraId="071E7C90" w14:textId="77777777" w:rsidR="00D10099" w:rsidRDefault="00D10099" w:rsidP="00D10099"/>
    <w:p w14:paraId="379D4A7F" w14:textId="77777777" w:rsidR="00D10099" w:rsidRDefault="00D10099" w:rsidP="00D10099"/>
    <w:p w14:paraId="283FCE18" w14:textId="77777777" w:rsidR="00D10099" w:rsidRDefault="00D10099" w:rsidP="00D10099"/>
    <w:p w14:paraId="32D22E09" w14:textId="77777777" w:rsidR="00D10099" w:rsidRDefault="00D10099" w:rsidP="00D10099"/>
    <w:p w14:paraId="443CD567" w14:textId="77777777" w:rsidR="00D10099" w:rsidRDefault="00D10099" w:rsidP="00D10099"/>
    <w:p w14:paraId="6CD3AADB" w14:textId="77777777" w:rsidR="00D10099" w:rsidRDefault="00D10099" w:rsidP="00D10099"/>
    <w:p w14:paraId="0F4E769E" w14:textId="77777777" w:rsidR="00D10099" w:rsidRDefault="00D10099" w:rsidP="00D10099"/>
    <w:p w14:paraId="502943F8" w14:textId="77777777" w:rsidR="00D10099" w:rsidRDefault="00D10099" w:rsidP="00D10099"/>
    <w:p w14:paraId="5A216040" w14:textId="77777777" w:rsidR="00D10099" w:rsidRDefault="00D10099" w:rsidP="00D10099"/>
    <w:p w14:paraId="4D766B50" w14:textId="77777777" w:rsidR="00D10099" w:rsidRDefault="00D10099" w:rsidP="00D10099"/>
    <w:p w14:paraId="52FFC3C3" w14:textId="5AE05666" w:rsidR="00D10099" w:rsidRDefault="004E4A23" w:rsidP="004E4A23">
      <w:pPr>
        <w:tabs>
          <w:tab w:val="left" w:pos="379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5F6097" wp14:editId="6AD079DF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945" cy="1506855"/>
            <wp:effectExtent l="0" t="0" r="1905" b="0"/>
            <wp:wrapNone/>
            <wp:docPr id="3" name="Picture 3" descr="VFA0004_Stationery_Letterhead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FA0004_Stationery_Letterhead_foo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905F8AA" w14:textId="77777777" w:rsidR="00D10099" w:rsidRDefault="00D10099" w:rsidP="00D10099"/>
    <w:p w14:paraId="35217005" w14:textId="77777777" w:rsidR="00D10099" w:rsidRDefault="00D10099" w:rsidP="00D10099"/>
    <w:p w14:paraId="5ED3369F" w14:textId="77777777" w:rsidR="00D10099" w:rsidRDefault="00D10099" w:rsidP="00D10099"/>
    <w:p w14:paraId="17727DB9" w14:textId="77777777" w:rsidR="00D10099" w:rsidRPr="0070445C" w:rsidRDefault="00D10099" w:rsidP="00D10099">
      <w:pPr>
        <w:pStyle w:val="Sectionheading"/>
      </w:pPr>
      <w:r w:rsidRPr="0070445C">
        <w:lastRenderedPageBreak/>
        <w:t>Contents</w:t>
      </w:r>
    </w:p>
    <w:p w14:paraId="1B12D3BA" w14:textId="45B84568" w:rsidR="008671A1" w:rsidRDefault="00D1009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u w:val="none"/>
          <w:lang w:eastAsia="en-AU"/>
        </w:rPr>
      </w:pPr>
      <w:r>
        <w:fldChar w:fldCharType="begin"/>
      </w:r>
      <w:r>
        <w:instrText xml:space="preserve"> TOC \o "2-9" \t "Heading 1,1" </w:instrText>
      </w:r>
      <w:r>
        <w:fldChar w:fldCharType="separate"/>
      </w:r>
      <w:r w:rsidR="008671A1">
        <w:rPr>
          <w:noProof/>
        </w:rPr>
        <w:t>Preamble</w:t>
      </w:r>
      <w:r w:rsidR="008671A1">
        <w:rPr>
          <w:noProof/>
        </w:rPr>
        <w:tab/>
      </w:r>
      <w:r w:rsidR="008671A1">
        <w:rPr>
          <w:noProof/>
        </w:rPr>
        <w:fldChar w:fldCharType="begin"/>
      </w:r>
      <w:r w:rsidR="008671A1">
        <w:rPr>
          <w:noProof/>
        </w:rPr>
        <w:instrText xml:space="preserve"> PAGEREF _Toc27650242 \h </w:instrText>
      </w:r>
      <w:r w:rsidR="008671A1">
        <w:rPr>
          <w:noProof/>
        </w:rPr>
      </w:r>
      <w:r w:rsidR="008671A1">
        <w:rPr>
          <w:noProof/>
        </w:rPr>
        <w:fldChar w:fldCharType="separate"/>
      </w:r>
      <w:r w:rsidR="003133E8">
        <w:rPr>
          <w:noProof/>
        </w:rPr>
        <w:t>3</w:t>
      </w:r>
      <w:r w:rsidR="008671A1">
        <w:rPr>
          <w:noProof/>
        </w:rPr>
        <w:fldChar w:fldCharType="end"/>
      </w:r>
    </w:p>
    <w:p w14:paraId="3C51504D" w14:textId="70D72254" w:rsidR="008671A1" w:rsidRDefault="008671A1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u w:val="none"/>
          <w:lang w:eastAsia="en-AU"/>
        </w:rPr>
      </w:pPr>
      <w:r>
        <w:t>Closing date for submissions</w:t>
      </w:r>
      <w:r>
        <w:tab/>
      </w:r>
      <w:r>
        <w:fldChar w:fldCharType="begin"/>
      </w:r>
      <w:r>
        <w:instrText xml:space="preserve"> PAGEREF _Toc27650243 \h </w:instrText>
      </w:r>
      <w:r>
        <w:fldChar w:fldCharType="separate"/>
      </w:r>
      <w:r w:rsidR="003133E8">
        <w:t>3</w:t>
      </w:r>
      <w:r>
        <w:fldChar w:fldCharType="end"/>
      </w:r>
    </w:p>
    <w:p w14:paraId="168269A0" w14:textId="07577BA7" w:rsidR="008671A1" w:rsidRDefault="008671A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u w:val="none"/>
          <w:lang w:eastAsia="en-AU"/>
        </w:rPr>
      </w:pPr>
      <w:r>
        <w:rPr>
          <w:noProof/>
        </w:rPr>
        <w:t>Flow chart of consultation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_Toc27650244 \h </w:instrText>
      </w:r>
      <w:r>
        <w:rPr>
          <w:noProof/>
        </w:rPr>
      </w:r>
      <w:r>
        <w:rPr>
          <w:noProof/>
        </w:rPr>
        <w:fldChar w:fldCharType="separate"/>
      </w:r>
      <w:r w:rsidR="003133E8">
        <w:rPr>
          <w:noProof/>
        </w:rPr>
        <w:t>3</w:t>
      </w:r>
      <w:r>
        <w:rPr>
          <w:noProof/>
        </w:rPr>
        <w:fldChar w:fldCharType="end"/>
      </w:r>
    </w:p>
    <w:p w14:paraId="241AD5D3" w14:textId="2DA57BDA" w:rsidR="008671A1" w:rsidRDefault="008671A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u w:val="none"/>
          <w:lang w:eastAsia="en-AU"/>
        </w:rPr>
      </w:pPr>
      <w:r>
        <w:rPr>
          <w:noProof/>
        </w:rPr>
        <w:t>FLOW CHART OF CONSULTATION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_Toc27650245 \h </w:instrText>
      </w:r>
      <w:r>
        <w:rPr>
          <w:noProof/>
        </w:rPr>
      </w:r>
      <w:r>
        <w:rPr>
          <w:noProof/>
        </w:rPr>
        <w:fldChar w:fldCharType="separate"/>
      </w:r>
      <w:r w:rsidR="003133E8">
        <w:rPr>
          <w:noProof/>
        </w:rPr>
        <w:t>4</w:t>
      </w:r>
      <w:r>
        <w:rPr>
          <w:noProof/>
        </w:rPr>
        <w:fldChar w:fldCharType="end"/>
      </w:r>
    </w:p>
    <w:p w14:paraId="3489CA0F" w14:textId="006BD8FA" w:rsidR="008671A1" w:rsidRDefault="008671A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u w:val="none"/>
          <w:lang w:eastAsia="en-AU"/>
        </w:rPr>
      </w:pPr>
      <w:r>
        <w:rPr>
          <w:noProof/>
        </w:rPr>
        <w:t>CONSULTATION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_Toc27650246 \h </w:instrText>
      </w:r>
      <w:r>
        <w:rPr>
          <w:noProof/>
        </w:rPr>
      </w:r>
      <w:r>
        <w:rPr>
          <w:noProof/>
        </w:rPr>
        <w:fldChar w:fldCharType="separate"/>
      </w:r>
      <w:r w:rsidR="003133E8">
        <w:rPr>
          <w:noProof/>
        </w:rPr>
        <w:t>5</w:t>
      </w:r>
      <w:r>
        <w:rPr>
          <w:noProof/>
        </w:rPr>
        <w:fldChar w:fldCharType="end"/>
      </w:r>
    </w:p>
    <w:p w14:paraId="25196317" w14:textId="091F75E2" w:rsidR="008671A1" w:rsidRDefault="008671A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u w:val="none"/>
          <w:lang w:eastAsia="en-AU"/>
        </w:rPr>
      </w:pPr>
      <w:r>
        <w:rPr>
          <w:noProof/>
        </w:rPr>
        <w:t>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_Toc27650247 \h </w:instrText>
      </w:r>
      <w:r>
        <w:rPr>
          <w:noProof/>
        </w:rPr>
      </w:r>
      <w:r>
        <w:rPr>
          <w:noProof/>
        </w:rPr>
        <w:fldChar w:fldCharType="separate"/>
      </w:r>
      <w:r w:rsidR="003133E8">
        <w:rPr>
          <w:noProof/>
        </w:rPr>
        <w:t>8</w:t>
      </w:r>
      <w:r>
        <w:rPr>
          <w:noProof/>
        </w:rPr>
        <w:fldChar w:fldCharType="end"/>
      </w:r>
    </w:p>
    <w:p w14:paraId="1447E915" w14:textId="71655C64" w:rsidR="00D10099" w:rsidRDefault="00D10099" w:rsidP="00D10099">
      <w:r>
        <w:fldChar w:fldCharType="end"/>
      </w:r>
    </w:p>
    <w:p w14:paraId="25C597E2" w14:textId="77777777" w:rsidR="00D10099" w:rsidRDefault="00D10099" w:rsidP="00D10099"/>
    <w:p w14:paraId="286076FE" w14:textId="77777777" w:rsidR="00D10099" w:rsidRDefault="00D10099" w:rsidP="00D10099"/>
    <w:p w14:paraId="17C1C977" w14:textId="75197370" w:rsidR="00D10099" w:rsidRDefault="00F53DB7">
      <w:pPr>
        <w:spacing w:before="0" w:after="160" w:line="259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843E66E" wp14:editId="167524C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945" cy="1506855"/>
            <wp:effectExtent l="0" t="0" r="1905" b="0"/>
            <wp:wrapNone/>
            <wp:docPr id="4" name="Picture 4" descr="VFA0004_Stationery_Letterhead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FA0004_Stationery_Letterhead_foo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99">
        <w:br w:type="page"/>
      </w:r>
    </w:p>
    <w:p w14:paraId="605B6F4D" w14:textId="77777777" w:rsidR="00731328" w:rsidRPr="00052588" w:rsidRDefault="00731328" w:rsidP="00731328">
      <w:pPr>
        <w:pStyle w:val="Heading1"/>
      </w:pPr>
      <w:bookmarkStart w:id="1" w:name="_Toc239765659"/>
      <w:bookmarkStart w:id="2" w:name="_Toc239765725"/>
      <w:bookmarkStart w:id="3" w:name="_Toc381269856"/>
      <w:bookmarkStart w:id="4" w:name="_Toc27650242"/>
      <w:bookmarkStart w:id="5" w:name="_Toc231323867"/>
      <w:r w:rsidRPr="00052588">
        <w:lastRenderedPageBreak/>
        <w:t>Preamble</w:t>
      </w:r>
      <w:bookmarkEnd w:id="1"/>
      <w:bookmarkEnd w:id="2"/>
      <w:bookmarkEnd w:id="3"/>
      <w:bookmarkEnd w:id="4"/>
    </w:p>
    <w:p w14:paraId="2EC9D589" w14:textId="31969A29" w:rsidR="00731328" w:rsidRDefault="00731328" w:rsidP="00731328">
      <w:pPr>
        <w:spacing w:before="180" w:line="276" w:lineRule="auto"/>
        <w:rPr>
          <w:rFonts w:eastAsia="Times New Roman"/>
          <w:szCs w:val="20"/>
        </w:rPr>
      </w:pPr>
      <w:bookmarkStart w:id="6" w:name="_Toc239765660"/>
      <w:bookmarkStart w:id="7" w:name="_Toc239765726"/>
      <w:bookmarkStart w:id="8" w:name="_Toc239823855"/>
      <w:bookmarkStart w:id="9" w:name="_Toc248655125"/>
      <w:bookmarkEnd w:id="5"/>
      <w:r w:rsidRPr="00052588">
        <w:rPr>
          <w:rFonts w:eastAsia="Times New Roman"/>
          <w:b/>
          <w:szCs w:val="20"/>
        </w:rPr>
        <w:t>Any submissions received in relation to the consultation being conducted by</w:t>
      </w:r>
      <w:r>
        <w:rPr>
          <w:rFonts w:eastAsia="Times New Roman"/>
          <w:b/>
          <w:szCs w:val="20"/>
        </w:rPr>
        <w:t xml:space="preserve"> the</w:t>
      </w:r>
      <w:r w:rsidRPr="00052588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Victorian Fisheries Authority</w:t>
      </w:r>
      <w:r w:rsidRPr="00052588">
        <w:rPr>
          <w:rFonts w:eastAsia="Times New Roman"/>
          <w:b/>
          <w:szCs w:val="20"/>
        </w:rPr>
        <w:t xml:space="preserve"> will be published on the </w:t>
      </w:r>
      <w:r>
        <w:rPr>
          <w:rFonts w:eastAsia="Times New Roman"/>
          <w:b/>
          <w:szCs w:val="20"/>
        </w:rPr>
        <w:t>Victorian Fisheries Authority</w:t>
      </w:r>
      <w:r w:rsidRPr="00052588">
        <w:rPr>
          <w:rFonts w:eastAsia="Times New Roman"/>
          <w:b/>
          <w:szCs w:val="20"/>
        </w:rPr>
        <w:t xml:space="preserve"> website. In making a submission, unless the person making the submission indicates to the contrary, they will be consenting to their submission, including their name only, being published on the </w:t>
      </w:r>
      <w:r>
        <w:rPr>
          <w:rFonts w:eastAsia="Times New Roman"/>
          <w:b/>
          <w:szCs w:val="20"/>
        </w:rPr>
        <w:t>Victorian Fisheries Authority</w:t>
      </w:r>
      <w:r w:rsidRPr="00052588">
        <w:rPr>
          <w:rFonts w:eastAsia="Times New Roman"/>
          <w:b/>
          <w:szCs w:val="20"/>
        </w:rPr>
        <w:t xml:space="preserve"> website for 90 days from the conclusion of the consultative process.</w:t>
      </w:r>
      <w:r w:rsidRPr="00052588">
        <w:rPr>
          <w:rFonts w:eastAsia="Times New Roman"/>
          <w:szCs w:val="20"/>
        </w:rPr>
        <w:t xml:space="preserve">  </w:t>
      </w:r>
    </w:p>
    <w:p w14:paraId="79A4E02C" w14:textId="77777777" w:rsidR="00B63893" w:rsidRPr="00052588" w:rsidRDefault="00B63893" w:rsidP="00731328">
      <w:pPr>
        <w:spacing w:before="180" w:line="276" w:lineRule="auto"/>
        <w:rPr>
          <w:rFonts w:eastAsia="Times New Roman"/>
          <w:szCs w:val="20"/>
        </w:rPr>
      </w:pPr>
    </w:p>
    <w:p w14:paraId="1011A637" w14:textId="77777777" w:rsidR="00731328" w:rsidRPr="00052588" w:rsidRDefault="00731328" w:rsidP="00731328">
      <w:pPr>
        <w:pStyle w:val="Heading2"/>
      </w:pPr>
      <w:bookmarkStart w:id="10" w:name="_Toc381269857"/>
      <w:bookmarkStart w:id="11" w:name="_Toc27650243"/>
      <w:bookmarkEnd w:id="6"/>
      <w:bookmarkEnd w:id="7"/>
      <w:bookmarkEnd w:id="8"/>
      <w:bookmarkEnd w:id="9"/>
      <w:r w:rsidRPr="00052588">
        <w:t>Closing date for submissions</w:t>
      </w:r>
      <w:bookmarkEnd w:id="10"/>
      <w:bookmarkEnd w:id="11"/>
      <w:r w:rsidRPr="00052588">
        <w:t xml:space="preserve">  </w:t>
      </w:r>
    </w:p>
    <w:p w14:paraId="10223D5D" w14:textId="35424AD1" w:rsidR="00731328" w:rsidRPr="00052588" w:rsidRDefault="00731328" w:rsidP="00731328">
      <w:pPr>
        <w:spacing w:before="180" w:line="276" w:lineRule="auto"/>
        <w:rPr>
          <w:rFonts w:eastAsia="Times New Roman"/>
          <w:szCs w:val="20"/>
        </w:rPr>
      </w:pPr>
      <w:r w:rsidRPr="00052588">
        <w:rPr>
          <w:rFonts w:eastAsia="Times New Roman"/>
          <w:szCs w:val="20"/>
        </w:rPr>
        <w:t xml:space="preserve">The closing date for the receipt of submissions for consultation on this matter is </w:t>
      </w:r>
      <w:r w:rsidR="00166F76" w:rsidRPr="00166F76">
        <w:rPr>
          <w:rFonts w:eastAsia="Times New Roman"/>
          <w:szCs w:val="20"/>
        </w:rPr>
        <w:t>27</w:t>
      </w:r>
      <w:r w:rsidR="007A2E71" w:rsidRPr="00166F76">
        <w:rPr>
          <w:rFonts w:eastAsia="Times New Roman"/>
          <w:szCs w:val="20"/>
        </w:rPr>
        <w:t xml:space="preserve"> October</w:t>
      </w:r>
      <w:r w:rsidRPr="00166F76">
        <w:rPr>
          <w:rFonts w:eastAsia="Times New Roman"/>
          <w:szCs w:val="20"/>
        </w:rPr>
        <w:t xml:space="preserve"> 20</w:t>
      </w:r>
      <w:r w:rsidR="00F8314C" w:rsidRPr="00166F76">
        <w:rPr>
          <w:rFonts w:eastAsia="Times New Roman"/>
          <w:szCs w:val="20"/>
        </w:rPr>
        <w:t>20</w:t>
      </w:r>
      <w:r w:rsidR="007A2E71">
        <w:rPr>
          <w:rFonts w:eastAsia="Times New Roman"/>
          <w:szCs w:val="20"/>
        </w:rPr>
        <w:t xml:space="preserve"> </w:t>
      </w:r>
    </w:p>
    <w:p w14:paraId="6C6E97D4" w14:textId="698EAA4E" w:rsidR="00731328" w:rsidRDefault="00731328">
      <w:pPr>
        <w:spacing w:before="0" w:after="160" w:line="259" w:lineRule="auto"/>
      </w:pPr>
    </w:p>
    <w:p w14:paraId="21286B0C" w14:textId="2B61F405" w:rsidR="00731328" w:rsidRDefault="00731328">
      <w:pPr>
        <w:spacing w:before="0" w:after="160" w:line="259" w:lineRule="auto"/>
      </w:pPr>
    </w:p>
    <w:p w14:paraId="67DB3676" w14:textId="1A7A9C6B" w:rsidR="00731328" w:rsidRDefault="00731328">
      <w:pPr>
        <w:spacing w:before="0" w:after="160" w:line="259" w:lineRule="auto"/>
      </w:pPr>
    </w:p>
    <w:p w14:paraId="6CCF796E" w14:textId="1D17FB63" w:rsidR="00731328" w:rsidRDefault="00731328">
      <w:pPr>
        <w:spacing w:before="0" w:after="160" w:line="259" w:lineRule="auto"/>
      </w:pPr>
    </w:p>
    <w:p w14:paraId="3C13D224" w14:textId="270A935C" w:rsidR="00731328" w:rsidRDefault="00731328">
      <w:pPr>
        <w:spacing w:before="0" w:after="160" w:line="259" w:lineRule="auto"/>
      </w:pPr>
    </w:p>
    <w:p w14:paraId="5BC3E984" w14:textId="77777777" w:rsidR="00731328" w:rsidRDefault="00731328">
      <w:pPr>
        <w:spacing w:before="0" w:after="160" w:line="259" w:lineRule="auto"/>
      </w:pPr>
    </w:p>
    <w:p w14:paraId="4CD20025" w14:textId="77777777" w:rsidR="00731328" w:rsidRDefault="00731328" w:rsidP="009A573F">
      <w:pPr>
        <w:pStyle w:val="Heading1"/>
        <w:framePr w:w="9849" w:h="907" w:hRule="exact" w:hSpace="181" w:wrap="around" w:vAnchor="page" w:hAnchor="page" w:x="903" w:y="1248"/>
      </w:pPr>
      <w:bookmarkStart w:id="12" w:name="_Toc381269858"/>
    </w:p>
    <w:p w14:paraId="005A8FE2" w14:textId="40F9DE4D" w:rsidR="009A573F" w:rsidRPr="00052588" w:rsidRDefault="009A573F" w:rsidP="009A573F">
      <w:pPr>
        <w:pStyle w:val="Heading1"/>
        <w:framePr w:w="9849" w:h="907" w:hRule="exact" w:hSpace="181" w:wrap="around" w:vAnchor="page" w:hAnchor="page" w:x="903" w:y="1248"/>
      </w:pPr>
      <w:bookmarkStart w:id="13" w:name="_Toc27650244"/>
      <w:r w:rsidRPr="00052588">
        <w:t>Flow chart of consultation</w:t>
      </w:r>
      <w:bookmarkEnd w:id="12"/>
      <w:bookmarkEnd w:id="13"/>
    </w:p>
    <w:p w14:paraId="08B1754B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4B47AE9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7EA29A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48EAA45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0B9E75C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E9A9E8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385D413E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2CA347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774767F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7EC8D614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4BD551FF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9E4E582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C4F6D36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2604D9F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4EB1E0A0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AC23E58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AF2846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A6368F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C1DD807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DEBA40F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C5F6438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1B177B4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569AF96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D243315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3B67D266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1A409C05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58B2889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773BB0F2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4C57A39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653F74D7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119193CD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5E339FDF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0CA5EBE1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26FDC72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261287EE" w14:textId="6BA3083C" w:rsidR="00731328" w:rsidRDefault="00667F56" w:rsidP="009A573F">
      <w:pPr>
        <w:spacing w:before="0"/>
        <w:rPr>
          <w:rFonts w:eastAsia="Times New Roman" w:cs="Mang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7CE26" wp14:editId="687FE852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945" cy="1506855"/>
            <wp:effectExtent l="0" t="0" r="1905" b="0"/>
            <wp:wrapNone/>
            <wp:docPr id="5" name="Picture 5" descr="VFA0004_Stationery_Letterhead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FA0004_Stationery_Letterhead_foo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A6A93" w14:textId="2780D2B8" w:rsidR="00731328" w:rsidRDefault="00731328" w:rsidP="009A573F">
      <w:pPr>
        <w:spacing w:before="0"/>
        <w:rPr>
          <w:rFonts w:eastAsia="Times New Roman" w:cs="Mangal"/>
        </w:rPr>
      </w:pPr>
    </w:p>
    <w:p w14:paraId="0E008463" w14:textId="77777777" w:rsidR="00731328" w:rsidRDefault="00731328" w:rsidP="009A573F">
      <w:pPr>
        <w:spacing w:before="0"/>
        <w:rPr>
          <w:rFonts w:eastAsia="Times New Roman" w:cs="Mangal"/>
        </w:rPr>
      </w:pPr>
    </w:p>
    <w:p w14:paraId="64422163" w14:textId="5A5E384F" w:rsidR="00731328" w:rsidRDefault="00731328" w:rsidP="009A573F">
      <w:pPr>
        <w:spacing w:before="0"/>
        <w:rPr>
          <w:rFonts w:eastAsia="Times New Roman" w:cs="Mangal"/>
        </w:rPr>
      </w:pPr>
    </w:p>
    <w:p w14:paraId="38916FD2" w14:textId="20EB97AE" w:rsidR="009A573F" w:rsidRPr="00DD45D6" w:rsidRDefault="00DD45D6" w:rsidP="00DD45D6">
      <w:pPr>
        <w:pStyle w:val="Heading1"/>
      </w:pPr>
      <w:bookmarkStart w:id="14" w:name="_Toc27650245"/>
      <w:r>
        <w:t>FLOW CHART OF CONSULTATIO</w:t>
      </w:r>
      <w:r w:rsidR="009A573F">
        <w:rPr>
          <w:rFonts w:eastAsia="Times New Roman" w:cs="Mang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FDA4BB" wp14:editId="26A55E6C">
                <wp:simplePos x="0" y="0"/>
                <wp:positionH relativeFrom="column">
                  <wp:posOffset>1265555</wp:posOffset>
                </wp:positionH>
                <wp:positionV relativeFrom="paragraph">
                  <wp:posOffset>476885</wp:posOffset>
                </wp:positionV>
                <wp:extent cx="2457450" cy="5650230"/>
                <wp:effectExtent l="12700" t="8255" r="6350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5650230"/>
                          <a:chOff x="4462" y="5859"/>
                          <a:chExt cx="3870" cy="8898"/>
                        </a:xfrm>
                      </wpg:grpSpPr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7632"/>
                            <a:ext cx="387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26944" w14:textId="77777777" w:rsidR="009A573F" w:rsidRDefault="009A573F" w:rsidP="009A573F">
                              <w:r>
                                <w:t>Written submissions and other relevant information considered by CEO Victorian Fisheries Authority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9244"/>
                            <a:ext cx="387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CD09B" w14:textId="77777777" w:rsidR="009A573F" w:rsidRDefault="009A573F" w:rsidP="009A573F">
                              <w:r>
                                <w:t>CEO Victorian Fisheries Authority makes decision on the Fisheries Notices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10856"/>
                            <a:ext cx="3870" cy="1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54F29" w14:textId="77777777" w:rsidR="009A573F" w:rsidRDefault="009A573F" w:rsidP="009A573F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If approved, Victorian Fisheries Authority publishes the Fisheries Notices in the </w:t>
                              </w:r>
                              <w:r w:rsidRPr="00776A13">
                                <w:rPr>
                                  <w:i/>
                                </w:rPr>
                                <w:t>Victoria Government Gazette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14037"/>
                            <a:ext cx="387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DF9B1" w14:textId="77777777" w:rsidR="009A573F" w:rsidRDefault="009A573F" w:rsidP="009A573F">
                              <w:r>
                                <w:t>Victorian Fisheries Authority writes to inform stakeholders of its decision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5859"/>
                            <a:ext cx="3870" cy="1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8CBD7" w14:textId="77777777" w:rsidR="009A573F" w:rsidRDefault="009A573F" w:rsidP="009A573F">
                              <w:r>
                                <w:t xml:space="preserve">CEO Victorian Fisheries Authority releases the proposed Fisheries Notices for written comment to persons and organisations with relevant interests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12659"/>
                            <a:ext cx="3870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FE5E" w14:textId="77777777" w:rsidR="009A573F" w:rsidRPr="00927300" w:rsidRDefault="009A573F" w:rsidP="009A573F">
                              <w:r>
                                <w:t xml:space="preserve">Victorian Fisheries Authority publishes its decision on department website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07" y="719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307" y="88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07" y="104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07" y="122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07" y="136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DA4BB" id="Group 32" o:spid="_x0000_s1026" style="position:absolute;margin-left:99.65pt;margin-top:37.55pt;width:193.5pt;height:444.9pt;z-index:251659264" coordorigin="4462,5859" coordsize="3870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4462;top:7632;width:38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5D126944" w14:textId="77777777" w:rsidR="009A573F" w:rsidRDefault="009A573F" w:rsidP="009A573F">
                        <w:r>
                          <w:t>Written submissions and other relevant information considered by CEO Victorian Fisheries Authority</w:t>
                        </w:r>
                      </w:p>
                    </w:txbxContent>
                  </v:textbox>
                </v:shape>
                <v:shape id="Text Box 31" o:spid="_x0000_s1028" type="#_x0000_t202" style="position:absolute;left:4462;top:9244;width:38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32ACD09B" w14:textId="77777777" w:rsidR="009A573F" w:rsidRDefault="009A573F" w:rsidP="009A573F">
                        <w:r>
                          <w:t>CEO Victorian Fisheries Authority makes decision on the Fisheries Notices</w:t>
                        </w:r>
                      </w:p>
                    </w:txbxContent>
                  </v:textbox>
                </v:shape>
                <v:shape id="Text Box 32" o:spid="_x0000_s1029" type="#_x0000_t202" style="position:absolute;left:4462;top:10856;width:387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5354F29" w14:textId="77777777" w:rsidR="009A573F" w:rsidRDefault="009A573F" w:rsidP="009A573F">
                        <w:pPr>
                          <w:rPr>
                            <w:i/>
                          </w:rPr>
                        </w:pPr>
                        <w:r>
                          <w:t xml:space="preserve">If approved, Victorian Fisheries Authority publishes the Fisheries Notices in the </w:t>
                        </w:r>
                        <w:r w:rsidRPr="00776A13">
                          <w:rPr>
                            <w:i/>
                          </w:rPr>
                          <w:t>Victoria Government Gazette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" o:spid="_x0000_s1030" type="#_x0000_t202" style="position:absolute;left:4462;top:14037;width:38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2D5DF9B1" w14:textId="77777777" w:rsidR="009A573F" w:rsidRDefault="009A573F" w:rsidP="009A573F">
                        <w:r>
                          <w:t>Victorian Fisheries Authority writes to inform stakeholders of its decision</w:t>
                        </w:r>
                      </w:p>
                    </w:txbxContent>
                  </v:textbox>
                </v:shape>
                <v:shape id="Text Box 34" o:spid="_x0000_s1031" type="#_x0000_t202" style="position:absolute;left:4462;top:5859;width:387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738CBD7" w14:textId="77777777" w:rsidR="009A573F" w:rsidRDefault="009A573F" w:rsidP="009A573F">
                        <w:r>
                          <w:t xml:space="preserve">CEO Victorian Fisheries Authority releases the proposed Fisheries Notices for written comment to persons and organisations with relevant interests </w:t>
                        </w:r>
                      </w:p>
                    </w:txbxContent>
                  </v:textbox>
                </v:shape>
                <v:shape id="Text Box 35" o:spid="_x0000_s1032" type="#_x0000_t202" style="position:absolute;left:4462;top:12659;width:3870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4101FE5E" w14:textId="77777777" w:rsidR="009A573F" w:rsidRPr="00927300" w:rsidRDefault="009A573F" w:rsidP="009A573F">
                        <w:r>
                          <w:t xml:space="preserve">Victorian Fisheries Authority publishes its decision on department website </w:t>
                        </w:r>
                      </w:p>
                    </w:txbxContent>
                  </v:textbox>
                </v:shape>
                <v:line id="Line 36" o:spid="_x0000_s1033" style="position:absolute;visibility:visible;mso-wrap-style:square" from="6307,7197" to="6307,7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37" o:spid="_x0000_s1034" style="position:absolute;visibility:visible;mso-wrap-style:square" from="6307,8817" to="6307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38" o:spid="_x0000_s1035" style="position:absolute;visibility:visible;mso-wrap-style:square" from="6307,10437" to="6307,10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39" o:spid="_x0000_s1036" style="position:absolute;visibility:visible;mso-wrap-style:square" from="6307,12237" to="6307,1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0" o:spid="_x0000_s1037" style="position:absolute;visibility:visible;mso-wrap-style:square" from="6307,13677" to="6307,1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t>N</w:t>
      </w:r>
      <w:bookmarkEnd w:id="14"/>
    </w:p>
    <w:p w14:paraId="3E7B8C67" w14:textId="77777777" w:rsidR="00D10099" w:rsidRDefault="00D10099" w:rsidP="00D10099"/>
    <w:p w14:paraId="24C61F57" w14:textId="77777777" w:rsidR="00D10099" w:rsidRDefault="00D10099" w:rsidP="00D10099"/>
    <w:p w14:paraId="5FAD10DD" w14:textId="77777777" w:rsidR="00D10099" w:rsidRDefault="00D10099" w:rsidP="00D10099"/>
    <w:p w14:paraId="0D6CDA56" w14:textId="77777777" w:rsidR="00D10099" w:rsidRDefault="00D10099" w:rsidP="00D10099"/>
    <w:p w14:paraId="2400C5DF" w14:textId="77777777" w:rsidR="00D10099" w:rsidRDefault="00D10099" w:rsidP="00D10099"/>
    <w:p w14:paraId="4CB3D16E" w14:textId="77777777" w:rsidR="00D10099" w:rsidRDefault="00D10099" w:rsidP="00D10099"/>
    <w:p w14:paraId="29764580" w14:textId="77777777" w:rsidR="00D10099" w:rsidRDefault="00D10099" w:rsidP="00D10099"/>
    <w:p w14:paraId="3954FF7D" w14:textId="77777777" w:rsidR="00D10099" w:rsidRDefault="00D10099" w:rsidP="00D10099"/>
    <w:p w14:paraId="0CDA3CE6" w14:textId="77777777" w:rsidR="00D10099" w:rsidRDefault="00D10099" w:rsidP="00D10099"/>
    <w:p w14:paraId="2B5EF8E8" w14:textId="77777777" w:rsidR="00D10099" w:rsidRDefault="00D10099" w:rsidP="00D10099"/>
    <w:p w14:paraId="757F9C58" w14:textId="77777777" w:rsidR="00D10099" w:rsidRDefault="00D10099" w:rsidP="00D10099"/>
    <w:p w14:paraId="3B9DC16C" w14:textId="77777777" w:rsidR="00D10099" w:rsidRDefault="00D10099" w:rsidP="00D10099"/>
    <w:p w14:paraId="2E1223FA" w14:textId="77777777" w:rsidR="00D10099" w:rsidRDefault="00D10099" w:rsidP="00D10099"/>
    <w:p w14:paraId="08FAFC33" w14:textId="77777777" w:rsidR="00D10099" w:rsidRDefault="00D10099" w:rsidP="00D10099"/>
    <w:p w14:paraId="1FA9E3DB" w14:textId="77777777" w:rsidR="00D10099" w:rsidRDefault="00D10099" w:rsidP="00D10099"/>
    <w:p w14:paraId="53970C4B" w14:textId="77777777" w:rsidR="00D10099" w:rsidRDefault="00D10099" w:rsidP="00D10099"/>
    <w:p w14:paraId="64BF7AE0" w14:textId="77777777" w:rsidR="00D10099" w:rsidRDefault="00D10099" w:rsidP="00D10099"/>
    <w:p w14:paraId="20D9D737" w14:textId="77777777" w:rsidR="00D10099" w:rsidRDefault="00D10099" w:rsidP="00D10099"/>
    <w:p w14:paraId="60222BC6" w14:textId="77777777" w:rsidR="00D10099" w:rsidRDefault="00D10099" w:rsidP="00D10099"/>
    <w:p w14:paraId="19F6401F" w14:textId="77777777" w:rsidR="00D10099" w:rsidRDefault="00D10099" w:rsidP="00D10099"/>
    <w:p w14:paraId="17069C0A" w14:textId="77777777" w:rsidR="00D10099" w:rsidRDefault="00D10099" w:rsidP="00D10099"/>
    <w:p w14:paraId="739CD6A4" w14:textId="77777777" w:rsidR="00D10099" w:rsidRDefault="00D10099" w:rsidP="00D10099"/>
    <w:p w14:paraId="62E33575" w14:textId="77777777" w:rsidR="00D10099" w:rsidRDefault="00D10099" w:rsidP="00D10099"/>
    <w:p w14:paraId="4186A84A" w14:textId="77777777" w:rsidR="00D10099" w:rsidRDefault="00D10099" w:rsidP="00D10099"/>
    <w:p w14:paraId="65F2F01A" w14:textId="77777777" w:rsidR="00D10099" w:rsidRDefault="00D10099" w:rsidP="00D10099"/>
    <w:p w14:paraId="33F211C1" w14:textId="77777777" w:rsidR="00D10099" w:rsidRDefault="00D10099" w:rsidP="00D10099"/>
    <w:p w14:paraId="689FD9B3" w14:textId="77777777" w:rsidR="00D10099" w:rsidRDefault="00D10099" w:rsidP="00D10099"/>
    <w:p w14:paraId="576F97E5" w14:textId="77777777" w:rsidR="00D10099" w:rsidRDefault="00D10099" w:rsidP="00D10099"/>
    <w:p w14:paraId="6F230D4C" w14:textId="77777777" w:rsidR="00D10099" w:rsidRDefault="009A573F" w:rsidP="00D10099">
      <w:r>
        <w:rPr>
          <w:rFonts w:eastAsia="Times New Roman"/>
          <w:noProof/>
          <w:color w:val="0083A9"/>
          <w:spacing w:val="-1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D0014" wp14:editId="34D8CD58">
                <wp:simplePos x="0" y="0"/>
                <wp:positionH relativeFrom="column">
                  <wp:posOffset>2456180</wp:posOffset>
                </wp:positionH>
                <wp:positionV relativeFrom="paragraph">
                  <wp:posOffset>92710</wp:posOffset>
                </wp:positionV>
                <wp:extent cx="0" cy="241300"/>
                <wp:effectExtent l="60325" t="12700" r="53975" b="222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85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93.4pt;margin-top:7.3pt;width:0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">
                <v:stroke endarrow="block"/>
              </v:shape>
            </w:pict>
          </mc:Fallback>
        </mc:AlternateContent>
      </w:r>
    </w:p>
    <w:p w14:paraId="2EC20609" w14:textId="77777777" w:rsidR="00D10099" w:rsidRDefault="00D10099" w:rsidP="00D10099"/>
    <w:p w14:paraId="646E509F" w14:textId="77777777" w:rsidR="00D10099" w:rsidRDefault="009A573F" w:rsidP="00D10099">
      <w:r>
        <w:rPr>
          <w:rFonts w:eastAsia="Times New Roman"/>
          <w:noProof/>
          <w:color w:val="0083A9"/>
          <w:spacing w:val="-1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A66C8" wp14:editId="4D56013D">
                <wp:simplePos x="0" y="0"/>
                <wp:positionH relativeFrom="column">
                  <wp:posOffset>1230630</wp:posOffset>
                </wp:positionH>
                <wp:positionV relativeFrom="paragraph">
                  <wp:posOffset>10795</wp:posOffset>
                </wp:positionV>
                <wp:extent cx="2492375" cy="895350"/>
                <wp:effectExtent l="12700" t="12700" r="9525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A3EA5" w14:textId="77777777" w:rsidR="009A573F" w:rsidRDefault="009A573F" w:rsidP="009A573F">
                            <w:r>
                              <w:t>Victorian Fisheries Authority publishes its decision in a newspaper circulating the area affected by the decision and gives reference to the VFA’s internet site on which the Fisheries Notice is published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66C8" id="Rectangle 31" o:spid="_x0000_s1038" style="position:absolute;margin-left:96.9pt;margin-top:.85pt;width:196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">
                <v:textbox>
                  <w:txbxContent>
                    <w:p w14:paraId="0C4A3EA5" w14:textId="77777777" w:rsidR="009A573F" w:rsidRDefault="009A573F" w:rsidP="009A573F">
                      <w:r>
                        <w:t>Victorian Fisheries Authority publishes its decision in a newspaper circulating the area affected by the decision and gives reference to the VFA’s internet site on which the Fisheries Notice is published</w:t>
                      </w:r>
                    </w:p>
                  </w:txbxContent>
                </v:textbox>
              </v:rect>
            </w:pict>
          </mc:Fallback>
        </mc:AlternateContent>
      </w:r>
    </w:p>
    <w:p w14:paraId="7717DD4B" w14:textId="77777777" w:rsidR="00D10099" w:rsidRDefault="00D10099" w:rsidP="00D10099"/>
    <w:p w14:paraId="699177E9" w14:textId="77777777" w:rsidR="009A573F" w:rsidRDefault="009A573F" w:rsidP="00D10099"/>
    <w:p w14:paraId="0CB2149E" w14:textId="77777777" w:rsidR="009A573F" w:rsidRDefault="009A573F" w:rsidP="00D10099"/>
    <w:p w14:paraId="26CDA540" w14:textId="77777777" w:rsidR="009A573F" w:rsidRDefault="009A573F" w:rsidP="00D10099"/>
    <w:p w14:paraId="3A495667" w14:textId="77777777" w:rsidR="009A573F" w:rsidRDefault="009A573F" w:rsidP="00D10099"/>
    <w:p w14:paraId="040434F0" w14:textId="77777777" w:rsidR="0014513A" w:rsidRDefault="0014513A">
      <w:pPr>
        <w:spacing w:before="0" w:after="160" w:line="259" w:lineRule="auto"/>
        <w:rPr>
          <w:b/>
          <w:bCs/>
          <w:caps/>
          <w:color w:val="00ACBA"/>
          <w:kern w:val="32"/>
          <w:sz w:val="36"/>
          <w:szCs w:val="32"/>
        </w:rPr>
      </w:pPr>
      <w:bookmarkStart w:id="15" w:name="_Toc27650246"/>
      <w:bookmarkStart w:id="16" w:name="_Toc239765661"/>
      <w:bookmarkStart w:id="17" w:name="_Toc239765727"/>
      <w:bookmarkStart w:id="18" w:name="_Toc381269859"/>
      <w:r>
        <w:br w:type="page"/>
      </w:r>
    </w:p>
    <w:p w14:paraId="25FBBBEC" w14:textId="172F134D" w:rsidR="00BE17B8" w:rsidRPr="0014513A" w:rsidRDefault="0014513A" w:rsidP="009A573F">
      <w:pPr>
        <w:pStyle w:val="Heading1"/>
        <w:rPr>
          <w:b w:val="0"/>
        </w:rPr>
      </w:pPr>
      <w:r>
        <w:t>CONSULTATION PLAN</w:t>
      </w:r>
      <w:bookmarkEnd w:id="15"/>
    </w:p>
    <w:bookmarkEnd w:id="16"/>
    <w:bookmarkEnd w:id="17"/>
    <w:bookmarkEnd w:id="18"/>
    <w:p w14:paraId="53BF15ED" w14:textId="77777777" w:rsidR="00DD45D6" w:rsidRDefault="00DD45D6" w:rsidP="00D10099"/>
    <w:tbl>
      <w:tblPr>
        <w:tblpPr w:leftFromText="180" w:rightFromText="180" w:vertAnchor="page" w:horzAnchor="margin" w:tblpY="3541"/>
        <w:tblW w:w="10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8" w:type="dxa"/>
          <w:left w:w="0" w:type="dxa"/>
          <w:bottom w:w="34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826"/>
        <w:gridCol w:w="8369"/>
      </w:tblGrid>
      <w:tr w:rsidR="009A573F" w:rsidRPr="00052588" w14:paraId="0B57D46E" w14:textId="77777777" w:rsidTr="003A5D12">
        <w:trPr>
          <w:trHeight w:val="24"/>
        </w:trPr>
        <w:tc>
          <w:tcPr>
            <w:tcW w:w="210" w:type="pct"/>
            <w:shd w:val="clear" w:color="auto" w:fill="auto"/>
          </w:tcPr>
          <w:p w14:paraId="1BA5E2E5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</w:t>
            </w:r>
          </w:p>
        </w:tc>
        <w:tc>
          <w:tcPr>
            <w:tcW w:w="858" w:type="pct"/>
            <w:shd w:val="clear" w:color="auto" w:fill="auto"/>
          </w:tcPr>
          <w:p w14:paraId="45FE3465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Consultation Title</w:t>
            </w:r>
          </w:p>
        </w:tc>
        <w:tc>
          <w:tcPr>
            <w:tcW w:w="3932" w:type="pct"/>
            <w:shd w:val="clear" w:color="auto" w:fill="auto"/>
          </w:tcPr>
          <w:p w14:paraId="442CF24A" w14:textId="49B02093" w:rsidR="009A573F" w:rsidRPr="00052588" w:rsidRDefault="00CD35AA" w:rsidP="003A5D12">
            <w:pPr>
              <w:spacing w:before="0" w:after="120"/>
              <w:rPr>
                <w:rFonts w:eastAsia="Times New Roman"/>
                <w:szCs w:val="16"/>
                <w:lang w:eastAsia="en-AU"/>
              </w:rPr>
            </w:pPr>
            <w:r>
              <w:rPr>
                <w:rFonts w:eastAsia="Times New Roman"/>
                <w:szCs w:val="16"/>
                <w:lang w:eastAsia="en-AU"/>
              </w:rPr>
              <w:t>Fisheries (</w:t>
            </w:r>
            <w:r w:rsidR="003819A3">
              <w:rPr>
                <w:rFonts w:eastAsia="Times New Roman"/>
                <w:szCs w:val="16"/>
                <w:lang w:eastAsia="en-AU"/>
              </w:rPr>
              <w:t>Spider Crab</w:t>
            </w:r>
            <w:r w:rsidR="00C65AA4">
              <w:rPr>
                <w:rFonts w:eastAsia="Times New Roman"/>
                <w:szCs w:val="16"/>
                <w:lang w:eastAsia="en-AU"/>
              </w:rPr>
              <w:t>) Notice 2020</w:t>
            </w:r>
          </w:p>
        </w:tc>
      </w:tr>
      <w:tr w:rsidR="009A573F" w:rsidRPr="00052588" w14:paraId="28486734" w14:textId="77777777" w:rsidTr="003A5D12">
        <w:tc>
          <w:tcPr>
            <w:tcW w:w="210" w:type="pct"/>
            <w:shd w:val="clear" w:color="auto" w:fill="auto"/>
          </w:tcPr>
          <w:p w14:paraId="437D47BE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2</w:t>
            </w:r>
          </w:p>
        </w:tc>
        <w:tc>
          <w:tcPr>
            <w:tcW w:w="858" w:type="pct"/>
            <w:shd w:val="clear" w:color="auto" w:fill="auto"/>
          </w:tcPr>
          <w:p w14:paraId="38361E50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Representative group/s being consulted</w:t>
            </w:r>
          </w:p>
        </w:tc>
        <w:tc>
          <w:tcPr>
            <w:tcW w:w="3932" w:type="pct"/>
            <w:shd w:val="clear" w:color="auto" w:fill="auto"/>
          </w:tcPr>
          <w:p w14:paraId="27B8835C" w14:textId="0B856DBE" w:rsidR="00DD1DBA" w:rsidRPr="00052588" w:rsidRDefault="00DD1DBA" w:rsidP="00DD1DBA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FC"/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Recreational fishing</w:t>
            </w:r>
            <w:r w:rsidR="00F903D7">
              <w:rPr>
                <w:rFonts w:eastAsia="Times New Roman"/>
                <w:spacing w:val="-1"/>
                <w:szCs w:val="16"/>
                <w:lang w:eastAsia="en-AU"/>
              </w:rPr>
              <w:t xml:space="preserve"> peak body</w:t>
            </w:r>
            <w:r w:rsidR="004B4B83">
              <w:rPr>
                <w:rFonts w:eastAsia="Times New Roman"/>
                <w:spacing w:val="-1"/>
                <w:szCs w:val="16"/>
                <w:lang w:eastAsia="en-AU"/>
              </w:rPr>
              <w:t xml:space="preserve"> and key stakeholders</w:t>
            </w:r>
            <w:r>
              <w:rPr>
                <w:rFonts w:eastAsia="Times New Roman"/>
                <w:szCs w:val="16"/>
                <w:lang w:eastAsia="en-AU"/>
              </w:rPr>
              <w:t xml:space="preserve"> </w:t>
            </w:r>
            <w:r w:rsidRPr="00052588">
              <w:rPr>
                <w:rFonts w:eastAsia="Times New Roman"/>
                <w:szCs w:val="16"/>
                <w:lang w:eastAsia="en-AU"/>
              </w:rPr>
              <w:t>(VRFish</w:t>
            </w:r>
            <w:r w:rsidR="004B4B83">
              <w:rPr>
                <w:rFonts w:eastAsia="Times New Roman"/>
                <w:szCs w:val="16"/>
                <w:lang w:eastAsia="en-AU"/>
              </w:rPr>
              <w:t>; Futurefish</w:t>
            </w:r>
            <w:r w:rsidR="000D54C9">
              <w:rPr>
                <w:rFonts w:eastAsia="Times New Roman"/>
                <w:szCs w:val="16"/>
                <w:lang w:eastAsia="en-AU"/>
              </w:rPr>
              <w:t>;</w:t>
            </w:r>
            <w:r w:rsidR="008F3CA4">
              <w:rPr>
                <w:rFonts w:eastAsia="Times New Roman"/>
                <w:szCs w:val="16"/>
                <w:lang w:eastAsia="en-AU"/>
              </w:rPr>
              <w:t xml:space="preserve"> Victoria Chinese Angling Association</w:t>
            </w:r>
            <w:r>
              <w:rPr>
                <w:rFonts w:eastAsia="Times New Roman"/>
                <w:szCs w:val="16"/>
                <w:lang w:eastAsia="en-AU"/>
              </w:rPr>
              <w:t xml:space="preserve">) </w:t>
            </w:r>
          </w:p>
          <w:p w14:paraId="0F35B82F" w14:textId="36C07DEC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FC"/>
            </w:r>
            <w:r w:rsidR="007E45AE">
              <w:rPr>
                <w:rFonts w:eastAsia="Times New Roman"/>
                <w:spacing w:val="-1"/>
                <w:szCs w:val="16"/>
                <w:lang w:eastAsia="en-AU"/>
              </w:rPr>
              <w:t xml:space="preserve"> </w:t>
            </w:r>
            <w:r w:rsidR="00376FB5">
              <w:rPr>
                <w:rFonts w:eastAsia="Times New Roman"/>
                <w:szCs w:val="16"/>
                <w:lang w:eastAsia="en-AU"/>
              </w:rPr>
              <w:t>Victorian c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ommercial </w:t>
            </w:r>
            <w:r w:rsidR="00F903D7">
              <w:rPr>
                <w:rFonts w:eastAsia="Times New Roman"/>
                <w:spacing w:val="-1"/>
                <w:szCs w:val="16"/>
                <w:lang w:eastAsia="en-AU"/>
              </w:rPr>
              <w:t>fishing peak body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(Seafood Industry Victoria</w:t>
            </w:r>
            <w:r w:rsidR="004C3B9B">
              <w:rPr>
                <w:rFonts w:eastAsia="Times New Roman"/>
                <w:szCs w:val="16"/>
                <w:lang w:eastAsia="en-AU"/>
              </w:rPr>
              <w:t>)</w:t>
            </w:r>
            <w:r w:rsidR="00376FB5">
              <w:rPr>
                <w:rFonts w:eastAsia="Times New Roman"/>
                <w:szCs w:val="16"/>
                <w:lang w:eastAsia="en-AU"/>
              </w:rPr>
              <w:t xml:space="preserve">. </w:t>
            </w:r>
          </w:p>
          <w:p w14:paraId="43815A22" w14:textId="208DBA27" w:rsidR="009A573F" w:rsidRPr="00795169" w:rsidRDefault="00795169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>
              <w:rPr>
                <w:rFonts w:eastAsia="Times New Roman"/>
                <w:spacing w:val="-1"/>
                <w:szCs w:val="16"/>
                <w:lang w:eastAsia="en-AU"/>
              </w:rPr>
              <w:t>x</w:t>
            </w:r>
            <w:r w:rsidR="009A573F"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Aquaculture</w:t>
            </w:r>
            <w:r w:rsidR="009A573F" w:rsidRPr="00052588">
              <w:rPr>
                <w:rFonts w:eastAsia="Times New Roman"/>
                <w:szCs w:val="16"/>
                <w:lang w:eastAsia="en-AU"/>
              </w:rPr>
              <w:t xml:space="preserve"> </w:t>
            </w:r>
          </w:p>
          <w:p w14:paraId="40FF780B" w14:textId="1D87D004" w:rsidR="009A573F" w:rsidRPr="0017507D" w:rsidRDefault="004C3B9B" w:rsidP="0017507D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FC"/>
            </w:r>
            <w:r w:rsidR="00795169"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A</w:t>
            </w:r>
            <w:r w:rsidR="00795169">
              <w:rPr>
                <w:rFonts w:eastAsia="Times New Roman"/>
                <w:spacing w:val="-1"/>
                <w:szCs w:val="16"/>
                <w:lang w:eastAsia="en-AU"/>
              </w:rPr>
              <w:t xml:space="preserve">boriginal communities </w:t>
            </w:r>
            <w:r w:rsidR="002455E2">
              <w:rPr>
                <w:rFonts w:eastAsia="Times New Roman"/>
                <w:spacing w:val="-1"/>
                <w:szCs w:val="16"/>
                <w:lang w:eastAsia="en-AU"/>
              </w:rPr>
              <w:t>(</w:t>
            </w:r>
            <w:r w:rsidR="009B0614">
              <w:rPr>
                <w:rFonts w:eastAsia="Times New Roman"/>
                <w:spacing w:val="-1"/>
                <w:szCs w:val="16"/>
                <w:lang w:eastAsia="en-AU"/>
              </w:rPr>
              <w:t>Bunurong Land Council</w:t>
            </w:r>
            <w:r w:rsidR="00421B3A">
              <w:rPr>
                <w:rFonts w:eastAsia="Times New Roman"/>
                <w:spacing w:val="-1"/>
                <w:szCs w:val="16"/>
                <w:lang w:eastAsia="en-AU"/>
              </w:rPr>
              <w:t xml:space="preserve"> -</w:t>
            </w:r>
            <w:r w:rsidR="009B0614">
              <w:rPr>
                <w:rFonts w:eastAsia="Times New Roman"/>
                <w:spacing w:val="-1"/>
                <w:szCs w:val="16"/>
                <w:lang w:eastAsia="en-AU"/>
              </w:rPr>
              <w:t xml:space="preserve"> Registered A</w:t>
            </w:r>
            <w:r w:rsidR="00065325">
              <w:rPr>
                <w:rFonts w:eastAsia="Times New Roman"/>
                <w:spacing w:val="-1"/>
                <w:szCs w:val="16"/>
                <w:lang w:eastAsia="en-AU"/>
              </w:rPr>
              <w:t>boriginal Party for the Mornington Peninsula)</w:t>
            </w:r>
          </w:p>
          <w:p w14:paraId="23AD03C2" w14:textId="71151BE1" w:rsidR="009A573F" w:rsidRPr="008F3CA4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sym w:font="Wingdings" w:char="F0FC"/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Conservation interests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: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(</w:t>
            </w:r>
            <w:r w:rsidR="00B56B46">
              <w:rPr>
                <w:rFonts w:eastAsia="Times New Roman"/>
                <w:szCs w:val="16"/>
                <w:lang w:eastAsia="en-AU"/>
              </w:rPr>
              <w:t xml:space="preserve">Spider Crabs Melbourne, Spider Crab Alliance, Victorian National Parks Association, </w:t>
            </w:r>
            <w:r>
              <w:rPr>
                <w:rFonts w:eastAsia="Times New Roman"/>
                <w:szCs w:val="16"/>
                <w:lang w:eastAsia="en-AU"/>
              </w:rPr>
              <w:t>Environment Victoria</w:t>
            </w:r>
            <w:r w:rsidR="0071570A">
              <w:rPr>
                <w:rFonts w:eastAsia="Times New Roman"/>
                <w:szCs w:val="16"/>
                <w:lang w:eastAsia="en-AU"/>
              </w:rPr>
              <w:t>; Key opinion leaders including PT Hirschfield, AJ Morton, Jacqui Younger, Sheree Marris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) </w:t>
            </w:r>
          </w:p>
          <w:p w14:paraId="61086246" w14:textId="1D4A2AAF" w:rsidR="003A6A26" w:rsidRPr="003A6A26" w:rsidRDefault="004F5653" w:rsidP="003A6A26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>
              <w:rPr>
                <w:rFonts w:eastAsia="Times New Roman"/>
                <w:spacing w:val="-1"/>
                <w:szCs w:val="16"/>
                <w:lang w:eastAsia="en-AU"/>
              </w:rPr>
              <w:t xml:space="preserve">Interested multicultural </w:t>
            </w:r>
            <w:r w:rsidR="006F45FA">
              <w:rPr>
                <w:rFonts w:eastAsia="Times New Roman"/>
                <w:spacing w:val="-1"/>
                <w:szCs w:val="16"/>
                <w:lang w:eastAsia="en-AU"/>
              </w:rPr>
              <w:t xml:space="preserve">community members via </w:t>
            </w:r>
            <w:r w:rsidR="002F06FB">
              <w:rPr>
                <w:rFonts w:eastAsia="Times New Roman"/>
                <w:spacing w:val="-1"/>
                <w:szCs w:val="16"/>
                <w:lang w:eastAsia="en-AU"/>
              </w:rPr>
              <w:t xml:space="preserve">available online </w:t>
            </w:r>
            <w:r w:rsidR="003A6A26">
              <w:rPr>
                <w:rFonts w:eastAsia="Times New Roman"/>
                <w:spacing w:val="-1"/>
                <w:szCs w:val="16"/>
                <w:lang w:eastAsia="en-AU"/>
              </w:rPr>
              <w:t>forums</w:t>
            </w:r>
            <w:r w:rsidR="008155B1">
              <w:rPr>
                <w:rFonts w:eastAsia="Times New Roman"/>
                <w:spacing w:val="-1"/>
                <w:szCs w:val="16"/>
                <w:lang w:eastAsia="en-AU"/>
              </w:rPr>
              <w:t xml:space="preserve">, </w:t>
            </w:r>
            <w:r w:rsidR="006F45FA">
              <w:rPr>
                <w:rFonts w:eastAsia="Times New Roman"/>
                <w:spacing w:val="-1"/>
                <w:szCs w:val="16"/>
                <w:lang w:eastAsia="en-AU"/>
              </w:rPr>
              <w:t xml:space="preserve">including Victorian Multicultural Commission </w:t>
            </w:r>
          </w:p>
          <w:p w14:paraId="3F75E113" w14:textId="76DEEBC9" w:rsidR="009A573F" w:rsidRPr="00052588" w:rsidRDefault="005676AD" w:rsidP="003A6A26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>
              <w:rPr>
                <w:rFonts w:eastAsia="Times New Roman"/>
                <w:spacing w:val="-1"/>
                <w:szCs w:val="16"/>
                <w:lang w:eastAsia="en-AU"/>
              </w:rPr>
              <w:t xml:space="preserve">The provisions of this </w:t>
            </w:r>
            <w:r w:rsidR="005C21E2">
              <w:rPr>
                <w:rFonts w:eastAsia="Times New Roman"/>
                <w:spacing w:val="-1"/>
                <w:szCs w:val="16"/>
                <w:lang w:eastAsia="en-AU"/>
              </w:rPr>
              <w:t xml:space="preserve">fisheries notice </w:t>
            </w:r>
            <w:r w:rsidR="00F43DD0">
              <w:rPr>
                <w:rFonts w:eastAsia="Times New Roman"/>
                <w:spacing w:val="-1"/>
                <w:szCs w:val="16"/>
                <w:lang w:eastAsia="en-AU"/>
              </w:rPr>
              <w:t xml:space="preserve">relate to </w:t>
            </w:r>
            <w:r w:rsidR="004635AD">
              <w:rPr>
                <w:rFonts w:eastAsia="Times New Roman"/>
                <w:spacing w:val="-1"/>
                <w:szCs w:val="16"/>
                <w:lang w:eastAsia="en-AU"/>
              </w:rPr>
              <w:t>recreational fishers</w:t>
            </w:r>
            <w:r w:rsidR="00F43DD0">
              <w:rPr>
                <w:rFonts w:eastAsia="Times New Roman"/>
                <w:spacing w:val="-1"/>
                <w:szCs w:val="16"/>
                <w:lang w:eastAsia="en-AU"/>
              </w:rPr>
              <w:t xml:space="preserve"> and do not have a substantive impact on aquaculture operators</w:t>
            </w:r>
            <w:r w:rsidR="00693EB2">
              <w:rPr>
                <w:rFonts w:eastAsia="Times New Roman"/>
                <w:spacing w:val="-1"/>
                <w:szCs w:val="16"/>
                <w:lang w:eastAsia="en-AU"/>
              </w:rPr>
              <w:t xml:space="preserve"> or commercial fisheries access licence holders</w:t>
            </w:r>
            <w:r w:rsidR="00006221">
              <w:rPr>
                <w:rFonts w:eastAsia="Times New Roman"/>
                <w:spacing w:val="-1"/>
                <w:szCs w:val="16"/>
                <w:lang w:eastAsia="en-AU"/>
              </w:rPr>
              <w:t xml:space="preserve">. </w:t>
            </w:r>
          </w:p>
        </w:tc>
      </w:tr>
      <w:tr w:rsidR="009A573F" w:rsidRPr="00052588" w14:paraId="5B8FF29E" w14:textId="77777777" w:rsidTr="003A5D12">
        <w:tc>
          <w:tcPr>
            <w:tcW w:w="210" w:type="pct"/>
            <w:shd w:val="clear" w:color="auto" w:fill="auto"/>
          </w:tcPr>
          <w:p w14:paraId="7CABEC6F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3</w:t>
            </w:r>
          </w:p>
        </w:tc>
        <w:tc>
          <w:tcPr>
            <w:tcW w:w="858" w:type="pct"/>
            <w:shd w:val="clear" w:color="auto" w:fill="auto"/>
          </w:tcPr>
          <w:p w14:paraId="6A9A6784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Managing Officer</w:t>
            </w:r>
          </w:p>
        </w:tc>
        <w:tc>
          <w:tcPr>
            <w:tcW w:w="3932" w:type="pct"/>
            <w:shd w:val="clear" w:color="auto" w:fill="auto"/>
          </w:tcPr>
          <w:p w14:paraId="40822345" w14:textId="6423319F" w:rsidR="009A573F" w:rsidRPr="00570C28" w:rsidRDefault="001528F8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>
              <w:rPr>
                <w:rFonts w:eastAsia="Times New Roman"/>
                <w:spacing w:val="-1"/>
                <w:szCs w:val="16"/>
                <w:lang w:eastAsia="en-AU"/>
              </w:rPr>
              <w:t xml:space="preserve">Dr </w:t>
            </w:r>
            <w:r w:rsidR="0017507D">
              <w:rPr>
                <w:rFonts w:eastAsia="Times New Roman"/>
                <w:spacing w:val="-1"/>
                <w:szCs w:val="16"/>
                <w:lang w:eastAsia="en-AU"/>
              </w:rPr>
              <w:t>Jo Klemke</w:t>
            </w:r>
            <w:r w:rsidR="009A573F" w:rsidRPr="00570C28">
              <w:rPr>
                <w:rFonts w:eastAsia="Times New Roman"/>
                <w:spacing w:val="-1"/>
                <w:szCs w:val="16"/>
                <w:lang w:eastAsia="en-AU"/>
              </w:rPr>
              <w:t xml:space="preserve">, </w:t>
            </w:r>
            <w:r w:rsidR="0017507D">
              <w:rPr>
                <w:rFonts w:eastAsia="Times New Roman"/>
                <w:spacing w:val="-1"/>
                <w:szCs w:val="16"/>
                <w:lang w:eastAsia="en-AU"/>
              </w:rPr>
              <w:t>Princ</w:t>
            </w:r>
            <w:r w:rsidR="003B507C">
              <w:rPr>
                <w:rFonts w:eastAsia="Times New Roman"/>
                <w:spacing w:val="-1"/>
                <w:szCs w:val="16"/>
                <w:lang w:eastAsia="en-AU"/>
              </w:rPr>
              <w:t>ipal Policy Analyst</w:t>
            </w:r>
          </w:p>
        </w:tc>
      </w:tr>
      <w:tr w:rsidR="009A573F" w:rsidRPr="00052588" w14:paraId="2BF748DF" w14:textId="77777777" w:rsidTr="003A5D12">
        <w:tc>
          <w:tcPr>
            <w:tcW w:w="210" w:type="pct"/>
            <w:shd w:val="clear" w:color="auto" w:fill="auto"/>
          </w:tcPr>
          <w:p w14:paraId="3C5B8E76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4</w:t>
            </w:r>
          </w:p>
        </w:tc>
        <w:tc>
          <w:tcPr>
            <w:tcW w:w="858" w:type="pct"/>
            <w:shd w:val="clear" w:color="auto" w:fill="auto"/>
          </w:tcPr>
          <w:p w14:paraId="1F751066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Target Start Date</w:t>
            </w:r>
          </w:p>
        </w:tc>
        <w:tc>
          <w:tcPr>
            <w:tcW w:w="3932" w:type="pct"/>
            <w:shd w:val="clear" w:color="auto" w:fill="auto"/>
          </w:tcPr>
          <w:p w14:paraId="6902D020" w14:textId="7E2EAB13" w:rsidR="009A573F" w:rsidRPr="00166F76" w:rsidRDefault="004E7BE9" w:rsidP="003A5D12">
            <w:pPr>
              <w:spacing w:before="0" w:after="120" w:line="228" w:lineRule="auto"/>
              <w:ind w:left="85"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 w:rsidRPr="00166F76">
              <w:rPr>
                <w:rFonts w:eastAsia="Times New Roman"/>
                <w:spacing w:val="-1"/>
                <w:szCs w:val="16"/>
                <w:lang w:eastAsia="en-AU"/>
              </w:rPr>
              <w:t>15</w:t>
            </w:r>
            <w:r w:rsidR="006E30B4" w:rsidRPr="00166F76">
              <w:rPr>
                <w:rFonts w:eastAsia="Times New Roman"/>
                <w:spacing w:val="-1"/>
                <w:szCs w:val="16"/>
                <w:lang w:eastAsia="en-AU"/>
              </w:rPr>
              <w:t xml:space="preserve"> Sep</w:t>
            </w:r>
            <w:r w:rsidR="00BA0827" w:rsidRPr="00166F76">
              <w:rPr>
                <w:rFonts w:eastAsia="Times New Roman"/>
                <w:spacing w:val="-1"/>
                <w:szCs w:val="16"/>
                <w:lang w:eastAsia="en-AU"/>
              </w:rPr>
              <w:t>tember</w:t>
            </w:r>
            <w:r w:rsidR="009F2FD9" w:rsidRPr="00166F76">
              <w:rPr>
                <w:rFonts w:eastAsia="Times New Roman"/>
                <w:spacing w:val="-1"/>
                <w:szCs w:val="16"/>
                <w:lang w:eastAsia="en-AU"/>
              </w:rPr>
              <w:t xml:space="preserve"> 20</w:t>
            </w:r>
            <w:r w:rsidR="00BA0827" w:rsidRPr="00166F76">
              <w:rPr>
                <w:rFonts w:eastAsia="Times New Roman"/>
                <w:spacing w:val="-1"/>
                <w:szCs w:val="16"/>
                <w:lang w:eastAsia="en-AU"/>
              </w:rPr>
              <w:t>20</w:t>
            </w:r>
          </w:p>
        </w:tc>
      </w:tr>
      <w:tr w:rsidR="009A573F" w:rsidRPr="00052588" w14:paraId="42C3BA6C" w14:textId="77777777" w:rsidTr="003A5D12">
        <w:tc>
          <w:tcPr>
            <w:tcW w:w="210" w:type="pct"/>
            <w:shd w:val="clear" w:color="auto" w:fill="auto"/>
          </w:tcPr>
          <w:p w14:paraId="48B36668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5</w:t>
            </w:r>
          </w:p>
        </w:tc>
        <w:tc>
          <w:tcPr>
            <w:tcW w:w="858" w:type="pct"/>
            <w:shd w:val="clear" w:color="auto" w:fill="auto"/>
          </w:tcPr>
          <w:p w14:paraId="256C83FE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Target End Date</w:t>
            </w:r>
          </w:p>
        </w:tc>
        <w:tc>
          <w:tcPr>
            <w:tcW w:w="3932" w:type="pct"/>
            <w:shd w:val="clear" w:color="auto" w:fill="auto"/>
          </w:tcPr>
          <w:p w14:paraId="4F106371" w14:textId="6D9C9F1B" w:rsidR="009A573F" w:rsidRPr="00166F76" w:rsidRDefault="00166F76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166F76">
              <w:rPr>
                <w:rFonts w:eastAsia="Times New Roman"/>
                <w:spacing w:val="-1"/>
                <w:szCs w:val="16"/>
                <w:lang w:eastAsia="en-AU"/>
              </w:rPr>
              <w:t>27</w:t>
            </w:r>
            <w:r w:rsidR="00BA0827" w:rsidRPr="00166F76">
              <w:rPr>
                <w:rFonts w:eastAsia="Times New Roman"/>
                <w:spacing w:val="-1"/>
                <w:szCs w:val="16"/>
                <w:lang w:eastAsia="en-AU"/>
              </w:rPr>
              <w:t xml:space="preserve"> October</w:t>
            </w:r>
            <w:r w:rsidR="009A573F" w:rsidRPr="00166F76">
              <w:rPr>
                <w:rFonts w:eastAsia="Times New Roman"/>
                <w:spacing w:val="-1"/>
                <w:szCs w:val="16"/>
                <w:lang w:eastAsia="en-AU"/>
              </w:rPr>
              <w:t xml:space="preserve"> 20</w:t>
            </w:r>
            <w:r w:rsidR="0081777A" w:rsidRPr="00166F76">
              <w:rPr>
                <w:rFonts w:eastAsia="Times New Roman"/>
                <w:spacing w:val="-1"/>
                <w:szCs w:val="16"/>
                <w:lang w:eastAsia="en-AU"/>
              </w:rPr>
              <w:t>20</w:t>
            </w:r>
          </w:p>
        </w:tc>
      </w:tr>
      <w:tr w:rsidR="009A573F" w:rsidRPr="00052588" w14:paraId="04CB1273" w14:textId="77777777" w:rsidTr="003A5D12">
        <w:tc>
          <w:tcPr>
            <w:tcW w:w="210" w:type="pct"/>
            <w:shd w:val="clear" w:color="auto" w:fill="auto"/>
          </w:tcPr>
          <w:p w14:paraId="69D388F0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6</w:t>
            </w:r>
          </w:p>
        </w:tc>
        <w:tc>
          <w:tcPr>
            <w:tcW w:w="858" w:type="pct"/>
            <w:shd w:val="clear" w:color="auto" w:fill="auto"/>
          </w:tcPr>
          <w:p w14:paraId="733958DE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Background/History</w:t>
            </w:r>
          </w:p>
        </w:tc>
        <w:tc>
          <w:tcPr>
            <w:tcW w:w="3932" w:type="pct"/>
            <w:shd w:val="clear" w:color="auto" w:fill="auto"/>
          </w:tcPr>
          <w:p w14:paraId="213E145C" w14:textId="1B776568" w:rsidR="00B35EC6" w:rsidRPr="00B35EC6" w:rsidRDefault="00B35EC6" w:rsidP="00774605">
            <w:pPr>
              <w:spacing w:before="0" w:after="120" w:line="228" w:lineRule="auto"/>
              <w:ind w:left="62"/>
              <w:rPr>
                <w:rFonts w:eastAsia="Times New Roman"/>
                <w:b/>
                <w:bCs/>
                <w:szCs w:val="16"/>
                <w:lang w:eastAsia="en-AU"/>
              </w:rPr>
            </w:pPr>
            <w:r w:rsidRPr="00B35EC6">
              <w:rPr>
                <w:rFonts w:eastAsia="Times New Roman"/>
                <w:b/>
                <w:bCs/>
                <w:szCs w:val="16"/>
                <w:lang w:eastAsia="en-AU"/>
              </w:rPr>
              <w:t>Purpose of the Proposed Fisheries Notice:</w:t>
            </w:r>
          </w:p>
          <w:p w14:paraId="4A79EB6E" w14:textId="427BC4EA" w:rsidR="00774605" w:rsidRDefault="009A573F" w:rsidP="00774605">
            <w:pPr>
              <w:spacing w:before="0" w:after="120" w:line="228" w:lineRule="auto"/>
              <w:ind w:left="62"/>
              <w:rPr>
                <w:rFonts w:eastAsia="Times New Roman"/>
                <w:szCs w:val="16"/>
                <w:lang w:eastAsia="en-AU"/>
              </w:rPr>
            </w:pPr>
            <w:r w:rsidRPr="000F0EA9">
              <w:rPr>
                <w:rFonts w:eastAsia="Times New Roman"/>
                <w:szCs w:val="16"/>
                <w:lang w:eastAsia="en-AU"/>
              </w:rPr>
              <w:t xml:space="preserve">The Fisheries </w:t>
            </w:r>
            <w:r w:rsidR="006D1887" w:rsidRPr="000F0EA9">
              <w:rPr>
                <w:rFonts w:eastAsia="Times New Roman"/>
                <w:szCs w:val="16"/>
                <w:lang w:eastAsia="en-AU"/>
              </w:rPr>
              <w:t>(</w:t>
            </w:r>
            <w:r w:rsidR="0044483D">
              <w:rPr>
                <w:rFonts w:eastAsia="Times New Roman"/>
                <w:szCs w:val="16"/>
                <w:lang w:eastAsia="en-AU"/>
              </w:rPr>
              <w:t>Spider Crab</w:t>
            </w:r>
            <w:r w:rsidRPr="000F0EA9">
              <w:rPr>
                <w:rFonts w:eastAsia="Times New Roman"/>
                <w:szCs w:val="16"/>
                <w:lang w:eastAsia="en-AU"/>
              </w:rPr>
              <w:t xml:space="preserve">) Notice </w:t>
            </w:r>
            <w:r w:rsidR="0081777A" w:rsidRPr="000F0EA9">
              <w:rPr>
                <w:rFonts w:eastAsia="Times New Roman"/>
                <w:szCs w:val="16"/>
                <w:lang w:eastAsia="en-AU"/>
              </w:rPr>
              <w:t>2020</w:t>
            </w:r>
            <w:r w:rsidR="006D1887" w:rsidRPr="000F0EA9">
              <w:rPr>
                <w:rFonts w:eastAsia="Times New Roman"/>
                <w:szCs w:val="16"/>
                <w:lang w:eastAsia="en-AU"/>
              </w:rPr>
              <w:t xml:space="preserve"> is being proposed </w:t>
            </w:r>
            <w:r w:rsidR="00403F70">
              <w:rPr>
                <w:rFonts w:eastAsia="Times New Roman"/>
                <w:szCs w:val="16"/>
                <w:lang w:eastAsia="en-AU"/>
              </w:rPr>
              <w:t>to set a dedicated</w:t>
            </w:r>
            <w:r w:rsidR="00244F0E">
              <w:rPr>
                <w:rFonts w:eastAsia="Times New Roman"/>
                <w:szCs w:val="16"/>
                <w:lang w:eastAsia="en-AU"/>
              </w:rPr>
              <w:t>,</w:t>
            </w:r>
            <w:r w:rsidR="00403F70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244F0E">
              <w:rPr>
                <w:rFonts w:eastAsia="Times New Roman"/>
                <w:szCs w:val="16"/>
                <w:lang w:eastAsia="en-AU"/>
              </w:rPr>
              <w:t xml:space="preserve">reduced </w:t>
            </w:r>
            <w:r w:rsidR="00403F70">
              <w:rPr>
                <w:rFonts w:eastAsia="Times New Roman"/>
                <w:szCs w:val="16"/>
                <w:lang w:eastAsia="en-AU"/>
              </w:rPr>
              <w:t xml:space="preserve">catch limit for </w:t>
            </w:r>
            <w:r w:rsidR="002C62A9">
              <w:rPr>
                <w:rFonts w:eastAsia="Times New Roman"/>
                <w:szCs w:val="16"/>
                <w:lang w:eastAsia="en-AU"/>
              </w:rPr>
              <w:t xml:space="preserve">take and possession of </w:t>
            </w:r>
            <w:r w:rsidR="008B191E">
              <w:rPr>
                <w:rFonts w:eastAsia="Times New Roman"/>
                <w:szCs w:val="16"/>
                <w:lang w:eastAsia="en-AU"/>
              </w:rPr>
              <w:t>spider crabs</w:t>
            </w:r>
            <w:r w:rsidR="00403F70">
              <w:rPr>
                <w:rFonts w:eastAsia="Times New Roman"/>
                <w:szCs w:val="16"/>
                <w:lang w:eastAsia="en-AU"/>
              </w:rPr>
              <w:t xml:space="preserve"> by recreati</w:t>
            </w:r>
            <w:r w:rsidR="002C62A9">
              <w:rPr>
                <w:rFonts w:eastAsia="Times New Roman"/>
                <w:szCs w:val="16"/>
                <w:lang w:eastAsia="en-AU"/>
              </w:rPr>
              <w:t>onal fishers across Victorian waters</w:t>
            </w:r>
            <w:r w:rsidR="003537B5">
              <w:rPr>
                <w:rFonts w:eastAsia="Times New Roman"/>
                <w:szCs w:val="16"/>
                <w:lang w:eastAsia="en-AU"/>
              </w:rPr>
              <w:t>.</w:t>
            </w:r>
            <w:r w:rsidR="00774605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06069E">
              <w:rPr>
                <w:rFonts w:eastAsia="Times New Roman"/>
                <w:szCs w:val="16"/>
                <w:lang w:eastAsia="en-AU"/>
              </w:rPr>
              <w:t>Th</w:t>
            </w:r>
            <w:r w:rsidR="008B191E">
              <w:rPr>
                <w:rFonts w:eastAsia="Times New Roman"/>
                <w:szCs w:val="16"/>
                <w:lang w:eastAsia="en-AU"/>
              </w:rPr>
              <w:t>e</w:t>
            </w:r>
            <w:r w:rsidR="0006069E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A54573">
              <w:rPr>
                <w:rFonts w:eastAsia="Times New Roman"/>
                <w:szCs w:val="16"/>
                <w:lang w:eastAsia="en-AU"/>
              </w:rPr>
              <w:t xml:space="preserve">proposed </w:t>
            </w:r>
            <w:r w:rsidR="00397A08">
              <w:rPr>
                <w:rFonts w:eastAsia="Times New Roman"/>
                <w:szCs w:val="16"/>
                <w:lang w:eastAsia="en-AU"/>
              </w:rPr>
              <w:t xml:space="preserve">new </w:t>
            </w:r>
            <w:r w:rsidR="00E26228">
              <w:rPr>
                <w:rFonts w:eastAsia="Times New Roman"/>
                <w:szCs w:val="16"/>
                <w:lang w:eastAsia="en-AU"/>
              </w:rPr>
              <w:t xml:space="preserve">spider crab </w:t>
            </w:r>
            <w:r w:rsidR="00BB4B0E">
              <w:rPr>
                <w:rFonts w:eastAsia="Times New Roman"/>
                <w:szCs w:val="16"/>
                <w:lang w:eastAsia="en-AU"/>
              </w:rPr>
              <w:t xml:space="preserve">recreational </w:t>
            </w:r>
            <w:r w:rsidR="0006069E">
              <w:rPr>
                <w:rFonts w:eastAsia="Times New Roman"/>
                <w:szCs w:val="16"/>
                <w:lang w:eastAsia="en-AU"/>
              </w:rPr>
              <w:t xml:space="preserve">catch limit </w:t>
            </w:r>
            <w:r w:rsidR="00980C21">
              <w:rPr>
                <w:rFonts w:eastAsia="Times New Roman"/>
                <w:szCs w:val="16"/>
                <w:lang w:eastAsia="en-AU"/>
              </w:rPr>
              <w:t xml:space="preserve">is </w:t>
            </w:r>
            <w:r w:rsidR="00980C21" w:rsidRPr="00F94C80">
              <w:rPr>
                <w:rFonts w:eastAsia="Times New Roman"/>
                <w:i/>
                <w:iCs/>
                <w:szCs w:val="16"/>
                <w:lang w:eastAsia="en-AU"/>
              </w:rPr>
              <w:t>15 crabs</w:t>
            </w:r>
            <w:r w:rsidR="00673E91" w:rsidRPr="00F94C80">
              <w:rPr>
                <w:rFonts w:eastAsia="Times New Roman"/>
                <w:i/>
                <w:iCs/>
                <w:szCs w:val="16"/>
                <w:lang w:eastAsia="en-AU"/>
              </w:rPr>
              <w:t xml:space="preserve"> per day</w:t>
            </w:r>
            <w:r w:rsidR="00980C21">
              <w:rPr>
                <w:rFonts w:eastAsia="Times New Roman"/>
                <w:szCs w:val="16"/>
                <w:lang w:eastAsia="en-AU"/>
              </w:rPr>
              <w:t xml:space="preserve">. </w:t>
            </w:r>
          </w:p>
          <w:p w14:paraId="178B6D5A" w14:textId="4515B6C3" w:rsidR="0006069E" w:rsidRDefault="00DA67F5" w:rsidP="00774605">
            <w:pPr>
              <w:spacing w:before="0" w:after="120" w:line="228" w:lineRule="auto"/>
              <w:ind w:left="62"/>
              <w:rPr>
                <w:rFonts w:eastAsia="Times New Roman"/>
                <w:b/>
                <w:bCs/>
                <w:szCs w:val="16"/>
                <w:lang w:eastAsia="en-AU"/>
              </w:rPr>
            </w:pPr>
            <w:r>
              <w:rPr>
                <w:rFonts w:eastAsia="Times New Roman"/>
                <w:szCs w:val="16"/>
                <w:lang w:eastAsia="en-AU"/>
              </w:rPr>
              <w:t xml:space="preserve">Spider crabs currently </w:t>
            </w:r>
            <w:r w:rsidR="00774605">
              <w:rPr>
                <w:rFonts w:eastAsia="Times New Roman"/>
                <w:szCs w:val="16"/>
                <w:lang w:eastAsia="en-AU"/>
              </w:rPr>
              <w:t>fall within</w:t>
            </w:r>
            <w:r>
              <w:rPr>
                <w:rFonts w:eastAsia="Times New Roman"/>
                <w:szCs w:val="16"/>
                <w:lang w:eastAsia="en-AU"/>
              </w:rPr>
              <w:t xml:space="preserve"> the </w:t>
            </w:r>
            <w:r w:rsidR="00D4581C">
              <w:rPr>
                <w:rFonts w:eastAsia="Times New Roman"/>
                <w:szCs w:val="16"/>
                <w:lang w:eastAsia="en-AU"/>
              </w:rPr>
              <w:t>general recreational catch limit</w:t>
            </w:r>
            <w:r w:rsidR="00BB4B0E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A06BD8">
              <w:rPr>
                <w:rFonts w:eastAsia="Times New Roman"/>
                <w:szCs w:val="16"/>
                <w:lang w:eastAsia="en-AU"/>
              </w:rPr>
              <w:t xml:space="preserve">for crabs </w:t>
            </w:r>
            <w:r w:rsidR="00397A08" w:rsidRPr="00620F0C">
              <w:rPr>
                <w:rFonts w:eastAsia="Times New Roman"/>
                <w:szCs w:val="16"/>
                <w:lang w:eastAsia="en-AU"/>
              </w:rPr>
              <w:t xml:space="preserve">of </w:t>
            </w:r>
            <w:r w:rsidR="00397A08" w:rsidRPr="00F94C80">
              <w:rPr>
                <w:rFonts w:eastAsia="Times New Roman"/>
                <w:i/>
                <w:iCs/>
                <w:szCs w:val="16"/>
                <w:lang w:eastAsia="en-AU"/>
              </w:rPr>
              <w:t>1 litre or a combined total of 30 whole or parts of crab from one or more species.</w:t>
            </w:r>
            <w:r w:rsidR="00397A08">
              <w:rPr>
                <w:rFonts w:eastAsia="Times New Roman"/>
                <w:b/>
                <w:bCs/>
                <w:szCs w:val="16"/>
                <w:lang w:eastAsia="en-AU"/>
              </w:rPr>
              <w:t xml:space="preserve"> </w:t>
            </w:r>
            <w:r w:rsidR="00A06BD8">
              <w:rPr>
                <w:rFonts w:eastAsia="Times New Roman"/>
                <w:szCs w:val="16"/>
                <w:lang w:eastAsia="en-AU"/>
              </w:rPr>
              <w:t>This limit</w:t>
            </w:r>
            <w:r w:rsidR="00BB4B0E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195D7F">
              <w:rPr>
                <w:rFonts w:eastAsia="Times New Roman"/>
                <w:szCs w:val="16"/>
                <w:lang w:eastAsia="en-AU"/>
              </w:rPr>
              <w:t xml:space="preserve">currently </w:t>
            </w:r>
            <w:r w:rsidR="00BB4B0E">
              <w:rPr>
                <w:rFonts w:eastAsia="Times New Roman"/>
                <w:szCs w:val="16"/>
                <w:lang w:eastAsia="en-AU"/>
              </w:rPr>
              <w:t>applies to all crab species in Victorian waters except European green shore crabs</w:t>
            </w:r>
            <w:r w:rsidR="005D02FB">
              <w:rPr>
                <w:rFonts w:eastAsia="Times New Roman"/>
                <w:szCs w:val="16"/>
                <w:lang w:eastAsia="en-AU"/>
              </w:rPr>
              <w:t xml:space="preserve"> (an introduced species) and </w:t>
            </w:r>
            <w:r w:rsidR="00497A36">
              <w:rPr>
                <w:rFonts w:eastAsia="Times New Roman"/>
                <w:szCs w:val="16"/>
                <w:lang w:eastAsia="en-AU"/>
              </w:rPr>
              <w:t>Giant Crabs (a deep</w:t>
            </w:r>
            <w:r w:rsidR="00F94C80">
              <w:rPr>
                <w:rFonts w:eastAsia="Times New Roman"/>
                <w:szCs w:val="16"/>
                <w:lang w:eastAsia="en-AU"/>
              </w:rPr>
              <w:t>-</w:t>
            </w:r>
            <w:r w:rsidR="00497A36">
              <w:rPr>
                <w:rFonts w:eastAsia="Times New Roman"/>
                <w:szCs w:val="16"/>
                <w:lang w:eastAsia="en-AU"/>
              </w:rPr>
              <w:t>water</w:t>
            </w:r>
            <w:r w:rsidR="00A54573">
              <w:rPr>
                <w:rFonts w:eastAsia="Times New Roman"/>
                <w:szCs w:val="16"/>
                <w:lang w:eastAsia="en-AU"/>
              </w:rPr>
              <w:t>, commercial species that is rarely fished recreationally)</w:t>
            </w:r>
            <w:r w:rsidR="00BB4B0E">
              <w:rPr>
                <w:rFonts w:eastAsia="Times New Roman"/>
                <w:szCs w:val="16"/>
                <w:lang w:eastAsia="en-AU"/>
              </w:rPr>
              <w:t xml:space="preserve">. </w:t>
            </w:r>
            <w:r w:rsidR="000B3A78">
              <w:rPr>
                <w:rFonts w:eastAsia="Times New Roman"/>
                <w:szCs w:val="16"/>
                <w:lang w:eastAsia="en-AU"/>
              </w:rPr>
              <w:t xml:space="preserve"> </w:t>
            </w:r>
          </w:p>
          <w:p w14:paraId="1B0E591D" w14:textId="28EF09F5" w:rsidR="00F94C80" w:rsidRDefault="00024847" w:rsidP="00EE258B">
            <w:pPr>
              <w:spacing w:before="0" w:after="120" w:line="228" w:lineRule="auto"/>
              <w:ind w:left="62"/>
              <w:rPr>
                <w:rFonts w:eastAsia="Times New Roman"/>
                <w:szCs w:val="16"/>
                <w:lang w:eastAsia="en-AU"/>
              </w:rPr>
            </w:pPr>
            <w:r w:rsidRPr="007263BE">
              <w:rPr>
                <w:rFonts w:eastAsia="Times New Roman"/>
                <w:szCs w:val="16"/>
                <w:lang w:eastAsia="en-AU"/>
              </w:rPr>
              <w:t xml:space="preserve">Recreational </w:t>
            </w:r>
            <w:r>
              <w:rPr>
                <w:rFonts w:eastAsia="Times New Roman"/>
                <w:szCs w:val="16"/>
                <w:lang w:eastAsia="en-AU"/>
              </w:rPr>
              <w:t>fishing</w:t>
            </w:r>
            <w:r w:rsidRPr="007263BE">
              <w:rPr>
                <w:rFonts w:eastAsia="Times New Roman"/>
                <w:szCs w:val="16"/>
                <w:lang w:eastAsia="en-AU"/>
              </w:rPr>
              <w:t xml:space="preserve"> f</w:t>
            </w:r>
            <w:r>
              <w:rPr>
                <w:rFonts w:eastAsia="Times New Roman"/>
                <w:szCs w:val="16"/>
                <w:lang w:eastAsia="en-AU"/>
              </w:rPr>
              <w:t>or</w:t>
            </w:r>
            <w:r w:rsidRPr="007263BE">
              <w:rPr>
                <w:rFonts w:eastAsia="Times New Roman"/>
                <w:szCs w:val="16"/>
                <w:lang w:eastAsia="en-AU"/>
              </w:rPr>
              <w:t xml:space="preserve"> spider crabs has developed in recent years and appears to be growing due to promotion on social media platforms such as WeChat</w:t>
            </w:r>
            <w:r>
              <w:rPr>
                <w:rFonts w:eastAsia="Times New Roman"/>
                <w:szCs w:val="16"/>
                <w:lang w:eastAsia="en-AU"/>
              </w:rPr>
              <w:t xml:space="preserve">. </w:t>
            </w:r>
            <w:r w:rsidR="00EE258B">
              <w:rPr>
                <w:rFonts w:eastAsia="Times New Roman"/>
                <w:szCs w:val="16"/>
                <w:lang w:eastAsia="en-AU"/>
              </w:rPr>
              <w:t xml:space="preserve">The VFA believes that it </w:t>
            </w:r>
            <w:r w:rsidR="00EE258B" w:rsidRPr="007263BE">
              <w:rPr>
                <w:rFonts w:eastAsia="Times New Roman"/>
                <w:szCs w:val="16"/>
                <w:lang w:eastAsia="en-AU"/>
              </w:rPr>
              <w:t xml:space="preserve">is now appropriate to </w:t>
            </w:r>
            <w:r w:rsidR="00EE258B">
              <w:rPr>
                <w:rFonts w:eastAsia="Times New Roman"/>
                <w:szCs w:val="16"/>
                <w:lang w:eastAsia="en-AU"/>
              </w:rPr>
              <w:t xml:space="preserve">establish a dedicated, </w:t>
            </w:r>
            <w:r w:rsidR="00FE287E">
              <w:rPr>
                <w:rFonts w:eastAsia="Times New Roman"/>
                <w:szCs w:val="16"/>
                <w:lang w:eastAsia="en-AU"/>
              </w:rPr>
              <w:t>reduced</w:t>
            </w:r>
            <w:r w:rsidR="00EE258B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195D7F">
              <w:rPr>
                <w:rFonts w:eastAsia="Times New Roman"/>
                <w:szCs w:val="16"/>
                <w:lang w:eastAsia="en-AU"/>
              </w:rPr>
              <w:t xml:space="preserve">recreational </w:t>
            </w:r>
            <w:r w:rsidR="00EE258B">
              <w:rPr>
                <w:rFonts w:eastAsia="Times New Roman"/>
                <w:szCs w:val="16"/>
                <w:lang w:eastAsia="en-AU"/>
              </w:rPr>
              <w:t>catch limit for take and possession of spider crabs</w:t>
            </w:r>
            <w:r w:rsidR="00FD3449">
              <w:rPr>
                <w:rFonts w:eastAsia="Times New Roman"/>
                <w:szCs w:val="16"/>
                <w:lang w:eastAsia="en-AU"/>
              </w:rPr>
              <w:t>, including the</w:t>
            </w:r>
            <w:r w:rsidR="004223C9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B403F2">
              <w:rPr>
                <w:rFonts w:eastAsia="Times New Roman"/>
                <w:szCs w:val="16"/>
                <w:lang w:eastAsia="en-AU"/>
              </w:rPr>
              <w:t>commonly</w:t>
            </w:r>
            <w:r w:rsidR="004223C9">
              <w:rPr>
                <w:rFonts w:eastAsia="Times New Roman"/>
                <w:szCs w:val="16"/>
                <w:lang w:eastAsia="en-AU"/>
              </w:rPr>
              <w:t xml:space="preserve"> known</w:t>
            </w:r>
            <w:r w:rsidR="00FD3449">
              <w:rPr>
                <w:rFonts w:eastAsia="Times New Roman"/>
                <w:szCs w:val="16"/>
                <w:lang w:eastAsia="en-AU"/>
              </w:rPr>
              <w:t xml:space="preserve"> Giant Spider Crab</w:t>
            </w:r>
            <w:r w:rsidR="00DA7B7B">
              <w:rPr>
                <w:rFonts w:eastAsia="Times New Roman"/>
                <w:szCs w:val="16"/>
                <w:lang w:eastAsia="en-AU"/>
              </w:rPr>
              <w:t>s</w:t>
            </w:r>
            <w:r w:rsidR="00195D7F">
              <w:rPr>
                <w:rFonts w:eastAsia="Times New Roman"/>
                <w:szCs w:val="16"/>
                <w:lang w:eastAsia="en-AU"/>
              </w:rPr>
              <w:t xml:space="preserve">. This limit </w:t>
            </w:r>
            <w:r w:rsidR="00EE258B">
              <w:rPr>
                <w:rFonts w:eastAsia="Times New Roman"/>
                <w:szCs w:val="16"/>
                <w:lang w:eastAsia="en-AU"/>
              </w:rPr>
              <w:t>will better balance community values and more equitably share the spider crab resource among fishers and other stakeholders.</w:t>
            </w:r>
            <w:r w:rsidR="00A83BE4">
              <w:rPr>
                <w:rFonts w:eastAsia="Times New Roman"/>
                <w:szCs w:val="16"/>
                <w:lang w:eastAsia="en-AU"/>
              </w:rPr>
              <w:t xml:space="preserve"> </w:t>
            </w:r>
          </w:p>
          <w:p w14:paraId="01AE80C4" w14:textId="58CE8607" w:rsidR="00EE258B" w:rsidRDefault="00A83BE4" w:rsidP="00EE258B">
            <w:pPr>
              <w:spacing w:before="0" w:after="120" w:line="228" w:lineRule="auto"/>
              <w:ind w:left="62"/>
              <w:rPr>
                <w:rFonts w:eastAsia="Times New Roman"/>
                <w:szCs w:val="16"/>
                <w:lang w:eastAsia="en-AU"/>
              </w:rPr>
            </w:pPr>
            <w:r>
              <w:rPr>
                <w:rFonts w:eastAsia="Times New Roman"/>
                <w:szCs w:val="16"/>
                <w:lang w:eastAsia="en-AU"/>
              </w:rPr>
              <w:t>Th</w:t>
            </w:r>
            <w:r w:rsidR="00A91CEA">
              <w:rPr>
                <w:rFonts w:eastAsia="Times New Roman"/>
                <w:szCs w:val="16"/>
                <w:lang w:eastAsia="en-AU"/>
              </w:rPr>
              <w:t xml:space="preserve">ere is no evidence indicating that </w:t>
            </w:r>
            <w:r w:rsidR="007E5440">
              <w:rPr>
                <w:rFonts w:eastAsia="Times New Roman"/>
                <w:szCs w:val="16"/>
                <w:lang w:eastAsia="en-AU"/>
              </w:rPr>
              <w:t>Giant Spider Crabs</w:t>
            </w:r>
            <w:r w:rsidR="001F0137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7E5440">
              <w:rPr>
                <w:rFonts w:eastAsia="Times New Roman"/>
                <w:szCs w:val="16"/>
                <w:lang w:eastAsia="en-AU"/>
              </w:rPr>
              <w:t>have</w:t>
            </w:r>
            <w:r w:rsidR="001F0137">
              <w:rPr>
                <w:rFonts w:eastAsia="Times New Roman"/>
                <w:szCs w:val="16"/>
                <w:lang w:eastAsia="en-AU"/>
              </w:rPr>
              <w:t xml:space="preserve"> been overfished and the </w:t>
            </w:r>
            <w:r w:rsidR="00681AB6">
              <w:rPr>
                <w:rFonts w:eastAsia="Times New Roman"/>
                <w:szCs w:val="16"/>
                <w:lang w:eastAsia="en-AU"/>
              </w:rPr>
              <w:t xml:space="preserve">new </w:t>
            </w:r>
            <w:r w:rsidR="001F0137">
              <w:rPr>
                <w:rFonts w:eastAsia="Times New Roman"/>
                <w:szCs w:val="16"/>
                <w:lang w:eastAsia="en-AU"/>
              </w:rPr>
              <w:t xml:space="preserve">bag limit is not designed to </w:t>
            </w:r>
            <w:r w:rsidR="00E63241">
              <w:rPr>
                <w:rFonts w:eastAsia="Times New Roman"/>
                <w:szCs w:val="16"/>
                <w:lang w:eastAsia="en-AU"/>
              </w:rPr>
              <w:t xml:space="preserve">address fishery sustainability issues. </w:t>
            </w:r>
            <w:r w:rsidR="00974809">
              <w:rPr>
                <w:rFonts w:eastAsia="Times New Roman"/>
                <w:szCs w:val="16"/>
                <w:lang w:eastAsia="en-AU"/>
              </w:rPr>
              <w:t xml:space="preserve">Regardless of this, the VFA is interested in better understanding giant spider crab behaviour and </w:t>
            </w:r>
            <w:r w:rsidR="00B35EC6">
              <w:rPr>
                <w:rFonts w:eastAsia="Times New Roman"/>
                <w:szCs w:val="16"/>
                <w:lang w:eastAsia="en-AU"/>
              </w:rPr>
              <w:t xml:space="preserve">biology as well as catch and fishing behaviour and </w:t>
            </w:r>
            <w:r w:rsidR="00363608">
              <w:rPr>
                <w:rFonts w:eastAsia="Times New Roman"/>
                <w:szCs w:val="16"/>
                <w:lang w:eastAsia="en-AU"/>
              </w:rPr>
              <w:t>will continue</w:t>
            </w:r>
            <w:r w:rsidR="00B35EC6">
              <w:rPr>
                <w:rFonts w:eastAsia="Times New Roman"/>
                <w:szCs w:val="16"/>
                <w:lang w:eastAsia="en-AU"/>
              </w:rPr>
              <w:t xml:space="preserve"> to undertake research to this end</w:t>
            </w:r>
            <w:r w:rsidR="00681AB6">
              <w:rPr>
                <w:rFonts w:eastAsia="Times New Roman"/>
                <w:szCs w:val="16"/>
                <w:lang w:eastAsia="en-AU"/>
              </w:rPr>
              <w:t xml:space="preserve"> alongside the new bag limit</w:t>
            </w:r>
            <w:r w:rsidR="00B35EC6">
              <w:rPr>
                <w:rFonts w:eastAsia="Times New Roman"/>
                <w:szCs w:val="16"/>
                <w:lang w:eastAsia="en-AU"/>
              </w:rPr>
              <w:t xml:space="preserve">. </w:t>
            </w:r>
          </w:p>
          <w:p w14:paraId="598F560E" w14:textId="00B53340" w:rsidR="00A91CEA" w:rsidRPr="00B35EC6" w:rsidRDefault="00B35EC6" w:rsidP="00A91CEA">
            <w:pPr>
              <w:spacing w:before="0" w:after="120" w:line="228" w:lineRule="auto"/>
              <w:ind w:left="62"/>
              <w:rPr>
                <w:rFonts w:eastAsia="Times New Roman"/>
                <w:b/>
                <w:bCs/>
                <w:szCs w:val="16"/>
                <w:lang w:eastAsia="en-AU"/>
              </w:rPr>
            </w:pPr>
            <w:r w:rsidRPr="00B35EC6">
              <w:rPr>
                <w:rFonts w:eastAsia="Times New Roman"/>
                <w:b/>
                <w:bCs/>
                <w:szCs w:val="16"/>
                <w:lang w:eastAsia="en-AU"/>
              </w:rPr>
              <w:t>Background:</w:t>
            </w:r>
          </w:p>
          <w:p w14:paraId="7A38447E" w14:textId="77777777" w:rsidR="00595EE3" w:rsidRDefault="00943D70" w:rsidP="006F56D7">
            <w:pPr>
              <w:autoSpaceDE w:val="0"/>
              <w:autoSpaceDN w:val="0"/>
              <w:adjustRightInd w:val="0"/>
              <w:spacing w:before="0"/>
              <w:rPr>
                <w:rFonts w:ascii="Calibri" w:eastAsiaTheme="minorHAnsi" w:hAnsi="Calibri" w:cs="Calibri"/>
                <w:sz w:val="24"/>
              </w:rPr>
            </w:pPr>
            <w:r>
              <w:rPr>
                <w:rFonts w:eastAsia="Times New Roman"/>
                <w:szCs w:val="16"/>
                <w:lang w:eastAsia="en-AU"/>
              </w:rPr>
              <w:t>Gian</w:t>
            </w:r>
            <w:r w:rsidR="006A3F9C">
              <w:rPr>
                <w:rFonts w:eastAsia="Times New Roman"/>
                <w:szCs w:val="16"/>
                <w:lang w:eastAsia="en-AU"/>
              </w:rPr>
              <w:t xml:space="preserve">t Spider Crabs </w:t>
            </w:r>
            <w:r w:rsidR="009A1BC2">
              <w:rPr>
                <w:rFonts w:eastAsia="Times New Roman"/>
                <w:szCs w:val="16"/>
                <w:lang w:eastAsia="en-AU"/>
              </w:rPr>
              <w:t xml:space="preserve">have </w:t>
            </w:r>
            <w:r w:rsidR="006B6C24">
              <w:rPr>
                <w:rFonts w:eastAsia="Times New Roman"/>
                <w:szCs w:val="16"/>
                <w:lang w:eastAsia="en-AU"/>
              </w:rPr>
              <w:t xml:space="preserve">a wide distribution across south-eastern Australian marine waters, being common in shallow water but also recorded in deeper water environments. </w:t>
            </w:r>
            <w:r w:rsidR="003E026C">
              <w:rPr>
                <w:rFonts w:eastAsia="Times New Roman"/>
                <w:szCs w:val="16"/>
                <w:lang w:eastAsia="en-AU"/>
              </w:rPr>
              <w:t xml:space="preserve">The crabs form dense aggregations at </w:t>
            </w:r>
            <w:r w:rsidR="007C147D">
              <w:rPr>
                <w:rFonts w:eastAsia="Times New Roman"/>
                <w:szCs w:val="16"/>
                <w:lang w:eastAsia="en-AU"/>
              </w:rPr>
              <w:t>certain</w:t>
            </w:r>
            <w:r w:rsidR="003E026C">
              <w:rPr>
                <w:rFonts w:eastAsia="Times New Roman"/>
                <w:szCs w:val="16"/>
                <w:lang w:eastAsia="en-AU"/>
              </w:rPr>
              <w:t xml:space="preserve"> times</w:t>
            </w:r>
            <w:r w:rsidR="007C147D">
              <w:rPr>
                <w:rFonts w:eastAsia="Times New Roman"/>
                <w:szCs w:val="16"/>
                <w:lang w:eastAsia="en-AU"/>
              </w:rPr>
              <w:t xml:space="preserve"> of year</w:t>
            </w:r>
            <w:r w:rsidR="00C34AF3">
              <w:rPr>
                <w:rFonts w:eastAsia="Times New Roman"/>
                <w:szCs w:val="16"/>
                <w:lang w:eastAsia="en-AU"/>
              </w:rPr>
              <w:t>. A</w:t>
            </w:r>
            <w:r w:rsidR="00C510DD">
              <w:rPr>
                <w:rFonts w:eastAsia="Times New Roman"/>
                <w:szCs w:val="16"/>
                <w:lang w:eastAsia="en-AU"/>
              </w:rPr>
              <w:t xml:space="preserve">ggregations have been observed in multiple locations in Victoria’s nearshore waters, in Gippsland Lakes and further afield in Tasmania and South Australia. </w:t>
            </w:r>
            <w:r w:rsidR="00A47AD2">
              <w:rPr>
                <w:rFonts w:ascii="Calibri" w:eastAsiaTheme="minorHAnsi" w:hAnsi="Calibri" w:cs="Calibri"/>
                <w:sz w:val="24"/>
              </w:rPr>
              <w:t xml:space="preserve"> </w:t>
            </w:r>
          </w:p>
          <w:p w14:paraId="6ADF6866" w14:textId="77777777" w:rsidR="00595EE3" w:rsidRDefault="00595EE3" w:rsidP="006F56D7">
            <w:pPr>
              <w:autoSpaceDE w:val="0"/>
              <w:autoSpaceDN w:val="0"/>
              <w:adjustRightInd w:val="0"/>
              <w:spacing w:before="0"/>
              <w:rPr>
                <w:rFonts w:eastAsia="Times New Roman"/>
                <w:lang w:eastAsia="en-AU"/>
              </w:rPr>
            </w:pPr>
          </w:p>
          <w:p w14:paraId="3592F994" w14:textId="321E3D25" w:rsidR="00943D70" w:rsidRDefault="006F56D7" w:rsidP="006F56D7">
            <w:pPr>
              <w:autoSpaceDE w:val="0"/>
              <w:autoSpaceDN w:val="0"/>
              <w:adjustRightInd w:val="0"/>
              <w:spacing w:before="0"/>
              <w:rPr>
                <w:rFonts w:eastAsia="Times New Roman"/>
                <w:szCs w:val="16"/>
                <w:lang w:eastAsia="en-AU"/>
              </w:rPr>
            </w:pPr>
            <w:r w:rsidRPr="00847473">
              <w:rPr>
                <w:rFonts w:eastAsia="Times New Roman"/>
                <w:szCs w:val="16"/>
                <w:lang w:eastAsia="en-AU"/>
              </w:rPr>
              <w:t xml:space="preserve">The </w:t>
            </w:r>
            <w:r w:rsidR="00595EE3">
              <w:rPr>
                <w:rFonts w:eastAsia="Times New Roman"/>
                <w:szCs w:val="16"/>
                <w:lang w:eastAsia="en-AU"/>
              </w:rPr>
              <w:t xml:space="preserve">Giant Spider Crab </w:t>
            </w:r>
            <w:r w:rsidR="00A47AD2" w:rsidRPr="00847473">
              <w:rPr>
                <w:rFonts w:eastAsia="Times New Roman"/>
                <w:szCs w:val="16"/>
                <w:lang w:eastAsia="en-AU"/>
              </w:rPr>
              <w:t>aggregation that has been occurring around Blairgowrie</w:t>
            </w:r>
            <w:r w:rsidRPr="00847473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847473" w:rsidRPr="00847473">
              <w:rPr>
                <w:rFonts w:eastAsia="Times New Roman"/>
                <w:szCs w:val="16"/>
                <w:lang w:eastAsia="en-AU"/>
              </w:rPr>
              <w:t>and</w:t>
            </w:r>
            <w:r w:rsidR="00A47AD2" w:rsidRPr="00847473">
              <w:rPr>
                <w:rFonts w:eastAsia="Times New Roman"/>
                <w:szCs w:val="16"/>
                <w:lang w:eastAsia="en-AU"/>
              </w:rPr>
              <w:t xml:space="preserve"> Rye pier</w:t>
            </w:r>
            <w:r w:rsidRPr="00847473">
              <w:rPr>
                <w:rFonts w:eastAsia="Times New Roman"/>
                <w:szCs w:val="16"/>
                <w:lang w:eastAsia="en-AU"/>
              </w:rPr>
              <w:t>s</w:t>
            </w:r>
            <w:r w:rsidR="00A47AD2" w:rsidRPr="00847473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EE258B" w:rsidRPr="00847473">
              <w:rPr>
                <w:rFonts w:eastAsia="Times New Roman"/>
                <w:szCs w:val="16"/>
                <w:lang w:eastAsia="en-AU"/>
              </w:rPr>
              <w:t>on Melbourne’s doorstep</w:t>
            </w:r>
            <w:r w:rsidR="00BB252E">
              <w:rPr>
                <w:rFonts w:eastAsia="Times New Roman"/>
                <w:szCs w:val="16"/>
                <w:lang w:eastAsia="en-AU"/>
              </w:rPr>
              <w:t xml:space="preserve"> each winter</w:t>
            </w:r>
            <w:r w:rsidR="00EE258B" w:rsidRPr="00847473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847473" w:rsidRPr="00847473">
              <w:rPr>
                <w:rFonts w:eastAsia="Times New Roman"/>
                <w:szCs w:val="16"/>
                <w:lang w:eastAsia="en-AU"/>
              </w:rPr>
              <w:t>is</w:t>
            </w:r>
            <w:r w:rsidR="00A47AD2" w:rsidRPr="00847473">
              <w:rPr>
                <w:rFonts w:eastAsia="Times New Roman"/>
                <w:szCs w:val="16"/>
                <w:lang w:eastAsia="en-AU"/>
              </w:rPr>
              <w:t xml:space="preserve"> a wonderful natural phenomenon </w:t>
            </w:r>
            <w:r w:rsidR="00847473" w:rsidRPr="00847473">
              <w:rPr>
                <w:rFonts w:eastAsia="Times New Roman"/>
                <w:szCs w:val="16"/>
                <w:lang w:eastAsia="en-AU"/>
              </w:rPr>
              <w:t>which is shared and enjoyed by recreational divers, fishers and tourists</w:t>
            </w:r>
            <w:r w:rsidR="00A47AD2" w:rsidRPr="00847473">
              <w:rPr>
                <w:rFonts w:eastAsia="Times New Roman"/>
                <w:szCs w:val="16"/>
                <w:lang w:eastAsia="en-AU"/>
              </w:rPr>
              <w:t>.</w:t>
            </w:r>
            <w:r w:rsidR="003E026C">
              <w:rPr>
                <w:rFonts w:eastAsia="Times New Roman"/>
                <w:szCs w:val="16"/>
                <w:lang w:eastAsia="en-AU"/>
              </w:rPr>
              <w:t xml:space="preserve"> </w:t>
            </w:r>
          </w:p>
          <w:p w14:paraId="43EE8260" w14:textId="77777777" w:rsidR="00EE258B" w:rsidRPr="00847473" w:rsidRDefault="00EE258B" w:rsidP="006F56D7">
            <w:pPr>
              <w:autoSpaceDE w:val="0"/>
              <w:autoSpaceDN w:val="0"/>
              <w:adjustRightInd w:val="0"/>
              <w:spacing w:before="0"/>
              <w:rPr>
                <w:rFonts w:eastAsia="Times New Roman"/>
                <w:szCs w:val="16"/>
                <w:lang w:eastAsia="en-AU"/>
              </w:rPr>
            </w:pPr>
          </w:p>
          <w:p w14:paraId="0470B553" w14:textId="0DD30ADC" w:rsidR="001D171A" w:rsidRDefault="004D762D" w:rsidP="0092715D">
            <w:pPr>
              <w:spacing w:before="0" w:after="120" w:line="228" w:lineRule="auto"/>
              <w:rPr>
                <w:rFonts w:eastAsia="Times New Roman"/>
                <w:szCs w:val="16"/>
                <w:lang w:eastAsia="en-AU"/>
              </w:rPr>
            </w:pPr>
            <w:r>
              <w:rPr>
                <w:rFonts w:eastAsia="Times New Roman"/>
                <w:szCs w:val="16"/>
                <w:lang w:eastAsia="en-AU"/>
              </w:rPr>
              <w:t>VFA surveys indicate that spider crab fishing is valued as an enjoyable social day out by parts of our multicultural community. Most are first-time spider crab fishers who fished only for these crabs</w:t>
            </w:r>
            <w:r w:rsidR="009115E2">
              <w:rPr>
                <w:rFonts w:eastAsia="Times New Roman"/>
                <w:szCs w:val="16"/>
                <w:lang w:eastAsia="en-AU"/>
              </w:rPr>
              <w:t>,</w:t>
            </w:r>
            <w:r>
              <w:rPr>
                <w:rFonts w:eastAsia="Times New Roman"/>
                <w:szCs w:val="16"/>
                <w:lang w:eastAsia="en-AU"/>
              </w:rPr>
              <w:t xml:space="preserve"> for one day. </w:t>
            </w:r>
            <w:r w:rsidR="00F2427A">
              <w:rPr>
                <w:rFonts w:eastAsia="Times New Roman"/>
                <w:szCs w:val="16"/>
                <w:lang w:eastAsia="en-AU"/>
              </w:rPr>
              <w:t xml:space="preserve">The vast majority of </w:t>
            </w:r>
            <w:r w:rsidR="009115E2">
              <w:rPr>
                <w:rFonts w:eastAsia="Times New Roman"/>
                <w:szCs w:val="16"/>
                <w:lang w:eastAsia="en-AU"/>
              </w:rPr>
              <w:t xml:space="preserve">spider crab </w:t>
            </w:r>
            <w:r w:rsidR="00F2427A">
              <w:rPr>
                <w:rFonts w:eastAsia="Times New Roman"/>
                <w:szCs w:val="16"/>
                <w:lang w:eastAsia="en-AU"/>
              </w:rPr>
              <w:t xml:space="preserve">fishing </w:t>
            </w:r>
            <w:r w:rsidR="00FC40FD">
              <w:rPr>
                <w:rFonts w:eastAsia="Times New Roman"/>
                <w:szCs w:val="16"/>
                <w:lang w:eastAsia="en-AU"/>
              </w:rPr>
              <w:t>takes place</w:t>
            </w:r>
            <w:r w:rsidR="002677D5">
              <w:rPr>
                <w:rFonts w:eastAsia="Times New Roman"/>
                <w:szCs w:val="16"/>
                <w:lang w:eastAsia="en-AU"/>
              </w:rPr>
              <w:t xml:space="preserve"> </w:t>
            </w:r>
            <w:r w:rsidR="00BB252E">
              <w:rPr>
                <w:rFonts w:eastAsia="Times New Roman"/>
                <w:szCs w:val="16"/>
                <w:lang w:eastAsia="en-AU"/>
              </w:rPr>
              <w:t xml:space="preserve">from </w:t>
            </w:r>
            <w:r w:rsidR="002677D5">
              <w:rPr>
                <w:rFonts w:eastAsia="Times New Roman"/>
                <w:szCs w:val="16"/>
                <w:lang w:eastAsia="en-AU"/>
              </w:rPr>
              <w:t xml:space="preserve">Rye or Blairgowrie </w:t>
            </w:r>
            <w:r w:rsidR="00BB252E">
              <w:rPr>
                <w:rFonts w:eastAsia="Times New Roman"/>
                <w:szCs w:val="16"/>
                <w:lang w:eastAsia="en-AU"/>
              </w:rPr>
              <w:t xml:space="preserve">pier </w:t>
            </w:r>
            <w:r w:rsidR="002677D5">
              <w:rPr>
                <w:rFonts w:eastAsia="Times New Roman"/>
                <w:szCs w:val="16"/>
                <w:lang w:eastAsia="en-AU"/>
              </w:rPr>
              <w:t xml:space="preserve">during the </w:t>
            </w:r>
            <w:r w:rsidR="00BB252E">
              <w:rPr>
                <w:rFonts w:eastAsia="Times New Roman"/>
                <w:szCs w:val="16"/>
                <w:lang w:eastAsia="en-AU"/>
              </w:rPr>
              <w:t>annual</w:t>
            </w:r>
            <w:r w:rsidR="002677D5">
              <w:rPr>
                <w:rFonts w:eastAsia="Times New Roman"/>
                <w:szCs w:val="16"/>
                <w:lang w:eastAsia="en-AU"/>
              </w:rPr>
              <w:t xml:space="preserve"> aggregation</w:t>
            </w:r>
            <w:r w:rsidR="009F29B1">
              <w:rPr>
                <w:rFonts w:eastAsia="Times New Roman"/>
                <w:szCs w:val="16"/>
                <w:lang w:eastAsia="en-AU"/>
              </w:rPr>
              <w:t>.</w:t>
            </w:r>
            <w:r w:rsidR="00103A1B">
              <w:rPr>
                <w:rFonts w:eastAsia="Times New Roman"/>
                <w:szCs w:val="16"/>
                <w:lang w:eastAsia="en-AU"/>
              </w:rPr>
              <w:t xml:space="preserve"> </w:t>
            </w:r>
          </w:p>
          <w:p w14:paraId="6686D7CA" w14:textId="638085B8" w:rsidR="00E94C12" w:rsidRDefault="00593A6D" w:rsidP="00E15C6C">
            <w:pPr>
              <w:spacing w:before="0" w:after="120" w:line="228" w:lineRule="auto"/>
              <w:ind w:left="62"/>
              <w:rPr>
                <w:rFonts w:eastAsia="Times New Roman"/>
                <w:szCs w:val="16"/>
                <w:lang w:eastAsia="en-AU"/>
              </w:rPr>
            </w:pPr>
            <w:r>
              <w:rPr>
                <w:rFonts w:eastAsia="Times New Roman"/>
                <w:szCs w:val="16"/>
                <w:lang w:eastAsia="en-AU"/>
              </w:rPr>
              <w:t>Most</w:t>
            </w:r>
            <w:r w:rsidR="00CC3A5D">
              <w:rPr>
                <w:rFonts w:eastAsia="Times New Roman"/>
                <w:szCs w:val="16"/>
                <w:lang w:eastAsia="en-AU"/>
              </w:rPr>
              <w:t xml:space="preserve"> fishers</w:t>
            </w:r>
            <w:r>
              <w:rPr>
                <w:rFonts w:eastAsia="Times New Roman"/>
                <w:szCs w:val="16"/>
                <w:lang w:eastAsia="en-AU"/>
              </w:rPr>
              <w:t xml:space="preserve"> (90%) use</w:t>
            </w:r>
            <w:r w:rsidR="00B144F8">
              <w:rPr>
                <w:rFonts w:eastAsia="Times New Roman"/>
                <w:szCs w:val="16"/>
                <w:lang w:eastAsia="en-AU"/>
              </w:rPr>
              <w:t>d</w:t>
            </w:r>
            <w:r>
              <w:rPr>
                <w:rFonts w:eastAsia="Times New Roman"/>
                <w:szCs w:val="16"/>
                <w:lang w:eastAsia="en-AU"/>
              </w:rPr>
              <w:t xml:space="preserve"> the crabs to cook and eat in a range of ways – most (</w:t>
            </w:r>
            <w:r>
              <w:rPr>
                <w:rFonts w:eastAsia="Times New Roman" w:cs="Arial"/>
                <w:szCs w:val="16"/>
                <w:lang w:eastAsia="en-AU"/>
              </w:rPr>
              <w:t>≈</w:t>
            </w:r>
            <w:r>
              <w:rPr>
                <w:rFonts w:eastAsia="Times New Roman"/>
                <w:szCs w:val="16"/>
                <w:lang w:eastAsia="en-AU"/>
              </w:rPr>
              <w:t xml:space="preserve">80%) </w:t>
            </w:r>
            <w:r w:rsidR="000022B4">
              <w:rPr>
                <w:rFonts w:eastAsia="Times New Roman"/>
                <w:szCs w:val="16"/>
                <w:lang w:eastAsia="en-AU"/>
              </w:rPr>
              <w:t>cooked</w:t>
            </w:r>
            <w:r>
              <w:rPr>
                <w:rFonts w:eastAsia="Times New Roman"/>
                <w:szCs w:val="16"/>
                <w:lang w:eastAsia="en-AU"/>
              </w:rPr>
              <w:t xml:space="preserve"> the crab meat separately or mixed with other ingredients, with others using the crabs for sauce, stock or soup. </w:t>
            </w:r>
            <w:r w:rsidR="00AE72E7">
              <w:rPr>
                <w:rFonts w:eastAsia="Times New Roman"/>
                <w:szCs w:val="16"/>
                <w:lang w:eastAsia="en-AU"/>
              </w:rPr>
              <w:t>The</w:t>
            </w:r>
            <w:r w:rsidR="00D51793">
              <w:rPr>
                <w:rFonts w:eastAsia="Times New Roman"/>
                <w:szCs w:val="16"/>
                <w:lang w:eastAsia="en-AU"/>
              </w:rPr>
              <w:t xml:space="preserve"> number of </w:t>
            </w:r>
            <w:r w:rsidR="009B300B">
              <w:rPr>
                <w:rFonts w:eastAsia="Times New Roman"/>
                <w:szCs w:val="16"/>
                <w:lang w:eastAsia="en-AU"/>
              </w:rPr>
              <w:t>spider crab</w:t>
            </w:r>
            <w:r w:rsidR="00D51793">
              <w:rPr>
                <w:rFonts w:eastAsia="Times New Roman"/>
                <w:szCs w:val="16"/>
                <w:lang w:eastAsia="en-AU"/>
              </w:rPr>
              <w:t xml:space="preserve">s taken by </w:t>
            </w:r>
            <w:r w:rsidR="00562103">
              <w:rPr>
                <w:rFonts w:eastAsia="Times New Roman"/>
                <w:szCs w:val="16"/>
                <w:lang w:eastAsia="en-AU"/>
              </w:rPr>
              <w:t>most fishe</w:t>
            </w:r>
            <w:r w:rsidR="00806707">
              <w:rPr>
                <w:rFonts w:eastAsia="Times New Roman"/>
                <w:szCs w:val="16"/>
                <w:lang w:eastAsia="en-AU"/>
              </w:rPr>
              <w:t>r</w:t>
            </w:r>
            <w:r w:rsidR="00562103">
              <w:rPr>
                <w:rFonts w:eastAsia="Times New Roman"/>
                <w:szCs w:val="16"/>
                <w:lang w:eastAsia="en-AU"/>
              </w:rPr>
              <w:t>s</w:t>
            </w:r>
            <w:r w:rsidR="007304C4">
              <w:rPr>
                <w:rFonts w:eastAsia="Times New Roman"/>
                <w:szCs w:val="16"/>
                <w:lang w:eastAsia="en-AU"/>
              </w:rPr>
              <w:t>, and that were needed for the recipes and dishes that they prepared,</w:t>
            </w:r>
            <w:r w:rsidR="00562103">
              <w:rPr>
                <w:rFonts w:eastAsia="Times New Roman"/>
                <w:szCs w:val="16"/>
                <w:lang w:eastAsia="en-AU"/>
              </w:rPr>
              <w:t xml:space="preserve"> f</w:t>
            </w:r>
            <w:r w:rsidR="007304C4">
              <w:rPr>
                <w:rFonts w:eastAsia="Times New Roman"/>
                <w:szCs w:val="16"/>
                <w:lang w:eastAsia="en-AU"/>
              </w:rPr>
              <w:t>ell</w:t>
            </w:r>
            <w:r w:rsidR="00562103">
              <w:rPr>
                <w:rFonts w:eastAsia="Times New Roman"/>
                <w:szCs w:val="16"/>
                <w:lang w:eastAsia="en-AU"/>
              </w:rPr>
              <w:t xml:space="preserve"> well within the existing bag limit</w:t>
            </w:r>
            <w:r w:rsidR="002C0139">
              <w:rPr>
                <w:rFonts w:eastAsia="Times New Roman"/>
                <w:szCs w:val="16"/>
                <w:lang w:eastAsia="en-AU"/>
              </w:rPr>
              <w:t xml:space="preserve"> with </w:t>
            </w:r>
            <w:r w:rsidR="002C0139">
              <w:rPr>
                <w:rFonts w:eastAsia="Times New Roman" w:cs="Arial"/>
                <w:szCs w:val="16"/>
                <w:lang w:eastAsia="en-AU"/>
              </w:rPr>
              <w:t>≈</w:t>
            </w:r>
            <w:r w:rsidR="00242803">
              <w:rPr>
                <w:rFonts w:eastAsia="Times New Roman"/>
                <w:szCs w:val="16"/>
                <w:lang w:eastAsia="en-AU"/>
              </w:rPr>
              <w:t xml:space="preserve">25-35% </w:t>
            </w:r>
            <w:r w:rsidR="000166A0">
              <w:rPr>
                <w:rFonts w:eastAsia="Times New Roman"/>
                <w:szCs w:val="16"/>
                <w:lang w:eastAsia="en-AU"/>
              </w:rPr>
              <w:t>not tak</w:t>
            </w:r>
            <w:r w:rsidR="002C0139">
              <w:rPr>
                <w:rFonts w:eastAsia="Times New Roman"/>
                <w:szCs w:val="16"/>
                <w:lang w:eastAsia="en-AU"/>
              </w:rPr>
              <w:t>ing</w:t>
            </w:r>
            <w:r w:rsidR="000166A0">
              <w:rPr>
                <w:rFonts w:eastAsia="Times New Roman"/>
                <w:szCs w:val="16"/>
                <w:lang w:eastAsia="en-AU"/>
              </w:rPr>
              <w:t xml:space="preserve"> any crabs</w:t>
            </w:r>
            <w:r w:rsidR="00D51793">
              <w:rPr>
                <w:rFonts w:eastAsia="Times New Roman"/>
                <w:szCs w:val="16"/>
                <w:lang w:eastAsia="en-AU"/>
              </w:rPr>
              <w:t xml:space="preserve">. </w:t>
            </w:r>
            <w:r w:rsidR="00624CF5">
              <w:rPr>
                <w:rFonts w:eastAsia="Times New Roman"/>
                <w:szCs w:val="16"/>
                <w:lang w:eastAsia="en-AU"/>
              </w:rPr>
              <w:t>About 70% enjoyed the taste</w:t>
            </w:r>
            <w:r w:rsidR="00096716">
              <w:rPr>
                <w:rFonts w:eastAsia="Times New Roman"/>
                <w:szCs w:val="16"/>
                <w:lang w:eastAsia="en-AU"/>
              </w:rPr>
              <w:t xml:space="preserve"> of the crabs</w:t>
            </w:r>
            <w:r w:rsidR="00624CF5">
              <w:rPr>
                <w:rFonts w:eastAsia="Times New Roman"/>
                <w:szCs w:val="16"/>
                <w:lang w:eastAsia="en-AU"/>
              </w:rPr>
              <w:t xml:space="preserve">; about 65% would go fishing for spider crabs again. </w:t>
            </w:r>
            <w:r w:rsidR="002C3EB3">
              <w:rPr>
                <w:rFonts w:eastAsia="Times New Roman"/>
                <w:szCs w:val="16"/>
                <w:lang w:eastAsia="en-AU"/>
              </w:rPr>
              <w:t xml:space="preserve">Spider crab fishers travelled from a variety of suburbs to the Mornington peninsula to fish, </w:t>
            </w:r>
            <w:r w:rsidR="00010D63">
              <w:rPr>
                <w:rFonts w:eastAsia="Times New Roman"/>
                <w:szCs w:val="16"/>
                <w:lang w:eastAsia="en-AU"/>
              </w:rPr>
              <w:t xml:space="preserve">with the money that they spent on their fishing trip contributing to </w:t>
            </w:r>
            <w:r w:rsidR="00E15C6C">
              <w:rPr>
                <w:rFonts w:eastAsia="Times New Roman"/>
                <w:szCs w:val="16"/>
                <w:lang w:eastAsia="en-AU"/>
              </w:rPr>
              <w:t xml:space="preserve">the local economy. </w:t>
            </w:r>
            <w:r w:rsidR="00E15C6C">
              <w:rPr>
                <w:rFonts w:eastAsia="Times New Roman"/>
                <w:szCs w:val="16"/>
                <w:lang w:eastAsia="en-AU"/>
              </w:rPr>
              <w:br/>
            </w:r>
          </w:p>
          <w:p w14:paraId="201506AA" w14:textId="6E1DDE83" w:rsidR="0009033F" w:rsidRPr="005603B5" w:rsidRDefault="00A64DEA" w:rsidP="00357E80">
            <w:pPr>
              <w:spacing w:before="0" w:after="120" w:line="228" w:lineRule="auto"/>
              <w:ind w:left="62"/>
              <w:rPr>
                <w:rFonts w:eastAsia="Times New Roman"/>
                <w:szCs w:val="16"/>
                <w:lang w:eastAsia="en-AU"/>
              </w:rPr>
            </w:pPr>
            <w:r>
              <w:rPr>
                <w:rFonts w:eastAsia="Times New Roman"/>
                <w:szCs w:val="16"/>
                <w:lang w:eastAsia="en-AU"/>
              </w:rPr>
              <w:t xml:space="preserve">A campaign </w:t>
            </w:r>
            <w:r w:rsidR="009145B2">
              <w:rPr>
                <w:rFonts w:eastAsia="Times New Roman"/>
                <w:szCs w:val="16"/>
                <w:lang w:eastAsia="en-AU"/>
              </w:rPr>
              <w:t xml:space="preserve">is being led by recreational divers </w:t>
            </w:r>
            <w:r w:rsidR="007067E5">
              <w:rPr>
                <w:rFonts w:eastAsia="Times New Roman"/>
                <w:szCs w:val="16"/>
                <w:lang w:eastAsia="en-AU"/>
              </w:rPr>
              <w:t xml:space="preserve">for a spider crab fishing ban during the aggregation season, </w:t>
            </w:r>
            <w:r w:rsidR="00573014">
              <w:rPr>
                <w:rFonts w:eastAsia="Times New Roman"/>
                <w:szCs w:val="16"/>
                <w:lang w:eastAsia="en-AU"/>
              </w:rPr>
              <w:t xml:space="preserve">as well as a </w:t>
            </w:r>
            <w:r w:rsidR="007067E5">
              <w:rPr>
                <w:rFonts w:eastAsia="Times New Roman"/>
                <w:szCs w:val="16"/>
                <w:lang w:eastAsia="en-AU"/>
              </w:rPr>
              <w:t>reduced bag limit, research, education, signage and patrols</w:t>
            </w:r>
            <w:r w:rsidR="00357E80">
              <w:rPr>
                <w:rFonts w:eastAsia="Times New Roman"/>
                <w:szCs w:val="16"/>
                <w:lang w:eastAsia="en-AU"/>
              </w:rPr>
              <w:t xml:space="preserve">. </w:t>
            </w:r>
            <w:r w:rsidR="0022005E" w:rsidRPr="0022005E">
              <w:rPr>
                <w:rFonts w:eastAsia="Times New Roman"/>
                <w:szCs w:val="16"/>
                <w:lang w:eastAsia="en-AU"/>
              </w:rPr>
              <w:t xml:space="preserve">The VFA believes that enjoyment of the Rye/Blairgowrie aggregation can be shared by recreational divers, fishers and tourists with appropriate management and fishing rules. </w:t>
            </w:r>
            <w:r w:rsidR="0009033F" w:rsidRPr="0022005E">
              <w:rPr>
                <w:rFonts w:eastAsia="Times New Roman"/>
                <w:szCs w:val="16"/>
                <w:lang w:eastAsia="en-AU"/>
              </w:rPr>
              <w:t>Banning take of crabs during the aggregation season would effectively mean the cessation of current recreational fishing for this species and would unnecessarily impact parts of multicultural community.</w:t>
            </w:r>
          </w:p>
          <w:p w14:paraId="1666E219" w14:textId="03FC8C69" w:rsidR="0009033F" w:rsidRPr="005603B5" w:rsidRDefault="0009033F" w:rsidP="0022005E">
            <w:pPr>
              <w:autoSpaceDE w:val="0"/>
              <w:autoSpaceDN w:val="0"/>
              <w:adjustRightInd w:val="0"/>
              <w:spacing w:before="0"/>
              <w:rPr>
                <w:rFonts w:eastAsia="Times New Roman"/>
                <w:szCs w:val="16"/>
                <w:lang w:eastAsia="en-AU"/>
              </w:rPr>
            </w:pPr>
          </w:p>
          <w:p w14:paraId="7EC27337" w14:textId="18B70976" w:rsidR="009A573F" w:rsidRPr="00690987" w:rsidRDefault="0009033F" w:rsidP="00690987">
            <w:pPr>
              <w:autoSpaceDE w:val="0"/>
              <w:autoSpaceDN w:val="0"/>
              <w:adjustRightInd w:val="0"/>
              <w:spacing w:before="0"/>
              <w:rPr>
                <w:rFonts w:ascii="Calibri" w:eastAsiaTheme="minorHAnsi" w:hAnsi="Calibri" w:cs="Calibri"/>
                <w:color w:val="000000"/>
                <w:sz w:val="24"/>
              </w:rPr>
            </w:pPr>
            <w:r w:rsidRPr="005603B5">
              <w:rPr>
                <w:rFonts w:eastAsia="Times New Roman"/>
                <w:szCs w:val="16"/>
                <w:lang w:eastAsia="en-AU"/>
              </w:rPr>
              <w:t>Implementation of th</w:t>
            </w:r>
            <w:r w:rsidR="001D392F" w:rsidRPr="005603B5">
              <w:rPr>
                <w:rFonts w:eastAsia="Times New Roman"/>
                <w:szCs w:val="16"/>
                <w:lang w:eastAsia="en-AU"/>
              </w:rPr>
              <w:t xml:space="preserve">e proposed Fisheries Notice </w:t>
            </w:r>
            <w:r w:rsidR="00E66CB5">
              <w:rPr>
                <w:rFonts w:eastAsia="Times New Roman"/>
                <w:szCs w:val="16"/>
                <w:lang w:eastAsia="en-AU"/>
              </w:rPr>
              <w:t>by the VFA</w:t>
            </w:r>
            <w:r w:rsidR="001D392F" w:rsidRPr="005603B5">
              <w:rPr>
                <w:rFonts w:eastAsia="Times New Roman"/>
                <w:szCs w:val="16"/>
                <w:lang w:eastAsia="en-AU"/>
              </w:rPr>
              <w:t xml:space="preserve"> will be supported by measures including </w:t>
            </w:r>
            <w:r w:rsidR="00E946B4" w:rsidRPr="005603B5">
              <w:rPr>
                <w:rFonts w:eastAsia="Times New Roman"/>
                <w:szCs w:val="16"/>
                <w:lang w:eastAsia="en-AU"/>
              </w:rPr>
              <w:t>targeted education to address discarded bait</w:t>
            </w:r>
            <w:r w:rsidR="003053BD" w:rsidRPr="005603B5">
              <w:rPr>
                <w:rFonts w:eastAsia="Times New Roman"/>
                <w:szCs w:val="16"/>
                <w:lang w:eastAsia="en-AU"/>
              </w:rPr>
              <w:t xml:space="preserve"> and waste and safe management of interactions between divers and fishing nets</w:t>
            </w:r>
            <w:r w:rsidR="00690987">
              <w:rPr>
                <w:rFonts w:eastAsia="Times New Roman"/>
                <w:szCs w:val="16"/>
                <w:lang w:eastAsia="en-AU"/>
              </w:rPr>
              <w:t>, as well as continu</w:t>
            </w:r>
            <w:r w:rsidR="00E706A6">
              <w:rPr>
                <w:rFonts w:eastAsia="Times New Roman"/>
                <w:szCs w:val="16"/>
                <w:lang w:eastAsia="en-AU"/>
              </w:rPr>
              <w:t>ed</w:t>
            </w:r>
            <w:r w:rsidR="00690987">
              <w:rPr>
                <w:rFonts w:eastAsia="Times New Roman"/>
                <w:szCs w:val="16"/>
                <w:lang w:eastAsia="en-AU"/>
              </w:rPr>
              <w:t xml:space="preserve"> research, education and enforcement</w:t>
            </w:r>
            <w:r w:rsidR="003053BD" w:rsidRPr="005603B5">
              <w:rPr>
                <w:rFonts w:eastAsia="Times New Roman"/>
                <w:szCs w:val="16"/>
                <w:lang w:eastAsia="en-AU"/>
              </w:rPr>
              <w:t>.</w:t>
            </w:r>
            <w:r w:rsidR="00E97E09" w:rsidRPr="00C32879">
              <w:rPr>
                <w:rFonts w:eastAsia="Times New Roman"/>
                <w:szCs w:val="16"/>
                <w:u w:val="single"/>
                <w:lang w:eastAsia="en-AU"/>
              </w:rPr>
              <w:br/>
            </w:r>
          </w:p>
        </w:tc>
      </w:tr>
      <w:tr w:rsidR="009A573F" w:rsidRPr="00052588" w14:paraId="73C41B1F" w14:textId="77777777" w:rsidTr="003A5D12">
        <w:tc>
          <w:tcPr>
            <w:tcW w:w="210" w:type="pct"/>
            <w:shd w:val="clear" w:color="auto" w:fill="auto"/>
          </w:tcPr>
          <w:p w14:paraId="7D8F76DA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7</w:t>
            </w:r>
          </w:p>
        </w:tc>
        <w:tc>
          <w:tcPr>
            <w:tcW w:w="858" w:type="pct"/>
            <w:shd w:val="clear" w:color="auto" w:fill="auto"/>
          </w:tcPr>
          <w:p w14:paraId="03CF886D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Relevant Statutory provision</w:t>
            </w:r>
          </w:p>
        </w:tc>
        <w:tc>
          <w:tcPr>
            <w:tcW w:w="3932" w:type="pct"/>
            <w:shd w:val="clear" w:color="auto" w:fill="auto"/>
          </w:tcPr>
          <w:p w14:paraId="4BB1818F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 xml:space="preserve">Statutory consultation with stakeholders under Section 3A of the </w:t>
            </w:r>
            <w:r w:rsidRPr="00052588">
              <w:rPr>
                <w:rFonts w:eastAsia="Times New Roman"/>
                <w:i/>
                <w:szCs w:val="16"/>
                <w:lang w:eastAsia="en-AU"/>
              </w:rPr>
              <w:t>Fisheries Act 1995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is required 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prior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to the Minister or delegate making decisions related to Fisheries Notices.</w:t>
            </w:r>
          </w:p>
        </w:tc>
      </w:tr>
      <w:tr w:rsidR="009A573F" w:rsidRPr="00052588" w14:paraId="13BD80E8" w14:textId="77777777" w:rsidTr="003A5D12">
        <w:tc>
          <w:tcPr>
            <w:tcW w:w="210" w:type="pct"/>
            <w:shd w:val="clear" w:color="auto" w:fill="auto"/>
          </w:tcPr>
          <w:p w14:paraId="45515BBD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8</w:t>
            </w:r>
          </w:p>
        </w:tc>
        <w:tc>
          <w:tcPr>
            <w:tcW w:w="858" w:type="pct"/>
            <w:shd w:val="clear" w:color="auto" w:fill="auto"/>
          </w:tcPr>
          <w:p w14:paraId="5D3935A7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Purpose/objectives/scope</w:t>
            </w:r>
          </w:p>
        </w:tc>
        <w:tc>
          <w:tcPr>
            <w:tcW w:w="3932" w:type="pct"/>
            <w:shd w:val="clear" w:color="auto" w:fill="auto"/>
          </w:tcPr>
          <w:p w14:paraId="76CC3942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To seek comment on the draft Fisheries Notices.</w:t>
            </w:r>
          </w:p>
        </w:tc>
      </w:tr>
      <w:tr w:rsidR="009A573F" w:rsidRPr="00052588" w14:paraId="333B9BFA" w14:textId="77777777" w:rsidTr="003A5D12">
        <w:tc>
          <w:tcPr>
            <w:tcW w:w="210" w:type="pct"/>
            <w:shd w:val="clear" w:color="auto" w:fill="auto"/>
          </w:tcPr>
          <w:p w14:paraId="6806F55B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9</w:t>
            </w:r>
          </w:p>
        </w:tc>
        <w:tc>
          <w:tcPr>
            <w:tcW w:w="858" w:type="pct"/>
            <w:shd w:val="clear" w:color="auto" w:fill="auto"/>
          </w:tcPr>
          <w:p w14:paraId="6DFFA349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Method</w:t>
            </w:r>
          </w:p>
        </w:tc>
        <w:tc>
          <w:tcPr>
            <w:tcW w:w="3932" w:type="pct"/>
            <w:shd w:val="clear" w:color="auto" w:fill="auto"/>
          </w:tcPr>
          <w:p w14:paraId="032811B2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Consultation on draft documents is promoted via letters to the persons/groups noted in section 2 of this consult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 xml:space="preserve">ation plan and the Victorian Fisheries Authority 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website.</w:t>
            </w:r>
          </w:p>
        </w:tc>
      </w:tr>
      <w:tr w:rsidR="009A573F" w:rsidRPr="00052588" w14:paraId="37F3F5A0" w14:textId="77777777" w:rsidTr="003A5D12">
        <w:tc>
          <w:tcPr>
            <w:tcW w:w="210" w:type="pct"/>
            <w:shd w:val="clear" w:color="auto" w:fill="auto"/>
          </w:tcPr>
          <w:p w14:paraId="10DB9626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10</w:t>
            </w:r>
          </w:p>
        </w:tc>
        <w:tc>
          <w:tcPr>
            <w:tcW w:w="858" w:type="pct"/>
            <w:shd w:val="clear" w:color="auto" w:fill="auto"/>
          </w:tcPr>
          <w:p w14:paraId="531BEF7E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Communication Plan</w:t>
            </w:r>
          </w:p>
        </w:tc>
        <w:tc>
          <w:tcPr>
            <w:tcW w:w="3932" w:type="pct"/>
            <w:shd w:val="clear" w:color="auto" w:fill="auto"/>
          </w:tcPr>
          <w:p w14:paraId="71BF9DBF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zCs w:val="16"/>
                <w:lang w:eastAsia="en-AU"/>
              </w:rPr>
              <w:t>Decisions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regarding the Fisheries Notices will be communicated through notices published in the </w:t>
            </w:r>
            <w:r w:rsidRPr="00052588">
              <w:rPr>
                <w:rFonts w:eastAsia="Times New Roman"/>
                <w:i/>
                <w:spacing w:val="-1"/>
                <w:szCs w:val="16"/>
                <w:lang w:eastAsia="en-AU"/>
              </w:rPr>
              <w:t>Victoria Government Gazette</w:t>
            </w:r>
            <w:r>
              <w:rPr>
                <w:rFonts w:eastAsia="Times New Roman"/>
                <w:i/>
                <w:spacing w:val="-1"/>
                <w:szCs w:val="16"/>
                <w:lang w:eastAsia="en-AU"/>
              </w:rPr>
              <w:t xml:space="preserve">, a </w:t>
            </w:r>
            <w:r>
              <w:t>newspaper circulating the area affected by the decision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and the departmental website.</w:t>
            </w:r>
          </w:p>
          <w:p w14:paraId="5F139495" w14:textId="77777777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Letters informing stakeholders of decisions will be sent to all persons/groups noted in section 2. </w:t>
            </w:r>
          </w:p>
          <w:p w14:paraId="0D37FD10" w14:textId="102AF582" w:rsidR="009A573F" w:rsidRPr="00052588" w:rsidRDefault="009A573F" w:rsidP="003A5D12">
            <w:pPr>
              <w:numPr>
                <w:ilvl w:val="0"/>
                <w:numId w:val="1"/>
              </w:numPr>
              <w:spacing w:before="0" w:after="120" w:line="228" w:lineRule="auto"/>
              <w:ind w:right="85"/>
              <w:rPr>
                <w:rFonts w:eastAsia="Times New Roman"/>
                <w:i/>
                <w:spacing w:val="-1"/>
                <w:szCs w:val="16"/>
                <w:lang w:eastAsia="en-AU"/>
              </w:rPr>
            </w:pPr>
          </w:p>
        </w:tc>
      </w:tr>
      <w:tr w:rsidR="0014513A" w:rsidRPr="00052588" w14:paraId="284C6D95" w14:textId="77777777" w:rsidTr="003A5D12">
        <w:tc>
          <w:tcPr>
            <w:tcW w:w="210" w:type="pct"/>
            <w:shd w:val="clear" w:color="auto" w:fill="auto"/>
          </w:tcPr>
          <w:p w14:paraId="540FE0E2" w14:textId="4CD42337" w:rsidR="0014513A" w:rsidRPr="00052588" w:rsidRDefault="0014513A" w:rsidP="0014513A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11</w:t>
            </w:r>
          </w:p>
        </w:tc>
        <w:tc>
          <w:tcPr>
            <w:tcW w:w="858" w:type="pct"/>
            <w:shd w:val="clear" w:color="auto" w:fill="auto"/>
          </w:tcPr>
          <w:p w14:paraId="003330F9" w14:textId="0157C0D0" w:rsidR="0014513A" w:rsidRPr="00052588" w:rsidRDefault="0014513A" w:rsidP="0014513A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Information provision</w:t>
            </w:r>
          </w:p>
        </w:tc>
        <w:tc>
          <w:tcPr>
            <w:tcW w:w="3932" w:type="pct"/>
            <w:shd w:val="clear" w:color="auto" w:fill="auto"/>
          </w:tcPr>
          <w:p w14:paraId="46EA5F07" w14:textId="1E8C9826" w:rsidR="0014513A" w:rsidRPr="00052588" w:rsidRDefault="0014513A" w:rsidP="0014513A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Stakeholders will be provided with a copy of 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the draft Fisheries Notice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. </w:t>
            </w:r>
          </w:p>
        </w:tc>
      </w:tr>
      <w:tr w:rsidR="0014513A" w:rsidRPr="00052588" w14:paraId="09C5ACD1" w14:textId="77777777" w:rsidTr="003A5D12">
        <w:tc>
          <w:tcPr>
            <w:tcW w:w="210" w:type="pct"/>
            <w:shd w:val="clear" w:color="auto" w:fill="auto"/>
          </w:tcPr>
          <w:p w14:paraId="54796AC3" w14:textId="12B5A035" w:rsidR="0014513A" w:rsidRPr="00052588" w:rsidRDefault="0014513A" w:rsidP="0014513A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12</w:t>
            </w:r>
          </w:p>
        </w:tc>
        <w:tc>
          <w:tcPr>
            <w:tcW w:w="858" w:type="pct"/>
            <w:shd w:val="clear" w:color="auto" w:fill="auto"/>
          </w:tcPr>
          <w:p w14:paraId="5101A6F6" w14:textId="5CCFCB49" w:rsidR="0014513A" w:rsidRPr="00052588" w:rsidRDefault="0014513A" w:rsidP="0014513A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Resources/advice (inc. purchase of advice)</w:t>
            </w:r>
          </w:p>
        </w:tc>
        <w:tc>
          <w:tcPr>
            <w:tcW w:w="3932" w:type="pct"/>
            <w:shd w:val="clear" w:color="auto" w:fill="auto"/>
          </w:tcPr>
          <w:p w14:paraId="476F0954" w14:textId="2AB6904B" w:rsidR="0014513A" w:rsidRPr="00052588" w:rsidRDefault="0014513A" w:rsidP="0014513A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Internal resources of 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the Victorian Fisheries Authority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.</w:t>
            </w:r>
          </w:p>
        </w:tc>
      </w:tr>
      <w:tr w:rsidR="0014513A" w:rsidRPr="00052588" w14:paraId="07914936" w14:textId="77777777" w:rsidTr="003A5D12">
        <w:tc>
          <w:tcPr>
            <w:tcW w:w="210" w:type="pct"/>
            <w:shd w:val="clear" w:color="auto" w:fill="auto"/>
          </w:tcPr>
          <w:p w14:paraId="13F7F2E0" w14:textId="38CA4418" w:rsidR="0014513A" w:rsidRPr="00052588" w:rsidRDefault="0014513A" w:rsidP="0014513A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13</w:t>
            </w:r>
          </w:p>
        </w:tc>
        <w:tc>
          <w:tcPr>
            <w:tcW w:w="858" w:type="pct"/>
            <w:shd w:val="clear" w:color="auto" w:fill="auto"/>
          </w:tcPr>
          <w:p w14:paraId="2A2D2CAE" w14:textId="42A3250F" w:rsidR="0014513A" w:rsidRPr="00052588" w:rsidRDefault="0014513A" w:rsidP="0014513A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Output (documentation / implementation)</w:t>
            </w:r>
          </w:p>
        </w:tc>
        <w:tc>
          <w:tcPr>
            <w:tcW w:w="3932" w:type="pct"/>
            <w:shd w:val="clear" w:color="auto" w:fill="auto"/>
          </w:tcPr>
          <w:p w14:paraId="2217D69F" w14:textId="07D19036" w:rsidR="0014513A" w:rsidRPr="00052588" w:rsidRDefault="0014513A" w:rsidP="0014513A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Letters to stakeholders; notices published in the Victoria Government Gazette</w:t>
            </w:r>
            <w:r>
              <w:rPr>
                <w:rFonts w:eastAsia="Times New Roman"/>
                <w:spacing w:val="-1"/>
                <w:szCs w:val="16"/>
                <w:lang w:eastAsia="en-AU"/>
              </w:rPr>
              <w:t>;</w:t>
            </w: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 xml:space="preserve"> the departmental website.</w:t>
            </w:r>
          </w:p>
        </w:tc>
      </w:tr>
      <w:tr w:rsidR="0014513A" w:rsidRPr="00052588" w14:paraId="1E3BB6CD" w14:textId="77777777" w:rsidTr="003A5D12">
        <w:tc>
          <w:tcPr>
            <w:tcW w:w="210" w:type="pct"/>
            <w:shd w:val="clear" w:color="auto" w:fill="auto"/>
          </w:tcPr>
          <w:p w14:paraId="6BB25FFA" w14:textId="0D962057" w:rsidR="0014513A" w:rsidRPr="00052588" w:rsidRDefault="0014513A" w:rsidP="0014513A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b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b/>
                <w:spacing w:val="-1"/>
                <w:szCs w:val="16"/>
                <w:lang w:eastAsia="en-AU"/>
              </w:rPr>
              <w:t>14</w:t>
            </w:r>
          </w:p>
        </w:tc>
        <w:tc>
          <w:tcPr>
            <w:tcW w:w="858" w:type="pct"/>
            <w:shd w:val="clear" w:color="auto" w:fill="auto"/>
          </w:tcPr>
          <w:p w14:paraId="3518DEF9" w14:textId="53637056" w:rsidR="0014513A" w:rsidRPr="00052588" w:rsidRDefault="0014513A" w:rsidP="0014513A">
            <w:pPr>
              <w:numPr>
                <w:ilvl w:val="0"/>
                <w:numId w:val="1"/>
              </w:numPr>
              <w:spacing w:before="40" w:after="40" w:line="228" w:lineRule="auto"/>
              <w:ind w:right="85"/>
              <w:rPr>
                <w:rFonts w:eastAsia="Times New Roman"/>
                <w:spacing w:val="-1"/>
                <w:szCs w:val="16"/>
                <w:lang w:eastAsia="en-AU"/>
              </w:rPr>
            </w:pPr>
            <w:r w:rsidRPr="00052588">
              <w:rPr>
                <w:rFonts w:eastAsia="Times New Roman"/>
                <w:spacing w:val="-1"/>
                <w:szCs w:val="16"/>
                <w:lang w:eastAsia="en-AU"/>
              </w:rPr>
              <w:t>Publication of results of consultation</w:t>
            </w:r>
          </w:p>
        </w:tc>
        <w:tc>
          <w:tcPr>
            <w:tcW w:w="3932" w:type="pct"/>
            <w:shd w:val="clear" w:color="auto" w:fill="auto"/>
          </w:tcPr>
          <w:p w14:paraId="162ED8B1" w14:textId="28D97F11" w:rsidR="0014513A" w:rsidRPr="00052588" w:rsidRDefault="0014513A" w:rsidP="0014513A">
            <w:pPr>
              <w:numPr>
                <w:ilvl w:val="0"/>
                <w:numId w:val="1"/>
              </w:numPr>
              <w:spacing w:before="0" w:after="120"/>
              <w:ind w:right="85"/>
              <w:rPr>
                <w:rFonts w:eastAsia="Times New Roman"/>
                <w:szCs w:val="16"/>
                <w:lang w:eastAsia="en-AU"/>
              </w:rPr>
            </w:pPr>
            <w:r>
              <w:rPr>
                <w:rFonts w:eastAsia="Times New Roman"/>
                <w:szCs w:val="16"/>
                <w:lang w:eastAsia="en-AU"/>
              </w:rPr>
              <w:t>S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ubmissions received in relation to the consultation being conducted by </w:t>
            </w:r>
            <w:r>
              <w:rPr>
                <w:rFonts w:eastAsia="Times New Roman"/>
                <w:szCs w:val="16"/>
                <w:lang w:eastAsia="en-AU"/>
              </w:rPr>
              <w:t xml:space="preserve">the Victorian Fisheries Authority 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will be published on the </w:t>
            </w:r>
            <w:r>
              <w:rPr>
                <w:rFonts w:eastAsia="Times New Roman"/>
                <w:szCs w:val="16"/>
                <w:lang w:eastAsia="en-AU"/>
              </w:rPr>
              <w:t xml:space="preserve">Victorian Fisheries Authority 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website. In making a submission, unless the person making the submission indicates to the contrary, they will be consenting to their submission, including their name only, being published on the </w:t>
            </w:r>
            <w:r>
              <w:rPr>
                <w:rFonts w:eastAsia="Times New Roman"/>
                <w:szCs w:val="16"/>
                <w:lang w:eastAsia="en-AU"/>
              </w:rPr>
              <w:t>Victorian Fisheries Authority</w:t>
            </w:r>
            <w:r w:rsidRPr="00052588">
              <w:rPr>
                <w:rFonts w:eastAsia="Times New Roman"/>
                <w:szCs w:val="16"/>
                <w:lang w:eastAsia="en-AU"/>
              </w:rPr>
              <w:t xml:space="preserve"> website for 90 days from the conclusion of the consultative process.</w:t>
            </w:r>
            <w:r w:rsidRPr="00052588">
              <w:rPr>
                <w:rFonts w:eastAsia="Times New Roman"/>
                <w:b/>
                <w:szCs w:val="16"/>
                <w:lang w:eastAsia="en-AU"/>
              </w:rPr>
              <w:t xml:space="preserve">  </w:t>
            </w:r>
          </w:p>
        </w:tc>
      </w:tr>
    </w:tbl>
    <w:p w14:paraId="0940C961" w14:textId="5E8D6BD1" w:rsidR="004258F7" w:rsidRDefault="004258F7" w:rsidP="00B1225D">
      <w:pPr>
        <w:pStyle w:val="Heading1"/>
      </w:pPr>
      <w:r>
        <w:br w:type="page"/>
      </w:r>
    </w:p>
    <w:p w14:paraId="246F173C" w14:textId="6EA294D9" w:rsidR="0014513A" w:rsidRDefault="0014513A"/>
    <w:tbl>
      <w:tblPr>
        <w:tblpPr w:leftFromText="180" w:rightFromText="180" w:vertAnchor="page" w:horzAnchor="margin" w:tblpY="1751"/>
        <w:tblW w:w="10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8" w:type="dxa"/>
          <w:left w:w="0" w:type="dxa"/>
          <w:bottom w:w="34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5598"/>
      </w:tblGrid>
      <w:tr w:rsidR="009A573F" w:rsidRPr="00052588" w14:paraId="4896D58C" w14:textId="77777777" w:rsidTr="0014513A">
        <w:tc>
          <w:tcPr>
            <w:tcW w:w="2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299D9" w14:textId="5A45021E" w:rsidR="009A573F" w:rsidRPr="00052588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5564E5E2" w14:textId="77777777" w:rsidR="009A573F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1F8CD3C1" w14:textId="1BACD228" w:rsidR="00570C28" w:rsidRDefault="009A573F" w:rsidP="0001540F">
            <w:pPr>
              <w:spacing w:before="0"/>
              <w:outlineLvl w:val="2"/>
              <w:rPr>
                <w:rFonts w:eastAsia="Times New Roman"/>
                <w:noProof/>
                <w:szCs w:val="20"/>
              </w:rPr>
            </w:pPr>
            <w:r w:rsidRPr="00052588"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  <w:t>Consultation Plan prepared by</w:t>
            </w:r>
          </w:p>
          <w:p w14:paraId="500717CE" w14:textId="706FF2DD" w:rsidR="00844F68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11C4F83B" w14:textId="4C73B14C" w:rsidR="00844F68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0D657D7D" w14:textId="098BE5D4" w:rsidR="00844F68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56FC9915" w14:textId="338994C5" w:rsidR="00844F68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5FF422C1" w14:textId="77777777" w:rsidR="00844F68" w:rsidRPr="0001540F" w:rsidRDefault="00844F68" w:rsidP="0001540F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1DAEA63A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502BC474" w14:textId="337A8DD8" w:rsidR="009A573F" w:rsidRPr="00052588" w:rsidRDefault="00F4288D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 Klemke</w:t>
            </w:r>
          </w:p>
          <w:p w14:paraId="3A1C779F" w14:textId="444D3345" w:rsidR="009A573F" w:rsidRPr="00052588" w:rsidRDefault="00F4288D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Principal Policy Analyst</w:t>
            </w:r>
          </w:p>
          <w:p w14:paraId="7125F4A9" w14:textId="0B90956F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 w:rsidRPr="00052588">
              <w:rPr>
                <w:rFonts w:eastAsia="Times New Roman"/>
                <w:szCs w:val="20"/>
              </w:rPr>
              <w:t xml:space="preserve">Date:  </w:t>
            </w:r>
            <w:r w:rsidR="00B63893">
              <w:rPr>
                <w:rFonts w:eastAsia="Times New Roman"/>
                <w:szCs w:val="20"/>
              </w:rPr>
              <w:t>15 / 09  / 20</w:t>
            </w: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27F8CB" w14:textId="77777777" w:rsidR="009A573F" w:rsidRPr="00052588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10807843" w14:textId="77777777" w:rsidR="009A573F" w:rsidRPr="00052588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</w:p>
          <w:p w14:paraId="2B926720" w14:textId="77777777" w:rsidR="009A573F" w:rsidRPr="00052588" w:rsidRDefault="009A573F" w:rsidP="00C41A44">
            <w:pPr>
              <w:spacing w:before="0"/>
              <w:outlineLvl w:val="2"/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</w:pPr>
            <w:r w:rsidRPr="00052588">
              <w:rPr>
                <w:rFonts w:ascii="Arial Bold" w:eastAsia="Times New Roman" w:hAnsi="Arial Bold" w:cs="Mangal"/>
                <w:b/>
                <w:spacing w:val="1"/>
                <w:sz w:val="20"/>
                <w:lang w:eastAsia="en-AU"/>
              </w:rPr>
              <w:t>Approved/not approved</w:t>
            </w:r>
          </w:p>
          <w:p w14:paraId="2A8B06BA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328DC7B7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04338F86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4915CB91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</w:p>
          <w:p w14:paraId="642F42E1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Travis Dowling</w:t>
            </w:r>
          </w:p>
          <w:p w14:paraId="04259D57" w14:textId="7777777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Chief Executive Officer, VFA</w:t>
            </w:r>
          </w:p>
          <w:p w14:paraId="3211BFCA" w14:textId="6EE02507" w:rsidR="009A573F" w:rsidRPr="00052588" w:rsidRDefault="009A573F" w:rsidP="00C41A44">
            <w:pPr>
              <w:spacing w:before="180" w:line="276" w:lineRule="auto"/>
              <w:rPr>
                <w:rFonts w:eastAsia="Times New Roman"/>
                <w:szCs w:val="20"/>
              </w:rPr>
            </w:pPr>
            <w:r w:rsidRPr="00052588">
              <w:rPr>
                <w:rFonts w:eastAsia="Times New Roman"/>
                <w:szCs w:val="20"/>
              </w:rPr>
              <w:t xml:space="preserve">Date: </w:t>
            </w:r>
            <w:r w:rsidR="00B63893">
              <w:rPr>
                <w:rFonts w:eastAsia="Times New Roman"/>
                <w:szCs w:val="20"/>
              </w:rPr>
              <w:t xml:space="preserve"> 15 / 09  / 20</w:t>
            </w:r>
          </w:p>
          <w:p w14:paraId="6DF77029" w14:textId="77777777" w:rsidR="009A573F" w:rsidRPr="00052588" w:rsidRDefault="009A573F" w:rsidP="00C41A44">
            <w:pPr>
              <w:spacing w:before="0" w:line="228" w:lineRule="auto"/>
              <w:ind w:left="85" w:right="85"/>
              <w:rPr>
                <w:rFonts w:eastAsia="Times New Roman"/>
                <w:b/>
                <w:i/>
                <w:szCs w:val="16"/>
                <w:lang w:eastAsia="en-AU"/>
              </w:rPr>
            </w:pPr>
          </w:p>
        </w:tc>
      </w:tr>
    </w:tbl>
    <w:p w14:paraId="5D8B310D" w14:textId="77777777" w:rsidR="009A573F" w:rsidRPr="00052588" w:rsidRDefault="009A573F" w:rsidP="009A573F">
      <w:pPr>
        <w:spacing w:before="0" w:line="276" w:lineRule="auto"/>
        <w:rPr>
          <w:rFonts w:eastAsia="Times New Roman"/>
          <w:color w:val="0083A9"/>
          <w:spacing w:val="-1"/>
          <w:sz w:val="20"/>
          <w:szCs w:val="20"/>
        </w:rPr>
        <w:sectPr w:rsidR="009A573F" w:rsidRPr="00052588" w:rsidSect="003117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517" w:right="907" w:bottom="993" w:left="907" w:header="709" w:footer="0" w:gutter="0"/>
          <w:cols w:space="340"/>
          <w:titlePg/>
          <w:docGrid w:linePitch="360"/>
        </w:sect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1D106F" w14:paraId="0767EA21" w14:textId="77777777" w:rsidTr="00191C00">
        <w:tc>
          <w:tcPr>
            <w:tcW w:w="4531" w:type="dxa"/>
          </w:tcPr>
          <w:p w14:paraId="122F5103" w14:textId="77777777" w:rsidR="001D0361" w:rsidRPr="00052588" w:rsidRDefault="001D0361" w:rsidP="001D0361">
            <w:pPr>
              <w:pStyle w:val="Heading1"/>
              <w:outlineLvl w:val="0"/>
              <w:rPr>
                <w:sz w:val="22"/>
              </w:rPr>
            </w:pPr>
            <w:bookmarkStart w:id="19" w:name="_Toc27650247"/>
            <w:r w:rsidRPr="00052588">
              <w:t>Notes</w:t>
            </w:r>
            <w:bookmarkEnd w:id="19"/>
          </w:p>
          <w:p w14:paraId="2EF67F8A" w14:textId="128CF956" w:rsidR="001D106F" w:rsidRDefault="001D106F" w:rsidP="00B475F0"/>
          <w:p w14:paraId="2D46A287" w14:textId="77777777" w:rsidR="00E16E55" w:rsidRPr="00A46AD7" w:rsidRDefault="00E16E55" w:rsidP="00E16E55">
            <w:pPr>
              <w:rPr>
                <w:b/>
              </w:rPr>
            </w:pPr>
            <w:r w:rsidRPr="00A46AD7">
              <w:rPr>
                <w:b/>
              </w:rPr>
              <w:t>Principles for effective consultation</w:t>
            </w:r>
          </w:p>
          <w:p w14:paraId="09D5F27B" w14:textId="77777777" w:rsidR="00E16E55" w:rsidRDefault="00E16E55" w:rsidP="00E16E55">
            <w:r>
              <w:t xml:space="preserve">To the extent that it is practicable (refer Section 3A (1) of the </w:t>
            </w:r>
            <w:r w:rsidRPr="00A46AD7">
              <w:rPr>
                <w:i/>
              </w:rPr>
              <w:t>Fisheries Act 1995</w:t>
            </w:r>
            <w:r>
              <w:t>), the following consultation principles apply to decisions made by the Minister, Secretary (or delegate), which affect the use and conservation of Victoria's fisheries resources:</w:t>
            </w:r>
          </w:p>
          <w:p w14:paraId="6FC41F90" w14:textId="77777777" w:rsidR="00E16E55" w:rsidRDefault="00E16E55" w:rsidP="00E16E55">
            <w:pPr>
              <w:ind w:left="720" w:hanging="720"/>
            </w:pPr>
            <w:r>
              <w:t>(a)</w:t>
            </w:r>
            <w:r>
              <w:tab/>
              <w:t>That the purpose of the consultation and the consultation process are clear, open, timely and transparent;</w:t>
            </w:r>
          </w:p>
          <w:p w14:paraId="51FBD112" w14:textId="77777777" w:rsidR="00E16E55" w:rsidRDefault="00E16E55" w:rsidP="00E16E55">
            <w:pPr>
              <w:ind w:left="720" w:hanging="720"/>
            </w:pPr>
            <w:r>
              <w:t>(b)</w:t>
            </w:r>
            <w:r>
              <w:tab/>
              <w:t>That the level of consultation reflects the likely impact of decisions on persons and fisheries resources;</w:t>
            </w:r>
          </w:p>
          <w:p w14:paraId="44907FD2" w14:textId="77777777" w:rsidR="00E16E55" w:rsidRDefault="00E16E55" w:rsidP="00E16E55">
            <w:pPr>
              <w:ind w:left="720" w:hanging="720"/>
            </w:pPr>
            <w:r>
              <w:t>(c)</w:t>
            </w:r>
            <w:r>
              <w:tab/>
              <w:t>That the consultation process is adequately resourced;</w:t>
            </w:r>
          </w:p>
          <w:p w14:paraId="768484C9" w14:textId="77777777" w:rsidR="00E16E55" w:rsidRDefault="00E16E55" w:rsidP="00E16E55">
            <w:pPr>
              <w:ind w:left="720" w:hanging="720"/>
            </w:pPr>
            <w:r>
              <w:t>(d)</w:t>
            </w:r>
            <w:r>
              <w:tab/>
              <w:t>That the consultation process flexible and designed to take into account the number and type of persons and/or sector groups to be consulted and their ability to contribute to the process; and</w:t>
            </w:r>
          </w:p>
          <w:p w14:paraId="54E709A1" w14:textId="77777777" w:rsidR="00E16E55" w:rsidRDefault="00E16E55" w:rsidP="00E16E55">
            <w:pPr>
              <w:ind w:left="720" w:hanging="720"/>
            </w:pPr>
            <w:r>
              <w:t>(e)</w:t>
            </w:r>
            <w:r>
              <w:tab/>
              <w:t>That the consultation process should involve consideration of representative advice which represents the views and values of the persons represented from appropriate sector groups including:</w:t>
            </w:r>
          </w:p>
          <w:p w14:paraId="3E695402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Commercial wild-catch fishing</w:t>
            </w:r>
          </w:p>
          <w:p w14:paraId="69C8A77E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Recreational fishing</w:t>
            </w:r>
          </w:p>
          <w:p w14:paraId="51CE73A6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Aquaculture operators</w:t>
            </w:r>
          </w:p>
          <w:p w14:paraId="78379034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Aboriginal fishers/communities</w:t>
            </w:r>
          </w:p>
          <w:p w14:paraId="06A4001F" w14:textId="77777777" w:rsidR="00E16E55" w:rsidRDefault="00E16E55" w:rsidP="00E16E55">
            <w:pPr>
              <w:numPr>
                <w:ilvl w:val="0"/>
                <w:numId w:val="3"/>
              </w:numPr>
            </w:pPr>
            <w:r>
              <w:t>Conservation interests (as applicable)</w:t>
            </w:r>
          </w:p>
          <w:p w14:paraId="5CA56805" w14:textId="77777777" w:rsidR="00E16E55" w:rsidRDefault="00E16E55" w:rsidP="00E16E55">
            <w:r>
              <w:t>The consultation process should consider expert advice from the most appropriate provider/s (as applicable) and any expert advice obtained during the consultation process should be made available to persons participating in the consultation process.</w:t>
            </w:r>
          </w:p>
          <w:p w14:paraId="509481F3" w14:textId="77777777" w:rsidR="00E16E55" w:rsidRPr="00A46AD7" w:rsidRDefault="00E16E55" w:rsidP="00E16E55">
            <w:pPr>
              <w:rPr>
                <w:b/>
              </w:rPr>
            </w:pPr>
            <w:r w:rsidRPr="00A46AD7">
              <w:rPr>
                <w:b/>
              </w:rPr>
              <w:t>Statutory consultation under Section 3A (2) of the Fisheries Act 1995</w:t>
            </w:r>
          </w:p>
          <w:p w14:paraId="6C4A23F6" w14:textId="77777777" w:rsidR="00E16E55" w:rsidRDefault="00E16E55" w:rsidP="00E16E55">
            <w:r>
              <w:t xml:space="preserve">Matters that have previously required consultation in accordance with the </w:t>
            </w:r>
            <w:r w:rsidRPr="00A46AD7">
              <w:rPr>
                <w:i/>
              </w:rPr>
              <w:t>Fisheries Act 1995</w:t>
            </w:r>
            <w:r>
              <w:t xml:space="preserve"> (the Act) will continue to require consultation.  These matters are now consolidated in the Act under Section 3A (2); these are:</w:t>
            </w:r>
          </w:p>
          <w:p w14:paraId="735288A7" w14:textId="77777777" w:rsidR="00E16E55" w:rsidRDefault="00E16E55" w:rsidP="00E16E55">
            <w:pPr>
              <w:ind w:left="720" w:hanging="720"/>
            </w:pPr>
            <w:r>
              <w:t>(a)</w:t>
            </w:r>
            <w:r>
              <w:tab/>
              <w:t xml:space="preserve">a decision by the Minister to declare or amend a management plan under Part 3; </w:t>
            </w:r>
          </w:p>
          <w:p w14:paraId="40516B46" w14:textId="77777777" w:rsidR="00E16E55" w:rsidRDefault="00E16E55" w:rsidP="00E16E55">
            <w:pPr>
              <w:ind w:left="720" w:hanging="720"/>
            </w:pPr>
            <w:r>
              <w:t>(b)</w:t>
            </w:r>
            <w:r>
              <w:tab/>
              <w:t>a decision by the Secretary to vary a class of fishery licence under section 54(1)(c);</w:t>
            </w:r>
          </w:p>
          <w:p w14:paraId="0E8D38F8" w14:textId="77777777" w:rsidR="00E16E55" w:rsidRDefault="00E16E55" w:rsidP="00E16E55">
            <w:pPr>
              <w:ind w:left="720" w:hanging="720"/>
            </w:pPr>
            <w:r>
              <w:t>(c)</w:t>
            </w:r>
            <w:r>
              <w:tab/>
              <w:t>a decision under section 54(1)(d) by the Secretary to vary or revoke a condition imposed by the Secretary, or to impose a new condition, on a class of fishery licence;</w:t>
            </w:r>
          </w:p>
          <w:p w14:paraId="4C9D316C" w14:textId="22BA48B5" w:rsidR="001D106F" w:rsidRDefault="001D106F" w:rsidP="00B475F0"/>
        </w:tc>
        <w:tc>
          <w:tcPr>
            <w:tcW w:w="4485" w:type="dxa"/>
          </w:tcPr>
          <w:p w14:paraId="457DD52D" w14:textId="4464E578" w:rsidR="001D0361" w:rsidRDefault="001D0361" w:rsidP="00B475F0"/>
          <w:p w14:paraId="6DC40B60" w14:textId="14F55977" w:rsidR="001D0361" w:rsidRDefault="001D0361" w:rsidP="00B475F0"/>
          <w:p w14:paraId="3ECBBEAC" w14:textId="4845457D" w:rsidR="001D0361" w:rsidRDefault="001D0361" w:rsidP="001D0361">
            <w:pPr>
              <w:ind w:left="720" w:hanging="720"/>
            </w:pPr>
            <w:r>
              <w:t>(d)</w:t>
            </w:r>
            <w:r>
              <w:tab/>
              <w:t>a decision by the Minister to give, revoke or amend a direction on matters relating to the management of fisheries or zones in a fishery under section 61;</w:t>
            </w:r>
          </w:p>
          <w:p w14:paraId="146D313A" w14:textId="77777777" w:rsidR="001D0361" w:rsidRDefault="001D0361" w:rsidP="001D0361">
            <w:pPr>
              <w:ind w:left="720" w:hanging="720"/>
            </w:pPr>
            <w:r>
              <w:t>(e)</w:t>
            </w:r>
            <w:r>
              <w:tab/>
              <w:t>a decision by the Minister to make, revoke or amend a quota order in relation to a fishery under section 64, 64A, 66C or 66D;</w:t>
            </w:r>
          </w:p>
          <w:p w14:paraId="3C062A34" w14:textId="77777777" w:rsidR="001D0361" w:rsidRDefault="001D0361" w:rsidP="001D0361">
            <w:pPr>
              <w:ind w:left="720" w:hanging="720"/>
            </w:pPr>
            <w:r>
              <w:t>(f)</w:t>
            </w:r>
            <w:r>
              <w:tab/>
              <w:t>a decision by the Minister to make, revoke or amend an order declaring sub-zones in a quota fishery under section 64AB or 66E;</w:t>
            </w:r>
          </w:p>
          <w:p w14:paraId="538DE634" w14:textId="77777777" w:rsidR="001D0361" w:rsidRDefault="001D0361" w:rsidP="001D0361">
            <w:pPr>
              <w:ind w:left="720" w:hanging="720"/>
            </w:pPr>
            <w:r>
              <w:t>(g)</w:t>
            </w:r>
            <w:r>
              <w:tab/>
              <w:t>a decision by the Minister to appoint a person as a member of the Commercial Fisheries Licensing Panel under section 132(2)(c) or 132(2)(d);</w:t>
            </w:r>
          </w:p>
          <w:p w14:paraId="05C54684" w14:textId="77777777" w:rsidR="001D0361" w:rsidRDefault="001D0361" w:rsidP="001D0361">
            <w:pPr>
              <w:ind w:left="720" w:hanging="720"/>
            </w:pPr>
            <w:r>
              <w:t>(h)</w:t>
            </w:r>
            <w:r>
              <w:tab/>
              <w:t>a decision by the Minister to nominate a person to be appointed as a member of the Licensing Appeals Tribunal under section 135(2);</w:t>
            </w:r>
          </w:p>
          <w:p w14:paraId="7C2EDF76" w14:textId="77777777" w:rsidR="001D0361" w:rsidRDefault="001D0361" w:rsidP="001D0361">
            <w:pPr>
              <w:ind w:left="720" w:hanging="720"/>
            </w:pPr>
            <w:r>
              <w:t>(i)</w:t>
            </w:r>
            <w:r>
              <w:tab/>
              <w:t>decisions relating to the making and content of regulations in respect of royalties and levies imposed in accordance with sections 150 and 151;</w:t>
            </w:r>
            <w:r>
              <w:tab/>
            </w:r>
          </w:p>
          <w:p w14:paraId="2D3FA3D6" w14:textId="77777777" w:rsidR="001D0361" w:rsidRDefault="001D0361" w:rsidP="001D0361">
            <w:pPr>
              <w:ind w:left="720" w:hanging="720"/>
            </w:pPr>
            <w:r>
              <w:t>(j)</w:t>
            </w:r>
            <w:r>
              <w:tab/>
              <w:t>decisions by the Minister relating to priorities for the disbursement of funds that may be paid out of the Recreational Fishing Licence Trust Account under section 151B;</w:t>
            </w:r>
          </w:p>
          <w:p w14:paraId="7D7D06DB" w14:textId="77777777" w:rsidR="001D0361" w:rsidRDefault="001D0361" w:rsidP="001D0361">
            <w:pPr>
              <w:ind w:left="720" w:hanging="720"/>
            </w:pPr>
            <w:r>
              <w:t>(k)</w:t>
            </w:r>
            <w:r>
              <w:tab/>
              <w:t>a decision by the Minister to make a fisheries notice under section 152(1).</w:t>
            </w:r>
          </w:p>
          <w:p w14:paraId="407CEFA7" w14:textId="77777777" w:rsidR="001D0361" w:rsidRPr="00A46AD7" w:rsidRDefault="001D0361" w:rsidP="001D0361">
            <w:pPr>
              <w:rPr>
                <w:b/>
              </w:rPr>
            </w:pPr>
            <w:r w:rsidRPr="00A46AD7">
              <w:rPr>
                <w:b/>
              </w:rPr>
              <w:t>Statutory consultation NOT required</w:t>
            </w:r>
          </w:p>
          <w:p w14:paraId="1402A952" w14:textId="77777777" w:rsidR="001D0361" w:rsidRDefault="001D0361" w:rsidP="001D0361">
            <w:r>
              <w:t>Statutory consultation is not required in relation to the following decisions—</w:t>
            </w:r>
          </w:p>
          <w:p w14:paraId="4526657D" w14:textId="77777777" w:rsidR="001D0361" w:rsidRDefault="001D0361" w:rsidP="001D0361">
            <w:pPr>
              <w:ind w:left="720" w:hanging="720"/>
            </w:pPr>
            <w:r>
              <w:t>(a)</w:t>
            </w:r>
            <w:r>
              <w:tab/>
              <w:t>decisions which are specific to an individual licence or permit, the holder of a licence or permit or a person acting on behalf of a holder of a licence or permit; and</w:t>
            </w:r>
          </w:p>
          <w:p w14:paraId="6D1036D0" w14:textId="77777777" w:rsidR="001D0361" w:rsidRPr="00F009C1" w:rsidRDefault="001D0361" w:rsidP="001D0361">
            <w:pPr>
              <w:ind w:left="720" w:hanging="720"/>
            </w:pPr>
            <w:r>
              <w:t>(b)</w:t>
            </w:r>
            <w:r>
              <w:tab/>
              <w:t xml:space="preserve">reviewable decisions within the meaning of Section 137 of the </w:t>
            </w:r>
            <w:r w:rsidRPr="00A46AD7">
              <w:rPr>
                <w:i/>
              </w:rPr>
              <w:t>Fisheries Act 1995</w:t>
            </w:r>
            <w:r>
              <w:t>.</w:t>
            </w:r>
          </w:p>
          <w:p w14:paraId="6A92950E" w14:textId="77777777" w:rsidR="001D106F" w:rsidRPr="001D0361" w:rsidRDefault="001D106F" w:rsidP="001D0361"/>
        </w:tc>
      </w:tr>
    </w:tbl>
    <w:p w14:paraId="582A0186" w14:textId="77777777" w:rsidR="00C73831" w:rsidRPr="00B475F0" w:rsidRDefault="00C73831" w:rsidP="00C73831"/>
    <w:sectPr w:rsidR="00C73831" w:rsidRPr="00B4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CCFB" w14:textId="77777777" w:rsidR="00184BF7" w:rsidRDefault="00184BF7" w:rsidP="00D10099">
      <w:pPr>
        <w:spacing w:before="0"/>
      </w:pPr>
      <w:r>
        <w:separator/>
      </w:r>
    </w:p>
  </w:endnote>
  <w:endnote w:type="continuationSeparator" w:id="0">
    <w:p w14:paraId="7F81845A" w14:textId="77777777" w:rsidR="00184BF7" w:rsidRDefault="00184BF7" w:rsidP="00D100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C6B2" w14:textId="77777777" w:rsidR="009A573F" w:rsidRPr="005064C2" w:rsidRDefault="009A573F">
    <w:pPr>
      <w:pStyle w:val="Footer"/>
    </w:pPr>
  </w:p>
  <w:tbl>
    <w:tblPr>
      <w:tblpPr w:leftFromText="181" w:rightFromText="181" w:vertAnchor="page" w:horzAnchor="page" w:tblpYSpec="bottom"/>
      <w:tblOverlap w:val="never"/>
      <w:tblW w:w="0" w:type="auto"/>
      <w:tblBorders>
        <w:insideH w:val="dashSmallGap" w:sz="4" w:space="0" w:color="FFFFFF"/>
        <w:insideV w:val="dashSmallGap" w:sz="4" w:space="0" w:color="000000"/>
      </w:tblBorders>
      <w:tblLook w:val="01E0" w:firstRow="1" w:lastRow="1" w:firstColumn="1" w:lastColumn="1" w:noHBand="0" w:noVBand="0"/>
    </w:tblPr>
    <w:tblGrid>
      <w:gridCol w:w="879"/>
      <w:gridCol w:w="3909"/>
    </w:tblGrid>
    <w:tr w:rsidR="009A573F" w:rsidRPr="00592BD2" w14:paraId="43936986" w14:textId="77777777" w:rsidTr="007F3521">
      <w:trPr>
        <w:trHeight w:val="907"/>
      </w:trPr>
      <w:tc>
        <w:tcPr>
          <w:tcW w:w="879" w:type="dxa"/>
          <w:shd w:val="clear" w:color="auto" w:fill="auto"/>
          <w:tcMar>
            <w:right w:w="164" w:type="dxa"/>
          </w:tcMar>
        </w:tcPr>
        <w:p w14:paraId="1C6C7F38" w14:textId="77777777" w:rsidR="009A573F" w:rsidRPr="00F22696" w:rsidRDefault="009A573F" w:rsidP="007F3521">
          <w:pPr>
            <w:pStyle w:val="FooterNumberEvenWhite"/>
            <w:framePr w:hSpace="0" w:wrap="auto" w:vAnchor="margin" w:hAnchor="text" w:xAlign="left" w:yAlign="inline"/>
            <w:suppressOverlap w:val="0"/>
            <w:rPr>
              <w:rStyle w:val="PageNumber"/>
            </w:rPr>
          </w:pPr>
          <w:r w:rsidRPr="00F22696">
            <w:rPr>
              <w:rStyle w:val="PageNumber"/>
            </w:rPr>
            <w:fldChar w:fldCharType="begin"/>
          </w:r>
          <w:r w:rsidRPr="00F22696">
            <w:rPr>
              <w:rStyle w:val="PageNumber"/>
            </w:rPr>
            <w:instrText xml:space="preserve"> PAGE </w:instrText>
          </w:r>
          <w:r w:rsidRPr="00F2269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 w:rsidRPr="00F22696">
            <w:rPr>
              <w:rStyle w:val="PageNumber"/>
            </w:rPr>
            <w:fldChar w:fldCharType="end"/>
          </w:r>
        </w:p>
      </w:tc>
      <w:tc>
        <w:tcPr>
          <w:tcW w:w="3909" w:type="dxa"/>
          <w:tcMar>
            <w:left w:w="113" w:type="dxa"/>
          </w:tcMar>
        </w:tcPr>
        <w:p w14:paraId="0959580C" w14:textId="77777777" w:rsidR="009A573F" w:rsidRPr="00344EB2" w:rsidRDefault="009A573F" w:rsidP="007F3521">
          <w:pPr>
            <w:pStyle w:val="FooterTitleEven"/>
            <w:framePr w:hSpace="0" w:wrap="auto" w:vAnchor="margin" w:hAnchor="text" w:xAlign="left" w:yAlign="inline"/>
            <w:suppressOverlap w:val="0"/>
          </w:pPr>
        </w:p>
      </w:tc>
    </w:tr>
  </w:tbl>
  <w:p w14:paraId="0944171E" w14:textId="77777777" w:rsidR="009A573F" w:rsidRDefault="009A57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065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81BAB" w14:textId="53BE6F98" w:rsidR="00B0643A" w:rsidRDefault="00B0643A" w:rsidP="00FA1C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E5DA" w14:textId="77777777" w:rsidR="009B2ECE" w:rsidRDefault="009B2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473B" w14:textId="77777777" w:rsidR="00184BF7" w:rsidRDefault="00184BF7" w:rsidP="00D10099">
      <w:pPr>
        <w:spacing w:before="0"/>
      </w:pPr>
      <w:r>
        <w:separator/>
      </w:r>
    </w:p>
  </w:footnote>
  <w:footnote w:type="continuationSeparator" w:id="0">
    <w:p w14:paraId="3B9B9769" w14:textId="77777777" w:rsidR="00184BF7" w:rsidRDefault="00184BF7" w:rsidP="00D100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84C8" w14:textId="014999FC" w:rsidR="009B2ECE" w:rsidRDefault="009B2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087E" w14:textId="7FA500B4" w:rsidR="00ED6ECF" w:rsidRPr="00052588" w:rsidRDefault="009E4482" w:rsidP="009E4482">
    <w:pPr>
      <w:pStyle w:val="Heading1"/>
      <w:tabs>
        <w:tab w:val="left" w:pos="2610"/>
      </w:tabs>
    </w:pPr>
    <w:r>
      <w:tab/>
    </w:r>
  </w:p>
  <w:p w14:paraId="296235CE" w14:textId="03218D21" w:rsidR="00C63B85" w:rsidRDefault="00C63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654C" w14:textId="10C56F40" w:rsidR="009B2ECE" w:rsidRDefault="009B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6E69"/>
    <w:multiLevelType w:val="hybridMultilevel"/>
    <w:tmpl w:val="9FAAC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73F"/>
    <w:multiLevelType w:val="multilevel"/>
    <w:tmpl w:val="3AFA0A4E"/>
    <w:name w:val="DPITable"/>
    <w:lvl w:ilvl="0">
      <w:start w:val="1"/>
      <w:numFmt w:val="none"/>
      <w:pStyle w:val="TableBodyLeftAligned"/>
      <w:suff w:val="nothing"/>
      <w:lvlText w:val=""/>
      <w:lvlJc w:val="left"/>
      <w:pPr>
        <w:ind w:left="85" w:firstLine="0"/>
      </w:pPr>
      <w:rPr>
        <w:rFonts w:hint="default"/>
        <w:spacing w:val="-10"/>
      </w:rPr>
    </w:lvl>
    <w:lvl w:ilvl="1">
      <w:start w:val="1"/>
      <w:numFmt w:val="lowerLetter"/>
      <w:pStyle w:val="TableFootnotesAlpha"/>
      <w:lvlText w:val="(%2)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-709" w:firstLine="709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16" w:hanging="2016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1106"/>
        </w:tabs>
        <w:ind w:left="1106" w:hanging="1106"/>
      </w:pPr>
      <w:rPr>
        <w:rFonts w:hint="default"/>
        <w:position w:val="2"/>
        <w:sz w:val="20"/>
        <w:szCs w:val="20"/>
      </w:rPr>
    </w:lvl>
  </w:abstractNum>
  <w:abstractNum w:abstractNumId="2" w15:restartNumberingAfterBreak="0">
    <w:nsid w:val="18EE0E49"/>
    <w:multiLevelType w:val="hybridMultilevel"/>
    <w:tmpl w:val="6EE0F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3DBC"/>
    <w:multiLevelType w:val="hybridMultilevel"/>
    <w:tmpl w:val="45262696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84C5F4D"/>
    <w:multiLevelType w:val="hybridMultilevel"/>
    <w:tmpl w:val="A4F84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03725"/>
    <w:multiLevelType w:val="hybridMultilevel"/>
    <w:tmpl w:val="AE966436"/>
    <w:lvl w:ilvl="0" w:tplc="0C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6" w15:restartNumberingAfterBreak="0">
    <w:nsid w:val="4A712248"/>
    <w:multiLevelType w:val="hybridMultilevel"/>
    <w:tmpl w:val="BA840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D60EB"/>
    <w:multiLevelType w:val="hybridMultilevel"/>
    <w:tmpl w:val="D2F6B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467E8"/>
    <w:multiLevelType w:val="hybridMultilevel"/>
    <w:tmpl w:val="001A3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99"/>
    <w:rsid w:val="000022B4"/>
    <w:rsid w:val="000041E3"/>
    <w:rsid w:val="000049F2"/>
    <w:rsid w:val="00006221"/>
    <w:rsid w:val="00010D63"/>
    <w:rsid w:val="000119F0"/>
    <w:rsid w:val="0001540F"/>
    <w:rsid w:val="000166A0"/>
    <w:rsid w:val="00024847"/>
    <w:rsid w:val="00055801"/>
    <w:rsid w:val="0006069E"/>
    <w:rsid w:val="00063C51"/>
    <w:rsid w:val="00065325"/>
    <w:rsid w:val="00074B5F"/>
    <w:rsid w:val="0009033F"/>
    <w:rsid w:val="0009130C"/>
    <w:rsid w:val="00096716"/>
    <w:rsid w:val="000B2166"/>
    <w:rsid w:val="000B3A78"/>
    <w:rsid w:val="000C0854"/>
    <w:rsid w:val="000C5885"/>
    <w:rsid w:val="000C6B40"/>
    <w:rsid w:val="000D54C9"/>
    <w:rsid w:val="000F0EA9"/>
    <w:rsid w:val="00103A1B"/>
    <w:rsid w:val="00107220"/>
    <w:rsid w:val="00107C2A"/>
    <w:rsid w:val="00127017"/>
    <w:rsid w:val="001400F2"/>
    <w:rsid w:val="0014513A"/>
    <w:rsid w:val="00150661"/>
    <w:rsid w:val="001528F8"/>
    <w:rsid w:val="0015754D"/>
    <w:rsid w:val="001668A3"/>
    <w:rsid w:val="00166F76"/>
    <w:rsid w:val="0017144E"/>
    <w:rsid w:val="0017507D"/>
    <w:rsid w:val="001815E3"/>
    <w:rsid w:val="00184BF7"/>
    <w:rsid w:val="00191C00"/>
    <w:rsid w:val="00195D7F"/>
    <w:rsid w:val="00195FED"/>
    <w:rsid w:val="001B40DA"/>
    <w:rsid w:val="001C3056"/>
    <w:rsid w:val="001D0361"/>
    <w:rsid w:val="001D106F"/>
    <w:rsid w:val="001D171A"/>
    <w:rsid w:val="001D1C6D"/>
    <w:rsid w:val="001D392F"/>
    <w:rsid w:val="001F0137"/>
    <w:rsid w:val="002057E3"/>
    <w:rsid w:val="00205D47"/>
    <w:rsid w:val="0022005E"/>
    <w:rsid w:val="00225BCA"/>
    <w:rsid w:val="00232855"/>
    <w:rsid w:val="00242803"/>
    <w:rsid w:val="00244F0E"/>
    <w:rsid w:val="002455E2"/>
    <w:rsid w:val="002461A4"/>
    <w:rsid w:val="0026344E"/>
    <w:rsid w:val="002641F2"/>
    <w:rsid w:val="002677D5"/>
    <w:rsid w:val="0028206A"/>
    <w:rsid w:val="002A14C4"/>
    <w:rsid w:val="002A4CA4"/>
    <w:rsid w:val="002C0139"/>
    <w:rsid w:val="002C3EB3"/>
    <w:rsid w:val="002C62A9"/>
    <w:rsid w:val="002D5EDA"/>
    <w:rsid w:val="002F06FB"/>
    <w:rsid w:val="002F3AEC"/>
    <w:rsid w:val="00304F4A"/>
    <w:rsid w:val="003053BD"/>
    <w:rsid w:val="00311748"/>
    <w:rsid w:val="003133E8"/>
    <w:rsid w:val="00330471"/>
    <w:rsid w:val="003537B5"/>
    <w:rsid w:val="00357E80"/>
    <w:rsid w:val="00363608"/>
    <w:rsid w:val="00372375"/>
    <w:rsid w:val="00372C3E"/>
    <w:rsid w:val="00376FB5"/>
    <w:rsid w:val="003819A3"/>
    <w:rsid w:val="0039001D"/>
    <w:rsid w:val="00394975"/>
    <w:rsid w:val="00397A08"/>
    <w:rsid w:val="003A5D12"/>
    <w:rsid w:val="003A6A26"/>
    <w:rsid w:val="003B507C"/>
    <w:rsid w:val="003C04DE"/>
    <w:rsid w:val="003C403E"/>
    <w:rsid w:val="003D5DA0"/>
    <w:rsid w:val="003E026C"/>
    <w:rsid w:val="003F0842"/>
    <w:rsid w:val="00403F70"/>
    <w:rsid w:val="00412C9D"/>
    <w:rsid w:val="00417178"/>
    <w:rsid w:val="00421B3A"/>
    <w:rsid w:val="004223C9"/>
    <w:rsid w:val="004249DA"/>
    <w:rsid w:val="004258F7"/>
    <w:rsid w:val="004329F0"/>
    <w:rsid w:val="00441899"/>
    <w:rsid w:val="004428B1"/>
    <w:rsid w:val="0044483D"/>
    <w:rsid w:val="004635AD"/>
    <w:rsid w:val="00472C8D"/>
    <w:rsid w:val="00495114"/>
    <w:rsid w:val="00497A36"/>
    <w:rsid w:val="004A14A2"/>
    <w:rsid w:val="004B0EE3"/>
    <w:rsid w:val="004B4B83"/>
    <w:rsid w:val="004C268D"/>
    <w:rsid w:val="004C3B9B"/>
    <w:rsid w:val="004C4B2C"/>
    <w:rsid w:val="004C5622"/>
    <w:rsid w:val="004D1937"/>
    <w:rsid w:val="004D762D"/>
    <w:rsid w:val="004E171C"/>
    <w:rsid w:val="004E1E0C"/>
    <w:rsid w:val="004E4A23"/>
    <w:rsid w:val="004E7BE9"/>
    <w:rsid w:val="004F5653"/>
    <w:rsid w:val="005172A6"/>
    <w:rsid w:val="00527476"/>
    <w:rsid w:val="00557111"/>
    <w:rsid w:val="005603B5"/>
    <w:rsid w:val="00561BFF"/>
    <w:rsid w:val="00562103"/>
    <w:rsid w:val="00563EEA"/>
    <w:rsid w:val="005676AD"/>
    <w:rsid w:val="00570C28"/>
    <w:rsid w:val="00573014"/>
    <w:rsid w:val="00593A6D"/>
    <w:rsid w:val="00595EE3"/>
    <w:rsid w:val="005A3100"/>
    <w:rsid w:val="005A3943"/>
    <w:rsid w:val="005B180A"/>
    <w:rsid w:val="005B68A9"/>
    <w:rsid w:val="005C21E2"/>
    <w:rsid w:val="005C7948"/>
    <w:rsid w:val="005D02FB"/>
    <w:rsid w:val="005D5904"/>
    <w:rsid w:val="005E1F8E"/>
    <w:rsid w:val="0061383C"/>
    <w:rsid w:val="00620F0C"/>
    <w:rsid w:val="00624CF5"/>
    <w:rsid w:val="006259A9"/>
    <w:rsid w:val="006520D8"/>
    <w:rsid w:val="00667F56"/>
    <w:rsid w:val="00673E91"/>
    <w:rsid w:val="00681AB6"/>
    <w:rsid w:val="00681ADF"/>
    <w:rsid w:val="00682EC2"/>
    <w:rsid w:val="00690987"/>
    <w:rsid w:val="00691DBA"/>
    <w:rsid w:val="00693EB2"/>
    <w:rsid w:val="006A3F9C"/>
    <w:rsid w:val="006A69B6"/>
    <w:rsid w:val="006B034E"/>
    <w:rsid w:val="006B6C24"/>
    <w:rsid w:val="006D1887"/>
    <w:rsid w:val="006E30B4"/>
    <w:rsid w:val="006F36B7"/>
    <w:rsid w:val="006F45FA"/>
    <w:rsid w:val="006F56D7"/>
    <w:rsid w:val="007067E5"/>
    <w:rsid w:val="0071570A"/>
    <w:rsid w:val="007256AA"/>
    <w:rsid w:val="007263BE"/>
    <w:rsid w:val="007304C4"/>
    <w:rsid w:val="00731328"/>
    <w:rsid w:val="00736CA7"/>
    <w:rsid w:val="007553B6"/>
    <w:rsid w:val="00755C75"/>
    <w:rsid w:val="00755E77"/>
    <w:rsid w:val="00756F86"/>
    <w:rsid w:val="007646AB"/>
    <w:rsid w:val="00765EE2"/>
    <w:rsid w:val="00774605"/>
    <w:rsid w:val="00793217"/>
    <w:rsid w:val="00795169"/>
    <w:rsid w:val="007A2E71"/>
    <w:rsid w:val="007B01C1"/>
    <w:rsid w:val="007C147D"/>
    <w:rsid w:val="007D1222"/>
    <w:rsid w:val="007D35D9"/>
    <w:rsid w:val="007E0D10"/>
    <w:rsid w:val="007E45AE"/>
    <w:rsid w:val="007E5440"/>
    <w:rsid w:val="007F2842"/>
    <w:rsid w:val="00806707"/>
    <w:rsid w:val="008071B9"/>
    <w:rsid w:val="008131DB"/>
    <w:rsid w:val="00813BE7"/>
    <w:rsid w:val="008155B1"/>
    <w:rsid w:val="0081777A"/>
    <w:rsid w:val="00820E41"/>
    <w:rsid w:val="00837D60"/>
    <w:rsid w:val="00844F68"/>
    <w:rsid w:val="00847473"/>
    <w:rsid w:val="00850B2F"/>
    <w:rsid w:val="00855567"/>
    <w:rsid w:val="0085653E"/>
    <w:rsid w:val="008671A1"/>
    <w:rsid w:val="008702A9"/>
    <w:rsid w:val="008953D0"/>
    <w:rsid w:val="00895AC4"/>
    <w:rsid w:val="008B191E"/>
    <w:rsid w:val="008D68F3"/>
    <w:rsid w:val="008F3661"/>
    <w:rsid w:val="008F3CA4"/>
    <w:rsid w:val="00903E6C"/>
    <w:rsid w:val="00905D76"/>
    <w:rsid w:val="009115E2"/>
    <w:rsid w:val="009145B2"/>
    <w:rsid w:val="009241F1"/>
    <w:rsid w:val="0092715D"/>
    <w:rsid w:val="0093320E"/>
    <w:rsid w:val="00935061"/>
    <w:rsid w:val="00943D70"/>
    <w:rsid w:val="0094780B"/>
    <w:rsid w:val="0095257D"/>
    <w:rsid w:val="00974809"/>
    <w:rsid w:val="00980C21"/>
    <w:rsid w:val="009A1BC2"/>
    <w:rsid w:val="009A573F"/>
    <w:rsid w:val="009A6904"/>
    <w:rsid w:val="009B0614"/>
    <w:rsid w:val="009B2ECE"/>
    <w:rsid w:val="009B300B"/>
    <w:rsid w:val="009D16E7"/>
    <w:rsid w:val="009D4C59"/>
    <w:rsid w:val="009E4482"/>
    <w:rsid w:val="009F29B1"/>
    <w:rsid w:val="009F2FD9"/>
    <w:rsid w:val="009F3092"/>
    <w:rsid w:val="009F5EC1"/>
    <w:rsid w:val="00A01B35"/>
    <w:rsid w:val="00A06BD8"/>
    <w:rsid w:val="00A11A57"/>
    <w:rsid w:val="00A125C2"/>
    <w:rsid w:val="00A16311"/>
    <w:rsid w:val="00A3449C"/>
    <w:rsid w:val="00A47AD2"/>
    <w:rsid w:val="00A54573"/>
    <w:rsid w:val="00A64DEA"/>
    <w:rsid w:val="00A83BE4"/>
    <w:rsid w:val="00A91CEA"/>
    <w:rsid w:val="00A9576C"/>
    <w:rsid w:val="00AB669D"/>
    <w:rsid w:val="00AC09A1"/>
    <w:rsid w:val="00AC4049"/>
    <w:rsid w:val="00AE21AA"/>
    <w:rsid w:val="00AE72E7"/>
    <w:rsid w:val="00AF1340"/>
    <w:rsid w:val="00B0343E"/>
    <w:rsid w:val="00B0643A"/>
    <w:rsid w:val="00B10935"/>
    <w:rsid w:val="00B1225D"/>
    <w:rsid w:val="00B144F8"/>
    <w:rsid w:val="00B2384B"/>
    <w:rsid w:val="00B32A98"/>
    <w:rsid w:val="00B35EC6"/>
    <w:rsid w:val="00B403F2"/>
    <w:rsid w:val="00B475F0"/>
    <w:rsid w:val="00B53431"/>
    <w:rsid w:val="00B56B46"/>
    <w:rsid w:val="00B63893"/>
    <w:rsid w:val="00B75D9A"/>
    <w:rsid w:val="00B82B27"/>
    <w:rsid w:val="00B836C6"/>
    <w:rsid w:val="00BA0827"/>
    <w:rsid w:val="00BB0720"/>
    <w:rsid w:val="00BB1AD4"/>
    <w:rsid w:val="00BB252E"/>
    <w:rsid w:val="00BB4B0E"/>
    <w:rsid w:val="00BC26E0"/>
    <w:rsid w:val="00BD26E6"/>
    <w:rsid w:val="00BE17B8"/>
    <w:rsid w:val="00BF2FD7"/>
    <w:rsid w:val="00BF35C1"/>
    <w:rsid w:val="00C11900"/>
    <w:rsid w:val="00C11F93"/>
    <w:rsid w:val="00C32879"/>
    <w:rsid w:val="00C34AF3"/>
    <w:rsid w:val="00C36729"/>
    <w:rsid w:val="00C4208D"/>
    <w:rsid w:val="00C44FD9"/>
    <w:rsid w:val="00C510DD"/>
    <w:rsid w:val="00C63B85"/>
    <w:rsid w:val="00C65AA4"/>
    <w:rsid w:val="00C73831"/>
    <w:rsid w:val="00CC3A5D"/>
    <w:rsid w:val="00CC7E3E"/>
    <w:rsid w:val="00CD35AA"/>
    <w:rsid w:val="00D0449C"/>
    <w:rsid w:val="00D05912"/>
    <w:rsid w:val="00D10099"/>
    <w:rsid w:val="00D109D4"/>
    <w:rsid w:val="00D128D6"/>
    <w:rsid w:val="00D30722"/>
    <w:rsid w:val="00D30926"/>
    <w:rsid w:val="00D42777"/>
    <w:rsid w:val="00D4581C"/>
    <w:rsid w:val="00D51793"/>
    <w:rsid w:val="00DA2C78"/>
    <w:rsid w:val="00DA67F5"/>
    <w:rsid w:val="00DA7B7B"/>
    <w:rsid w:val="00DD1DBA"/>
    <w:rsid w:val="00DD45D6"/>
    <w:rsid w:val="00DE6324"/>
    <w:rsid w:val="00DF5D72"/>
    <w:rsid w:val="00DF6D12"/>
    <w:rsid w:val="00E15C6C"/>
    <w:rsid w:val="00E16E55"/>
    <w:rsid w:val="00E21FFC"/>
    <w:rsid w:val="00E26228"/>
    <w:rsid w:val="00E26394"/>
    <w:rsid w:val="00E42C3D"/>
    <w:rsid w:val="00E43F18"/>
    <w:rsid w:val="00E44E7E"/>
    <w:rsid w:val="00E63241"/>
    <w:rsid w:val="00E66CB5"/>
    <w:rsid w:val="00E706A6"/>
    <w:rsid w:val="00E81A53"/>
    <w:rsid w:val="00E87559"/>
    <w:rsid w:val="00E946B4"/>
    <w:rsid w:val="00E94C12"/>
    <w:rsid w:val="00E97E09"/>
    <w:rsid w:val="00EB010B"/>
    <w:rsid w:val="00EC0BD6"/>
    <w:rsid w:val="00ED6011"/>
    <w:rsid w:val="00ED6ECF"/>
    <w:rsid w:val="00EE258B"/>
    <w:rsid w:val="00EE43D4"/>
    <w:rsid w:val="00F2427A"/>
    <w:rsid w:val="00F316F4"/>
    <w:rsid w:val="00F413FD"/>
    <w:rsid w:val="00F4288D"/>
    <w:rsid w:val="00F43DD0"/>
    <w:rsid w:val="00F476E7"/>
    <w:rsid w:val="00F53DB7"/>
    <w:rsid w:val="00F70460"/>
    <w:rsid w:val="00F71667"/>
    <w:rsid w:val="00F8314C"/>
    <w:rsid w:val="00F85914"/>
    <w:rsid w:val="00F903D7"/>
    <w:rsid w:val="00F94C80"/>
    <w:rsid w:val="00FA0DD8"/>
    <w:rsid w:val="00FA1CBA"/>
    <w:rsid w:val="00FA7B26"/>
    <w:rsid w:val="00FC40FD"/>
    <w:rsid w:val="00FD3449"/>
    <w:rsid w:val="00FD6FBE"/>
    <w:rsid w:val="00FE287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28169"/>
  <w15:chartTrackingRefBased/>
  <w15:docId w15:val="{E431320C-E67E-4B0C-A6C4-26A7654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99"/>
    <w:pPr>
      <w:spacing w:before="120" w:after="0" w:line="240" w:lineRule="auto"/>
    </w:pPr>
    <w:rPr>
      <w:rFonts w:ascii="Arial" w:eastAsia="Cambria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73F"/>
    <w:pPr>
      <w:keepNext/>
      <w:spacing w:before="240" w:after="120"/>
      <w:outlineLvl w:val="0"/>
    </w:pPr>
    <w:rPr>
      <w:b/>
      <w:bCs/>
      <w:caps/>
      <w:color w:val="00ACBA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3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10099"/>
    <w:pPr>
      <w:pBdr>
        <w:top w:val="single" w:sz="48" w:space="1" w:color="00ACBA"/>
      </w:pBdr>
      <w:spacing w:before="240" w:after="60"/>
      <w:outlineLvl w:val="0"/>
    </w:pPr>
    <w:rPr>
      <w:rFonts w:eastAsia="Times New Roman"/>
      <w:b/>
      <w:bCs/>
      <w:color w:val="FFFFFF"/>
      <w:kern w:val="28"/>
      <w:sz w:val="120"/>
      <w:szCs w:val="32"/>
    </w:rPr>
  </w:style>
  <w:style w:type="character" w:customStyle="1" w:styleId="TitleChar">
    <w:name w:val="Title Char"/>
    <w:basedOn w:val="DefaultParagraphFont"/>
    <w:link w:val="Title"/>
    <w:rsid w:val="00D10099"/>
    <w:rPr>
      <w:rFonts w:ascii="Arial" w:eastAsia="Times New Roman" w:hAnsi="Arial" w:cs="Times New Roman"/>
      <w:b/>
      <w:bCs/>
      <w:color w:val="FFFFFF"/>
      <w:kern w:val="28"/>
      <w:sz w:val="120"/>
      <w:szCs w:val="32"/>
    </w:rPr>
  </w:style>
  <w:style w:type="paragraph" w:styleId="TOC1">
    <w:name w:val="toc 1"/>
    <w:basedOn w:val="Normal"/>
    <w:next w:val="Normal"/>
    <w:autoRedefine/>
    <w:uiPriority w:val="39"/>
    <w:rsid w:val="00D10099"/>
    <w:pPr>
      <w:tabs>
        <w:tab w:val="right" w:leader="dot" w:pos="6333"/>
      </w:tabs>
    </w:pPr>
    <w:rPr>
      <w:rFonts w:ascii="Arial Bold" w:eastAsia="Times New Roman" w:hAnsi="Arial Bold"/>
      <w:b/>
      <w:caps/>
      <w:color w:val="004876"/>
      <w:szCs w:val="20"/>
      <w:u w:val="single" w:color="004876"/>
    </w:rPr>
  </w:style>
  <w:style w:type="paragraph" w:customStyle="1" w:styleId="Sectionheading">
    <w:name w:val="Section heading"/>
    <w:qFormat/>
    <w:rsid w:val="00D10099"/>
    <w:pPr>
      <w:pBdr>
        <w:top w:val="single" w:sz="48" w:space="1" w:color="00ACBA"/>
      </w:pBdr>
      <w:spacing w:before="360" w:after="240" w:line="240" w:lineRule="auto"/>
      <w:ind w:right="3508"/>
    </w:pPr>
    <w:rPr>
      <w:rFonts w:ascii="Arial Bold" w:eastAsia="Cambria" w:hAnsi="Arial Bold" w:cs="Times New Roman"/>
      <w:b/>
      <w:bCs/>
      <w:color w:val="004876"/>
      <w:kern w:val="32"/>
      <w:sz w:val="56"/>
      <w:szCs w:val="32"/>
    </w:rPr>
  </w:style>
  <w:style w:type="paragraph" w:styleId="TOC2">
    <w:name w:val="toc 2"/>
    <w:basedOn w:val="Normal"/>
    <w:next w:val="Normal"/>
    <w:autoRedefine/>
    <w:uiPriority w:val="39"/>
    <w:rsid w:val="00D10099"/>
    <w:pPr>
      <w:tabs>
        <w:tab w:val="right" w:leader="dot" w:pos="6333"/>
      </w:tabs>
      <w:ind w:left="180"/>
    </w:pPr>
    <w:rPr>
      <w:rFonts w:ascii="Arial Bold" w:hAnsi="Arial Bold"/>
      <w:b/>
      <w:noProof/>
      <w:color w:val="004876"/>
      <w:u w:val="single" w:color="004876"/>
    </w:rPr>
  </w:style>
  <w:style w:type="character" w:customStyle="1" w:styleId="Heading1Char">
    <w:name w:val="Heading 1 Char"/>
    <w:basedOn w:val="DefaultParagraphFont"/>
    <w:link w:val="Heading1"/>
    <w:uiPriority w:val="9"/>
    <w:rsid w:val="009A573F"/>
    <w:rPr>
      <w:rFonts w:ascii="Arial" w:eastAsia="Cambria" w:hAnsi="Arial" w:cs="Times New Roman"/>
      <w:b/>
      <w:bCs/>
      <w:caps/>
      <w:color w:val="00ACBA"/>
      <w:kern w:val="32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9A5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3F"/>
    <w:rPr>
      <w:rFonts w:ascii="Arial" w:eastAsia="Cambria" w:hAnsi="Arial" w:cs="Times New Roman"/>
      <w:sz w:val="18"/>
      <w:szCs w:val="24"/>
    </w:rPr>
  </w:style>
  <w:style w:type="character" w:styleId="PageNumber">
    <w:name w:val="page number"/>
    <w:basedOn w:val="DefaultParagraphFont"/>
    <w:rsid w:val="009A573F"/>
  </w:style>
  <w:style w:type="paragraph" w:customStyle="1" w:styleId="FooterTitleEven">
    <w:name w:val="Footer Title Even"/>
    <w:basedOn w:val="Normal"/>
    <w:rsid w:val="009A573F"/>
    <w:pPr>
      <w:framePr w:hSpace="181" w:wrap="auto" w:vAnchor="page" w:hAnchor="page" w:xAlign="right" w:yAlign="bottom"/>
      <w:tabs>
        <w:tab w:val="center" w:pos="4153"/>
        <w:tab w:val="right" w:pos="8306"/>
      </w:tabs>
      <w:spacing w:before="220"/>
      <w:suppressOverlap/>
    </w:pPr>
    <w:rPr>
      <w:rFonts w:eastAsia="Times New Roman" w:cs="Mangal"/>
      <w:sz w:val="13"/>
      <w:szCs w:val="12"/>
      <w:lang w:eastAsia="en-AU"/>
    </w:rPr>
  </w:style>
  <w:style w:type="paragraph" w:customStyle="1" w:styleId="FooterNumberEvenWhite">
    <w:name w:val="Footer Number Even White"/>
    <w:basedOn w:val="Normal"/>
    <w:rsid w:val="009A573F"/>
    <w:pPr>
      <w:framePr w:hSpace="181" w:wrap="around" w:vAnchor="page" w:hAnchor="page" w:xAlign="right" w:yAlign="bottom"/>
      <w:tabs>
        <w:tab w:val="center" w:pos="4153"/>
        <w:tab w:val="right" w:pos="8306"/>
      </w:tabs>
      <w:spacing w:before="150"/>
      <w:suppressOverlap/>
      <w:jc w:val="right"/>
    </w:pPr>
    <w:rPr>
      <w:rFonts w:eastAsia="Times New Roman" w:cs="Mangal"/>
      <w:color w:val="FFFFFF"/>
      <w:sz w:val="20"/>
      <w:lang w:eastAsia="en-AU"/>
    </w:rPr>
  </w:style>
  <w:style w:type="paragraph" w:customStyle="1" w:styleId="TableBodyLeftAligned">
    <w:name w:val="Table Body Left Aligned"/>
    <w:rsid w:val="009A573F"/>
    <w:pPr>
      <w:numPr>
        <w:numId w:val="1"/>
      </w:numPr>
      <w:spacing w:after="0" w:line="228" w:lineRule="auto"/>
      <w:ind w:right="85"/>
    </w:pPr>
    <w:rPr>
      <w:rFonts w:ascii="Arial" w:eastAsia="Times New Roman" w:hAnsi="Arial" w:cs="Times New Roman"/>
      <w:sz w:val="18"/>
      <w:szCs w:val="16"/>
      <w:lang w:eastAsia="en-AU"/>
    </w:rPr>
  </w:style>
  <w:style w:type="paragraph" w:customStyle="1" w:styleId="TableFootnotesAlpha">
    <w:name w:val="Table Footnotes (Alpha)"/>
    <w:basedOn w:val="Normal"/>
    <w:rsid w:val="009A573F"/>
    <w:pPr>
      <w:numPr>
        <w:ilvl w:val="1"/>
        <w:numId w:val="1"/>
      </w:numPr>
      <w:spacing w:before="60" w:after="60" w:line="247" w:lineRule="auto"/>
    </w:pPr>
    <w:rPr>
      <w:rFonts w:eastAsia="Times New Roman" w:cs="Arial"/>
      <w:sz w:val="16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6B4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6B40"/>
    <w:rPr>
      <w:rFonts w:ascii="Arial" w:eastAsia="Cambria" w:hAnsi="Arial" w:cs="Times New Roman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328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D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1A1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A1"/>
    <w:rPr>
      <w:rFonts w:ascii="Segoe UI" w:eastAsia="Cambr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E81A53"/>
    <w:pPr>
      <w:spacing w:before="0"/>
      <w:ind w:left="720"/>
    </w:pPr>
    <w:rPr>
      <w:rFonts w:ascii="Times New Roman" w:eastAsia="Times New Roman" w:hAnsi="Times New Roman"/>
      <w:szCs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1A53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Default">
    <w:name w:val="Default"/>
    <w:rsid w:val="00060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04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460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5" ma:contentTypeDescription="DEDJTR Document" ma:contentTypeScope="" ma:versionID="ebe684172b61d72109a82303f1c05e4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dfc44c79d2b3f0822c3230d030d61bfc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3C4011DD-6EF2-4213-B65D-9638707A7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6D4DE-E735-406C-888D-2570D2ED2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03F20-C1AA-4543-A853-8F23454B8266}">
  <ds:schemaRefs>
    <ds:schemaRef ds:uri="http://purl.org/dc/terms/"/>
    <ds:schemaRef ds:uri="http://schemas.openxmlformats.org/package/2006/metadata/core-properties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567383-1e26-4692-bdad-5f5be69e1590"/>
    <ds:schemaRef ds:uri="7c172610-25bb-46a1-b16f-66bb4eaf82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1741</Words>
  <Characters>9926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Fisheries (Gummy and School Shark) Notice 2020</vt:lpstr>
      <vt:lpstr>Preamble</vt:lpstr>
      <vt:lpstr>    Closing date for submissions  </vt:lpstr>
      <vt:lpstr/>
      <vt:lpstr>Flow chart of consultation</vt:lpstr>
      <vt:lpstr>FLOW CHART OF CONSULTATIO/N</vt:lpstr>
      <vt:lpstr>CONSULTATION PLAN</vt:lpstr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 Grant (VFA)</dc:creator>
  <cp:keywords/>
  <dc:description/>
  <cp:lastModifiedBy>Joanne E Klemke (VFA)</cp:lastModifiedBy>
  <cp:revision>2</cp:revision>
  <cp:lastPrinted>2019-12-19T01:39:00Z</cp:lastPrinted>
  <dcterms:created xsi:type="dcterms:W3CDTF">2020-09-15T08:53:00Z</dcterms:created>
  <dcterms:modified xsi:type="dcterms:W3CDTF">2020-09-15T08:53:00Z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DEDJTRGroup">
    <vt:lpwstr>1;#Victorian Fisheries Authority|03cedbca-4e15-4e6c-98c1-001cb1a1da76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