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F3FD0" w14:textId="50AFF29C" w:rsidR="00B34420" w:rsidRDefault="00B34420" w:rsidP="0092692C">
      <w:r>
        <w:rPr>
          <w:noProof/>
          <w:lang w:val="en-US"/>
        </w:rPr>
        <w:drawing>
          <wp:anchor distT="0" distB="0" distL="114300" distR="114300" simplePos="0" relativeHeight="251658241" behindDoc="1" locked="0" layoutInCell="1" allowOverlap="1" wp14:anchorId="1BC7B054" wp14:editId="221DFCF9">
            <wp:simplePos x="0" y="0"/>
            <wp:positionH relativeFrom="page">
              <wp:posOffset>0</wp:posOffset>
            </wp:positionH>
            <wp:positionV relativeFrom="page">
              <wp:posOffset>-42545</wp:posOffset>
            </wp:positionV>
            <wp:extent cx="7778115" cy="10744200"/>
            <wp:effectExtent l="19050" t="0" r="0" b="0"/>
            <wp:wrapNone/>
            <wp:docPr id="18" name="Picture 7" descr="01134 -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134 - Cover2.jpg"/>
                    <pic:cNvPicPr>
                      <a:picLocks noChangeAspect="1" noChangeArrowheads="1"/>
                    </pic:cNvPicPr>
                  </pic:nvPicPr>
                  <pic:blipFill>
                    <a:blip r:embed="rId11" cstate="print"/>
                    <a:srcRect/>
                    <a:stretch>
                      <a:fillRect/>
                    </a:stretch>
                  </pic:blipFill>
                  <pic:spPr bwMode="auto">
                    <a:xfrm>
                      <a:off x="0" y="0"/>
                      <a:ext cx="7778115" cy="10744200"/>
                    </a:xfrm>
                    <a:prstGeom prst="rect">
                      <a:avLst/>
                    </a:prstGeom>
                    <a:noFill/>
                    <a:ln w="9525">
                      <a:noFill/>
                      <a:miter lim="800000"/>
                      <a:headEnd/>
                      <a:tailEnd/>
                    </a:ln>
                  </pic:spPr>
                </pic:pic>
              </a:graphicData>
            </a:graphic>
          </wp:anchor>
        </w:drawing>
      </w:r>
      <w:r w:rsidR="00962A03">
        <w:t xml:space="preserve"> </w:t>
      </w:r>
    </w:p>
    <w:p w14:paraId="4C0FCA5B" w14:textId="77777777" w:rsidR="00B34420" w:rsidRDefault="00B34420" w:rsidP="0092692C"/>
    <w:p w14:paraId="14D2DCF4" w14:textId="77777777" w:rsidR="00B34420" w:rsidRDefault="00B34420" w:rsidP="0092692C"/>
    <w:p w14:paraId="78733296" w14:textId="77777777" w:rsidR="00B34420" w:rsidRDefault="00B34420" w:rsidP="0092692C"/>
    <w:p w14:paraId="76689C4D" w14:textId="77777777" w:rsidR="00B34420" w:rsidRDefault="00B34420" w:rsidP="0092692C"/>
    <w:p w14:paraId="264120E6" w14:textId="66BE8DF6" w:rsidR="00B34420" w:rsidRDefault="00B34420" w:rsidP="0092692C"/>
    <w:p w14:paraId="2B97D2D3" w14:textId="237F8CF9" w:rsidR="00B34420" w:rsidRDefault="00B34420" w:rsidP="0092692C"/>
    <w:p w14:paraId="7A7FB620" w14:textId="10C91D7C" w:rsidR="00B34420" w:rsidRDefault="00B34420" w:rsidP="0092692C"/>
    <w:p w14:paraId="107AE2CA" w14:textId="07B4F61B" w:rsidR="00B34420" w:rsidRDefault="00B34420" w:rsidP="0092692C"/>
    <w:p w14:paraId="555B07EB" w14:textId="6EECDD4E" w:rsidR="00B34420" w:rsidRDefault="00B34420" w:rsidP="0092692C"/>
    <w:p w14:paraId="204BA67A" w14:textId="5DFFFE9D" w:rsidR="00B34420" w:rsidRDefault="00B34420" w:rsidP="0092692C"/>
    <w:p w14:paraId="113E6393" w14:textId="3B3D68C5" w:rsidR="00B34420" w:rsidRDefault="00B34420" w:rsidP="0092692C"/>
    <w:p w14:paraId="217EBC4C" w14:textId="404FB69C" w:rsidR="00B34420" w:rsidRDefault="00B34420" w:rsidP="0092692C"/>
    <w:p w14:paraId="160A6470" w14:textId="489918DD" w:rsidR="00B34420" w:rsidRDefault="009937CD" w:rsidP="009937CD">
      <w:pPr>
        <w:tabs>
          <w:tab w:val="left" w:pos="2376"/>
        </w:tabs>
      </w:pPr>
      <w:r>
        <w:tab/>
      </w:r>
    </w:p>
    <w:p w14:paraId="58A3FD4A" w14:textId="270E2757" w:rsidR="004821FF" w:rsidRDefault="00431D1C" w:rsidP="00D11ECE">
      <w:pPr>
        <w:pStyle w:val="About"/>
        <w:pBdr>
          <w:top w:val="none" w:sz="0" w:space="0" w:color="auto"/>
          <w:left w:val="none" w:sz="0" w:space="0" w:color="auto"/>
          <w:bottom w:val="none" w:sz="0" w:space="0" w:color="auto"/>
          <w:right w:val="none" w:sz="0" w:space="0" w:color="auto"/>
        </w:pBdr>
      </w:pPr>
      <w:r>
        <w:rPr>
          <w:noProof/>
        </w:rPr>
        <mc:AlternateContent>
          <mc:Choice Requires="wps">
            <w:drawing>
              <wp:anchor distT="0" distB="0" distL="114300" distR="114300" simplePos="0" relativeHeight="251658240" behindDoc="0" locked="0" layoutInCell="1" allowOverlap="1" wp14:anchorId="2D271AE4" wp14:editId="41B3BAB2">
                <wp:simplePos x="0" y="0"/>
                <wp:positionH relativeFrom="column">
                  <wp:posOffset>967740</wp:posOffset>
                </wp:positionH>
                <wp:positionV relativeFrom="paragraph">
                  <wp:posOffset>805180</wp:posOffset>
                </wp:positionV>
                <wp:extent cx="5158740" cy="3238500"/>
                <wp:effectExtent l="0" t="0" r="0" b="0"/>
                <wp:wrapTight wrapText="bothSides">
                  <wp:wrapPolygon edited="0">
                    <wp:start x="160" y="381"/>
                    <wp:lineTo x="160" y="21219"/>
                    <wp:lineTo x="21297" y="21219"/>
                    <wp:lineTo x="21297" y="381"/>
                    <wp:lineTo x="160" y="381"/>
                  </wp:wrapPolygon>
                </wp:wrapTight>
                <wp:docPr id="1593708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238500"/>
                        </a:xfrm>
                        <a:prstGeom prst="rect">
                          <a:avLst/>
                        </a:prstGeom>
                        <a:noFill/>
                        <a:ln>
                          <a:noFill/>
                        </a:ln>
                      </wps:spPr>
                      <wps:txbx>
                        <w:txbxContent>
                          <w:p w14:paraId="57817D21" w14:textId="4F037817" w:rsidR="0079261C" w:rsidRPr="009937CD" w:rsidRDefault="0079261C" w:rsidP="0092692C">
                            <w:pPr>
                              <w:pStyle w:val="MRAGDocHeading"/>
                              <w:rPr>
                                <w:rFonts w:cs="Arial"/>
                                <w:caps/>
                                <w:sz w:val="40"/>
                                <w:szCs w:val="40"/>
                              </w:rPr>
                            </w:pPr>
                            <w:r w:rsidRPr="009937CD">
                              <w:rPr>
                                <w:rFonts w:cs="Arial"/>
                                <w:caps/>
                                <w:sz w:val="40"/>
                                <w:szCs w:val="40"/>
                              </w:rPr>
                              <w:t>Stock assessment FOR the Eastern zone of the victorian abalone fishery</w:t>
                            </w:r>
                          </w:p>
                          <w:p w14:paraId="4E34D89B" w14:textId="280852EE" w:rsidR="0079261C" w:rsidRPr="00767301" w:rsidRDefault="0079261C" w:rsidP="0092692C">
                            <w:pPr>
                              <w:pStyle w:val="MRAGDocHeading"/>
                              <w:rPr>
                                <w:rFonts w:cs="Arial"/>
                                <w:caps/>
                                <w:sz w:val="40"/>
                                <w:szCs w:val="40"/>
                              </w:rPr>
                            </w:pPr>
                            <w:r w:rsidRPr="00767301">
                              <w:rPr>
                                <w:rFonts w:cs="Arial"/>
                                <w:caps/>
                                <w:sz w:val="40"/>
                                <w:szCs w:val="40"/>
                              </w:rPr>
                              <w:t>20</w:t>
                            </w:r>
                            <w:r w:rsidR="00C70DC4">
                              <w:rPr>
                                <w:rFonts w:cs="Arial"/>
                                <w:caps/>
                                <w:sz w:val="40"/>
                                <w:szCs w:val="40"/>
                              </w:rPr>
                              <w:t>2</w:t>
                            </w:r>
                            <w:r w:rsidR="00C439AD">
                              <w:rPr>
                                <w:rFonts w:cs="Arial"/>
                                <w:caps/>
                                <w:sz w:val="40"/>
                                <w:szCs w:val="40"/>
                              </w:rPr>
                              <w:t>3</w:t>
                            </w:r>
                            <w:r w:rsidRPr="00767301">
                              <w:rPr>
                                <w:rFonts w:cs="Arial"/>
                                <w:caps/>
                                <w:sz w:val="40"/>
                                <w:szCs w:val="40"/>
                              </w:rPr>
                              <w:t>/202</w:t>
                            </w:r>
                            <w:r w:rsidR="00C439AD">
                              <w:rPr>
                                <w:rFonts w:cs="Arial"/>
                                <w:caps/>
                                <w:sz w:val="40"/>
                                <w:szCs w:val="40"/>
                              </w:rPr>
                              <w:t>4</w:t>
                            </w:r>
                          </w:p>
                          <w:p w14:paraId="344CA527" w14:textId="184A8E08" w:rsidR="0079261C" w:rsidRDefault="0079261C" w:rsidP="0092692C">
                            <w:pPr>
                              <w:pStyle w:val="MRAGDocCoverOther"/>
                            </w:pPr>
                          </w:p>
                          <w:p w14:paraId="7F378BF7" w14:textId="20A19F98" w:rsidR="0079261C" w:rsidRDefault="0079261C" w:rsidP="0092692C">
                            <w:pPr>
                              <w:pStyle w:val="MRAGDocCoverOther"/>
                            </w:pPr>
                          </w:p>
                          <w:p w14:paraId="73743C7E" w14:textId="4D41A968" w:rsidR="0079261C" w:rsidRDefault="0079261C" w:rsidP="0092692C">
                            <w:pPr>
                              <w:pStyle w:val="MRAGDocCoverOther"/>
                            </w:pPr>
                          </w:p>
                          <w:p w14:paraId="6B0CC987" w14:textId="77777777" w:rsidR="0079261C" w:rsidRDefault="0079261C" w:rsidP="0092692C">
                            <w:pPr>
                              <w:pStyle w:val="MRAGDocCoverOther"/>
                            </w:pPr>
                          </w:p>
                          <w:p w14:paraId="769048EC" w14:textId="7A2BD7F1" w:rsidR="0079261C" w:rsidRDefault="0079261C" w:rsidP="0092692C">
                            <w:pPr>
                              <w:pStyle w:val="MRAGDocCoverOther"/>
                            </w:pPr>
                            <w:r>
                              <w:t>C. Dixon</w:t>
                            </w:r>
                            <w:r w:rsidR="0042593C">
                              <w:t xml:space="preserve"> and</w:t>
                            </w:r>
                            <w:r>
                              <w:t xml:space="preserve"> </w:t>
                            </w:r>
                            <w:r w:rsidR="00BC4ED4">
                              <w:t>J. Lowe</w:t>
                            </w:r>
                          </w:p>
                          <w:p w14:paraId="2EA20520" w14:textId="77777777" w:rsidR="0079261C" w:rsidRDefault="0079261C" w:rsidP="0092692C">
                            <w:pPr>
                              <w:pStyle w:val="MRAGDocCoverOther"/>
                            </w:pPr>
                          </w:p>
                          <w:p w14:paraId="64FBED4C" w14:textId="6CE799BC" w:rsidR="0079261C" w:rsidRDefault="0042593C" w:rsidP="0092692C">
                            <w:pPr>
                              <w:pStyle w:val="MRAGDocCoverOther"/>
                            </w:pPr>
                            <w:r>
                              <w:t>Nov</w:t>
                            </w:r>
                            <w:r w:rsidR="00BC4ED4">
                              <w:t>em</w:t>
                            </w:r>
                            <w:r w:rsidR="0079261C">
                              <w:t>ber 202</w:t>
                            </w:r>
                            <w:r w:rsidR="00C439AD">
                              <w:t>4</w:t>
                            </w:r>
                          </w:p>
                          <w:p w14:paraId="2FCB5ADF" w14:textId="77777777" w:rsidR="0079261C" w:rsidRDefault="0079261C" w:rsidP="0092692C">
                            <w:pPr>
                              <w:pStyle w:val="MRAGDocCoverOther"/>
                            </w:pPr>
                          </w:p>
                          <w:p w14:paraId="2769E3D2" w14:textId="39323CD1" w:rsidR="0079261C" w:rsidRPr="005D3BF3" w:rsidRDefault="0079261C" w:rsidP="0092692C">
                            <w:pPr>
                              <w:pStyle w:val="MRAGDocCoverOth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71AE4" id="_x0000_t202" coordsize="21600,21600" o:spt="202" path="m,l,21600r21600,l21600,xe">
                <v:stroke joinstyle="miter"/>
                <v:path gradientshapeok="t" o:connecttype="rect"/>
              </v:shapetype>
              <v:shape id="Text Box 1" o:spid="_x0000_s1026" type="#_x0000_t202" style="position:absolute;margin-left:76.2pt;margin-top:63.4pt;width:406.2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" filled="f" stroked="f">
                <v:textbox inset=",7.2pt,,7.2pt">
                  <w:txbxContent>
                    <w:p w14:paraId="57817D21" w14:textId="4F037817" w:rsidR="0079261C" w:rsidRPr="009937CD" w:rsidRDefault="0079261C" w:rsidP="0092692C">
                      <w:pPr>
                        <w:pStyle w:val="MRAGDocHeading"/>
                        <w:rPr>
                          <w:rFonts w:cs="Arial"/>
                          <w:caps/>
                          <w:sz w:val="40"/>
                          <w:szCs w:val="40"/>
                        </w:rPr>
                      </w:pPr>
                      <w:r w:rsidRPr="009937CD">
                        <w:rPr>
                          <w:rFonts w:cs="Arial"/>
                          <w:caps/>
                          <w:sz w:val="40"/>
                          <w:szCs w:val="40"/>
                        </w:rPr>
                        <w:t>Stock assessment FOR the Eastern zone of the victorian abalone fishery</w:t>
                      </w:r>
                    </w:p>
                    <w:p w14:paraId="4E34D89B" w14:textId="280852EE" w:rsidR="0079261C" w:rsidRPr="00767301" w:rsidRDefault="0079261C" w:rsidP="0092692C">
                      <w:pPr>
                        <w:pStyle w:val="MRAGDocHeading"/>
                        <w:rPr>
                          <w:rFonts w:cs="Arial"/>
                          <w:caps/>
                          <w:sz w:val="40"/>
                          <w:szCs w:val="40"/>
                        </w:rPr>
                      </w:pPr>
                      <w:r w:rsidRPr="00767301">
                        <w:rPr>
                          <w:rFonts w:cs="Arial"/>
                          <w:caps/>
                          <w:sz w:val="40"/>
                          <w:szCs w:val="40"/>
                        </w:rPr>
                        <w:t>20</w:t>
                      </w:r>
                      <w:r w:rsidR="00C70DC4">
                        <w:rPr>
                          <w:rFonts w:cs="Arial"/>
                          <w:caps/>
                          <w:sz w:val="40"/>
                          <w:szCs w:val="40"/>
                        </w:rPr>
                        <w:t>2</w:t>
                      </w:r>
                      <w:r w:rsidR="00C439AD">
                        <w:rPr>
                          <w:rFonts w:cs="Arial"/>
                          <w:caps/>
                          <w:sz w:val="40"/>
                          <w:szCs w:val="40"/>
                        </w:rPr>
                        <w:t>3</w:t>
                      </w:r>
                      <w:r w:rsidRPr="00767301">
                        <w:rPr>
                          <w:rFonts w:cs="Arial"/>
                          <w:caps/>
                          <w:sz w:val="40"/>
                          <w:szCs w:val="40"/>
                        </w:rPr>
                        <w:t>/202</w:t>
                      </w:r>
                      <w:r w:rsidR="00C439AD">
                        <w:rPr>
                          <w:rFonts w:cs="Arial"/>
                          <w:caps/>
                          <w:sz w:val="40"/>
                          <w:szCs w:val="40"/>
                        </w:rPr>
                        <w:t>4</w:t>
                      </w:r>
                    </w:p>
                    <w:p w14:paraId="344CA527" w14:textId="184A8E08" w:rsidR="0079261C" w:rsidRDefault="0079261C" w:rsidP="0092692C">
                      <w:pPr>
                        <w:pStyle w:val="MRAGDocCoverOther"/>
                      </w:pPr>
                    </w:p>
                    <w:p w14:paraId="7F378BF7" w14:textId="20A19F98" w:rsidR="0079261C" w:rsidRDefault="0079261C" w:rsidP="0092692C">
                      <w:pPr>
                        <w:pStyle w:val="MRAGDocCoverOther"/>
                      </w:pPr>
                    </w:p>
                    <w:p w14:paraId="73743C7E" w14:textId="4D41A968" w:rsidR="0079261C" w:rsidRDefault="0079261C" w:rsidP="0092692C">
                      <w:pPr>
                        <w:pStyle w:val="MRAGDocCoverOther"/>
                      </w:pPr>
                    </w:p>
                    <w:p w14:paraId="6B0CC987" w14:textId="77777777" w:rsidR="0079261C" w:rsidRDefault="0079261C" w:rsidP="0092692C">
                      <w:pPr>
                        <w:pStyle w:val="MRAGDocCoverOther"/>
                      </w:pPr>
                    </w:p>
                    <w:p w14:paraId="769048EC" w14:textId="7A2BD7F1" w:rsidR="0079261C" w:rsidRDefault="0079261C" w:rsidP="0092692C">
                      <w:pPr>
                        <w:pStyle w:val="MRAGDocCoverOther"/>
                      </w:pPr>
                      <w:r>
                        <w:t>C. Dixon</w:t>
                      </w:r>
                      <w:r w:rsidR="0042593C">
                        <w:t xml:space="preserve"> and</w:t>
                      </w:r>
                      <w:r>
                        <w:t xml:space="preserve"> </w:t>
                      </w:r>
                      <w:r w:rsidR="00BC4ED4">
                        <w:t>J. Lowe</w:t>
                      </w:r>
                    </w:p>
                    <w:p w14:paraId="2EA20520" w14:textId="77777777" w:rsidR="0079261C" w:rsidRDefault="0079261C" w:rsidP="0092692C">
                      <w:pPr>
                        <w:pStyle w:val="MRAGDocCoverOther"/>
                      </w:pPr>
                    </w:p>
                    <w:p w14:paraId="64FBED4C" w14:textId="6CE799BC" w:rsidR="0079261C" w:rsidRDefault="0042593C" w:rsidP="0092692C">
                      <w:pPr>
                        <w:pStyle w:val="MRAGDocCoverOther"/>
                      </w:pPr>
                      <w:r>
                        <w:t>Nov</w:t>
                      </w:r>
                      <w:r w:rsidR="00BC4ED4">
                        <w:t>em</w:t>
                      </w:r>
                      <w:r w:rsidR="0079261C">
                        <w:t>ber 202</w:t>
                      </w:r>
                      <w:r w:rsidR="00C439AD">
                        <w:t>4</w:t>
                      </w:r>
                    </w:p>
                    <w:p w14:paraId="2FCB5ADF" w14:textId="77777777" w:rsidR="0079261C" w:rsidRDefault="0079261C" w:rsidP="0092692C">
                      <w:pPr>
                        <w:pStyle w:val="MRAGDocCoverOther"/>
                      </w:pPr>
                    </w:p>
                    <w:p w14:paraId="2769E3D2" w14:textId="39323CD1" w:rsidR="0079261C" w:rsidRPr="005D3BF3" w:rsidRDefault="0079261C" w:rsidP="0092692C">
                      <w:pPr>
                        <w:pStyle w:val="MRAGDocCoverOther"/>
                      </w:pPr>
                    </w:p>
                  </w:txbxContent>
                </v:textbox>
                <w10:wrap type="tight"/>
              </v:shape>
            </w:pict>
          </mc:Fallback>
        </mc:AlternateContent>
      </w:r>
      <w:r w:rsidR="00B34420">
        <w:rPr>
          <w:sz w:val="32"/>
        </w:rPr>
        <w:br w:type="page"/>
      </w:r>
    </w:p>
    <w:p w14:paraId="2D5D1F71" w14:textId="77777777" w:rsidR="00D11ECE" w:rsidRPr="007C2B00" w:rsidRDefault="00D11ECE" w:rsidP="00D11ECE">
      <w:pPr>
        <w:pStyle w:val="About"/>
        <w:rPr>
          <w:color w:val="auto"/>
          <w:sz w:val="24"/>
          <w:szCs w:val="24"/>
        </w:rPr>
      </w:pPr>
      <w:r w:rsidRPr="007C2B00">
        <w:rPr>
          <w:color w:val="2F5496" w:themeColor="accent5" w:themeShade="BF"/>
          <w:sz w:val="24"/>
          <w:szCs w:val="24"/>
        </w:rPr>
        <w:lastRenderedPageBreak/>
        <w:t xml:space="preserve">About MRAG </w:t>
      </w:r>
      <w:r w:rsidRPr="007C2B00">
        <w:rPr>
          <w:color w:val="2F5496"/>
          <w:sz w:val="24"/>
          <w:szCs w:val="24"/>
        </w:rPr>
        <w:t>Asia</w:t>
      </w:r>
      <w:r w:rsidRPr="007C2B00">
        <w:rPr>
          <w:color w:val="2F5496" w:themeColor="accent5" w:themeShade="BF"/>
          <w:sz w:val="24"/>
          <w:szCs w:val="24"/>
        </w:rPr>
        <w:t xml:space="preserve"> Pacific</w:t>
      </w:r>
    </w:p>
    <w:p w14:paraId="688C08BE" w14:textId="77777777" w:rsidR="00D11ECE" w:rsidRPr="0079261C" w:rsidRDefault="00D11ECE" w:rsidP="00D11ECE">
      <w:pPr>
        <w:pStyle w:val="About"/>
        <w:rPr>
          <w:b w:val="0"/>
          <w:color w:val="auto"/>
          <w:sz w:val="22"/>
          <w:szCs w:val="22"/>
        </w:rPr>
      </w:pPr>
      <w:r w:rsidRPr="0079261C">
        <w:rPr>
          <w:b w:val="0"/>
          <w:color w:val="auto"/>
          <w:sz w:val="22"/>
          <w:szCs w:val="22"/>
        </w:rPr>
        <w:t xml:space="preserve">MRAG Asia Pacific is an independent fisheries and aquatic resource consulting company dedicated to the sustainable use of natural resources through sound, integrated management practices and policies. We are part of the global MRAG group with sister companies in Europe, North America and the Asia Pacific. </w:t>
      </w:r>
    </w:p>
    <w:p w14:paraId="5F3840EE" w14:textId="599A715A" w:rsidR="00D11ECE" w:rsidRPr="0079261C" w:rsidRDefault="00D11ECE" w:rsidP="00D11ECE">
      <w:pPr>
        <w:pStyle w:val="About"/>
        <w:spacing w:before="0" w:after="0"/>
        <w:rPr>
          <w:b w:val="0"/>
          <w:color w:val="auto"/>
          <w:sz w:val="22"/>
          <w:szCs w:val="22"/>
        </w:rPr>
      </w:pPr>
      <w:r w:rsidRPr="0079261C">
        <w:rPr>
          <w:b w:val="0"/>
          <w:color w:val="auto"/>
          <w:sz w:val="22"/>
          <w:szCs w:val="22"/>
        </w:rPr>
        <w:t>2/29 Woodstock Rd</w:t>
      </w:r>
      <w:r w:rsidRPr="0079261C">
        <w:rPr>
          <w:b w:val="0"/>
          <w:color w:val="auto"/>
          <w:sz w:val="22"/>
          <w:szCs w:val="22"/>
        </w:rPr>
        <w:tab/>
      </w:r>
      <w:r w:rsidRPr="0079261C">
        <w:rPr>
          <w:b w:val="0"/>
          <w:color w:val="auto"/>
          <w:sz w:val="22"/>
          <w:szCs w:val="22"/>
        </w:rPr>
        <w:tab/>
        <w:t>PO Box 732</w:t>
      </w:r>
      <w:r w:rsidRPr="0079261C">
        <w:rPr>
          <w:b w:val="0"/>
          <w:color w:val="auto"/>
          <w:sz w:val="22"/>
          <w:szCs w:val="22"/>
        </w:rPr>
        <w:tab/>
      </w:r>
      <w:r w:rsidRPr="0079261C">
        <w:rPr>
          <w:b w:val="0"/>
          <w:color w:val="auto"/>
          <w:sz w:val="22"/>
          <w:szCs w:val="22"/>
        </w:rPr>
        <w:tab/>
      </w:r>
      <w:r w:rsidRPr="0079261C">
        <w:rPr>
          <w:b w:val="0"/>
          <w:color w:val="auto"/>
          <w:sz w:val="22"/>
          <w:szCs w:val="22"/>
        </w:rPr>
        <w:tab/>
        <w:t>P: +61 7 3371 1500</w:t>
      </w:r>
    </w:p>
    <w:p w14:paraId="0C1FD77C" w14:textId="14FB7E70" w:rsidR="00D11ECE" w:rsidRPr="0079261C" w:rsidRDefault="00D11ECE" w:rsidP="00D11ECE">
      <w:pPr>
        <w:pStyle w:val="About"/>
        <w:spacing w:before="0" w:after="0"/>
        <w:rPr>
          <w:b w:val="0"/>
          <w:color w:val="auto"/>
          <w:sz w:val="22"/>
          <w:szCs w:val="22"/>
        </w:rPr>
      </w:pPr>
      <w:r w:rsidRPr="0079261C">
        <w:rPr>
          <w:b w:val="0"/>
          <w:color w:val="auto"/>
          <w:sz w:val="22"/>
          <w:szCs w:val="22"/>
        </w:rPr>
        <w:t>Toowong Qld 4066</w:t>
      </w:r>
      <w:r w:rsidRPr="0079261C">
        <w:rPr>
          <w:b w:val="0"/>
          <w:color w:val="auto"/>
          <w:sz w:val="22"/>
          <w:szCs w:val="22"/>
        </w:rPr>
        <w:tab/>
      </w:r>
      <w:r w:rsidRPr="0079261C">
        <w:rPr>
          <w:b w:val="0"/>
          <w:color w:val="auto"/>
          <w:sz w:val="22"/>
          <w:szCs w:val="22"/>
        </w:rPr>
        <w:tab/>
        <w:t>Toowong Qld 4066</w:t>
      </w:r>
      <w:r w:rsidRPr="0079261C">
        <w:rPr>
          <w:b w:val="0"/>
          <w:color w:val="auto"/>
          <w:sz w:val="22"/>
          <w:szCs w:val="22"/>
        </w:rPr>
        <w:tab/>
      </w:r>
      <w:r w:rsidRPr="0079261C">
        <w:rPr>
          <w:b w:val="0"/>
          <w:color w:val="auto"/>
          <w:sz w:val="22"/>
          <w:szCs w:val="22"/>
        </w:rPr>
        <w:tab/>
        <w:t>F: +61 7 3100 8035</w:t>
      </w:r>
    </w:p>
    <w:p w14:paraId="3C9A6E8A" w14:textId="7CA7572F" w:rsidR="00D11ECE" w:rsidRPr="0079261C" w:rsidRDefault="00D11ECE" w:rsidP="00D11ECE">
      <w:pPr>
        <w:pStyle w:val="About"/>
        <w:spacing w:before="0"/>
        <w:rPr>
          <w:b w:val="0"/>
          <w:color w:val="auto"/>
          <w:sz w:val="22"/>
          <w:szCs w:val="22"/>
        </w:rPr>
      </w:pPr>
      <w:r w:rsidRPr="0079261C">
        <w:rPr>
          <w:b w:val="0"/>
          <w:color w:val="auto"/>
          <w:sz w:val="22"/>
          <w:szCs w:val="22"/>
        </w:rPr>
        <w:t xml:space="preserve">Australia </w:t>
      </w:r>
      <w:r w:rsidRPr="0079261C">
        <w:rPr>
          <w:b w:val="0"/>
          <w:color w:val="auto"/>
          <w:sz w:val="22"/>
          <w:szCs w:val="22"/>
        </w:rPr>
        <w:tab/>
      </w:r>
      <w:r w:rsidRPr="0079261C">
        <w:rPr>
          <w:b w:val="0"/>
          <w:color w:val="auto"/>
          <w:sz w:val="22"/>
          <w:szCs w:val="22"/>
        </w:rPr>
        <w:tab/>
      </w:r>
      <w:r w:rsidRPr="0079261C">
        <w:rPr>
          <w:b w:val="0"/>
          <w:color w:val="auto"/>
          <w:sz w:val="22"/>
          <w:szCs w:val="22"/>
        </w:rPr>
        <w:tab/>
        <w:t>Australia</w:t>
      </w:r>
      <w:r w:rsidRPr="0079261C">
        <w:rPr>
          <w:b w:val="0"/>
          <w:color w:val="auto"/>
          <w:sz w:val="22"/>
          <w:szCs w:val="22"/>
        </w:rPr>
        <w:tab/>
      </w:r>
      <w:r w:rsidRPr="0079261C">
        <w:rPr>
          <w:b w:val="0"/>
          <w:color w:val="auto"/>
          <w:sz w:val="22"/>
          <w:szCs w:val="22"/>
        </w:rPr>
        <w:tab/>
      </w:r>
      <w:r w:rsidRPr="0079261C">
        <w:rPr>
          <w:b w:val="0"/>
          <w:color w:val="auto"/>
          <w:sz w:val="22"/>
          <w:szCs w:val="22"/>
        </w:rPr>
        <w:tab/>
      </w:r>
      <w:r w:rsidR="007C2B00">
        <w:rPr>
          <w:b w:val="0"/>
          <w:color w:val="auto"/>
          <w:sz w:val="22"/>
          <w:szCs w:val="22"/>
        </w:rPr>
        <w:tab/>
      </w:r>
      <w:r w:rsidRPr="0079261C">
        <w:rPr>
          <w:b w:val="0"/>
          <w:color w:val="auto"/>
          <w:sz w:val="22"/>
          <w:szCs w:val="22"/>
        </w:rPr>
        <w:t xml:space="preserve">E: </w:t>
      </w:r>
      <w:r w:rsidR="007C2B00">
        <w:rPr>
          <w:b w:val="0"/>
          <w:color w:val="auto"/>
          <w:sz w:val="22"/>
          <w:szCs w:val="22"/>
        </w:rPr>
        <w:t>i</w:t>
      </w:r>
      <w:r w:rsidRPr="0079261C">
        <w:rPr>
          <w:b w:val="0"/>
          <w:color w:val="auto"/>
          <w:sz w:val="22"/>
          <w:szCs w:val="22"/>
        </w:rPr>
        <w:t xml:space="preserve">nfo@mragasiapacific.com.au </w:t>
      </w:r>
    </w:p>
    <w:p w14:paraId="10F3ACFC" w14:textId="77777777" w:rsidR="0079261C" w:rsidRPr="007C2B00" w:rsidRDefault="0079261C" w:rsidP="007C2B00">
      <w:pPr>
        <w:rPr>
          <w:rFonts w:ascii="Arial Narrow" w:hAnsi="Arial Narrow"/>
        </w:rPr>
      </w:pPr>
    </w:p>
    <w:p w14:paraId="17EF6D04" w14:textId="45EED05F" w:rsidR="00D11ECE" w:rsidRPr="007C2B00" w:rsidRDefault="00B46EB4" w:rsidP="00F878F5">
      <w:pPr>
        <w:spacing w:before="360"/>
        <w:rPr>
          <w:rFonts w:ascii="Arial Narrow" w:hAnsi="Arial Narrow"/>
        </w:rPr>
      </w:pPr>
      <w:r w:rsidRPr="007C2B00">
        <w:rPr>
          <w:rFonts w:ascii="Arial Narrow" w:hAnsi="Arial Narrow"/>
        </w:rPr>
        <w:t>Preferred citation: Dixon, C.D.</w:t>
      </w:r>
      <w:r w:rsidR="00767301" w:rsidRPr="007C2B00">
        <w:rPr>
          <w:rFonts w:ascii="Arial Narrow" w:hAnsi="Arial Narrow"/>
        </w:rPr>
        <w:t xml:space="preserve">, </w:t>
      </w:r>
      <w:r w:rsidR="0042593C">
        <w:rPr>
          <w:rFonts w:ascii="Arial Narrow" w:hAnsi="Arial Narrow"/>
        </w:rPr>
        <w:t xml:space="preserve">and </w:t>
      </w:r>
      <w:r w:rsidR="00BC4ED4">
        <w:rPr>
          <w:rFonts w:ascii="Arial Narrow" w:hAnsi="Arial Narrow"/>
        </w:rPr>
        <w:t>Lowe, J.</w:t>
      </w:r>
      <w:r w:rsidRPr="007C2B00">
        <w:rPr>
          <w:rFonts w:ascii="Arial Narrow" w:hAnsi="Arial Narrow"/>
        </w:rPr>
        <w:t xml:space="preserve"> (202</w:t>
      </w:r>
      <w:r w:rsidR="00C439AD">
        <w:rPr>
          <w:rFonts w:ascii="Arial Narrow" w:hAnsi="Arial Narrow"/>
        </w:rPr>
        <w:t>4</w:t>
      </w:r>
      <w:r w:rsidRPr="007C2B00">
        <w:rPr>
          <w:rFonts w:ascii="Arial Narrow" w:hAnsi="Arial Narrow"/>
        </w:rPr>
        <w:t>). Stock Assessment for the Eastern Zone of the Victorian Abalone Fishery</w:t>
      </w:r>
      <w:r w:rsidR="00767301" w:rsidRPr="007C2B00">
        <w:rPr>
          <w:rFonts w:ascii="Arial Narrow" w:hAnsi="Arial Narrow"/>
        </w:rPr>
        <w:t xml:space="preserve"> 20</w:t>
      </w:r>
      <w:r w:rsidR="00C70DC4">
        <w:rPr>
          <w:rFonts w:ascii="Arial Narrow" w:hAnsi="Arial Narrow"/>
        </w:rPr>
        <w:t>2</w:t>
      </w:r>
      <w:r w:rsidR="00C439AD">
        <w:rPr>
          <w:rFonts w:ascii="Arial Narrow" w:hAnsi="Arial Narrow"/>
        </w:rPr>
        <w:t>3</w:t>
      </w:r>
      <w:r w:rsidR="00767301" w:rsidRPr="007C2B00">
        <w:rPr>
          <w:rFonts w:ascii="Arial Narrow" w:hAnsi="Arial Narrow"/>
        </w:rPr>
        <w:t>/2</w:t>
      </w:r>
      <w:r w:rsidR="00C439AD">
        <w:rPr>
          <w:rFonts w:ascii="Arial Narrow" w:hAnsi="Arial Narrow"/>
        </w:rPr>
        <w:t>4</w:t>
      </w:r>
      <w:r w:rsidRPr="007C2B00">
        <w:rPr>
          <w:rFonts w:ascii="Arial Narrow" w:hAnsi="Arial Narrow"/>
        </w:rPr>
        <w:t>. MRAG Asia Pacific</w:t>
      </w:r>
      <w:r w:rsidR="004E5989" w:rsidRPr="007C2B00">
        <w:rPr>
          <w:rFonts w:ascii="Arial Narrow" w:hAnsi="Arial Narrow"/>
        </w:rPr>
        <w:t>, Brisbane, Australia</w:t>
      </w:r>
      <w:r w:rsidRPr="007C2B00">
        <w:rPr>
          <w:rFonts w:ascii="Arial Narrow" w:hAnsi="Arial Narrow"/>
        </w:rPr>
        <w:t>.</w:t>
      </w:r>
    </w:p>
    <w:p w14:paraId="0720D367" w14:textId="77777777" w:rsidR="0079261C" w:rsidRPr="007C2B00" w:rsidRDefault="0079261C" w:rsidP="00F878F5">
      <w:pPr>
        <w:rPr>
          <w:rFonts w:ascii="Arial Narrow" w:hAnsi="Arial Narrow"/>
        </w:rPr>
      </w:pPr>
    </w:p>
    <w:p w14:paraId="52EC00A4" w14:textId="1F590C9D" w:rsidR="00991A07" w:rsidRPr="00FE1146" w:rsidRDefault="00EF79F4" w:rsidP="00F878F5">
      <w:pPr>
        <w:spacing w:after="240"/>
        <w:rPr>
          <w:rFonts w:ascii="Arial Narrow" w:hAnsi="Arial Narrow"/>
        </w:rPr>
      </w:pPr>
      <w:r w:rsidRPr="00FE1146">
        <w:rPr>
          <w:rFonts w:ascii="Arial Narrow" w:hAnsi="Arial Narrow"/>
        </w:rPr>
        <w:t xml:space="preserve">ISBN: </w:t>
      </w:r>
    </w:p>
    <w:p w14:paraId="4F79ECE3" w14:textId="77777777" w:rsidR="00EF79F4" w:rsidRPr="00545B2C" w:rsidRDefault="00EF79F4" w:rsidP="00F878F5">
      <w:pPr>
        <w:spacing w:after="240"/>
        <w:rPr>
          <w:rFonts w:ascii="Arial Narrow" w:hAnsi="Arial Narrow"/>
        </w:rPr>
      </w:pPr>
    </w:p>
    <w:p w14:paraId="38DFB325" w14:textId="5EB7A081" w:rsidR="00B46EB4" w:rsidRPr="00545B2C" w:rsidRDefault="00767301" w:rsidP="00F878F5">
      <w:pPr>
        <w:spacing w:after="240"/>
        <w:rPr>
          <w:rFonts w:ascii="Arial Narrow" w:hAnsi="Arial Narrow"/>
        </w:rPr>
      </w:pPr>
      <w:r w:rsidRPr="00545B2C">
        <w:rPr>
          <w:rFonts w:ascii="Arial Narrow" w:hAnsi="Arial Narrow"/>
        </w:rPr>
        <w:t xml:space="preserve">Published: </w:t>
      </w:r>
      <w:r w:rsidR="009D3256" w:rsidRPr="00545B2C">
        <w:rPr>
          <w:rFonts w:ascii="Arial Narrow" w:hAnsi="Arial Narrow"/>
        </w:rPr>
        <w:t>13</w:t>
      </w:r>
      <w:r w:rsidR="00D80EF6" w:rsidRPr="00545B2C">
        <w:rPr>
          <w:rFonts w:ascii="Arial Narrow" w:hAnsi="Arial Narrow"/>
        </w:rPr>
        <w:t xml:space="preserve"> </w:t>
      </w:r>
      <w:r w:rsidR="0042593C" w:rsidRPr="00545B2C">
        <w:rPr>
          <w:rFonts w:ascii="Arial Narrow" w:hAnsi="Arial Narrow"/>
        </w:rPr>
        <w:t xml:space="preserve">November </w:t>
      </w:r>
      <w:r w:rsidRPr="00545B2C">
        <w:rPr>
          <w:rFonts w:ascii="Arial Narrow" w:hAnsi="Arial Narrow"/>
        </w:rPr>
        <w:t>202</w:t>
      </w:r>
      <w:r w:rsidR="009D3256" w:rsidRPr="00545B2C">
        <w:rPr>
          <w:rFonts w:ascii="Arial Narrow" w:hAnsi="Arial Narrow"/>
        </w:rPr>
        <w:t>4</w:t>
      </w:r>
    </w:p>
    <w:p w14:paraId="393F8055" w14:textId="542B0722" w:rsidR="00C44C00" w:rsidRPr="00545B2C" w:rsidRDefault="00C44C00" w:rsidP="00F878F5">
      <w:pPr>
        <w:spacing w:after="240"/>
        <w:rPr>
          <w:rFonts w:ascii="Arial Narrow" w:hAnsi="Arial Narrow"/>
        </w:rPr>
      </w:pPr>
    </w:p>
    <w:p w14:paraId="49C873EB" w14:textId="77777777" w:rsidR="00C44C00" w:rsidRPr="00545B2C" w:rsidRDefault="00C44C00" w:rsidP="00F878F5">
      <w:pPr>
        <w:spacing w:after="240"/>
        <w:rPr>
          <w:rFonts w:ascii="Arial Narrow" w:hAnsi="Arial Narrow"/>
          <w:sz w:val="20"/>
          <w:szCs w:val="20"/>
        </w:rPr>
      </w:pPr>
    </w:p>
    <w:p w14:paraId="1551E705" w14:textId="77777777" w:rsidR="008630E2" w:rsidRPr="00545B2C" w:rsidRDefault="008630E2" w:rsidP="00F878F5">
      <w:pPr>
        <w:spacing w:after="240"/>
      </w:pPr>
    </w:p>
    <w:p w14:paraId="7EDAD29A" w14:textId="6E2CADCF" w:rsidR="00C44C00" w:rsidRPr="00545B2C" w:rsidRDefault="00C44C00" w:rsidP="00C44C00">
      <w:pPr>
        <w:rPr>
          <w:rStyle w:val="IntenseReference"/>
          <w:sz w:val="24"/>
          <w:szCs w:val="24"/>
        </w:rPr>
      </w:pPr>
      <w:r w:rsidRPr="00545B2C">
        <w:rPr>
          <w:rStyle w:val="IntenseReference"/>
          <w:sz w:val="24"/>
          <w:szCs w:val="24"/>
        </w:rPr>
        <w:t>Acknowledgements</w:t>
      </w:r>
    </w:p>
    <w:p w14:paraId="3971B169" w14:textId="45954C01" w:rsidR="00C44C00" w:rsidRPr="00D80EF6" w:rsidRDefault="0079261C" w:rsidP="0079261C">
      <w:pPr>
        <w:rPr>
          <w:rFonts w:ascii="Arial Narrow" w:hAnsi="Arial Narrow"/>
        </w:rPr>
      </w:pPr>
      <w:r w:rsidRPr="00545B2C">
        <w:rPr>
          <w:rFonts w:ascii="Arial Narrow" w:hAnsi="Arial Narrow"/>
        </w:rPr>
        <w:t>Funds for this work were obtained through the Victorian Fisheries Authority (VFA), obtained through licence fees. We are grateful to Michael Cleland</w:t>
      </w:r>
      <w:r w:rsidR="00C44C00" w:rsidRPr="00545B2C">
        <w:rPr>
          <w:rFonts w:ascii="Arial Narrow" w:hAnsi="Arial Narrow"/>
        </w:rPr>
        <w:t xml:space="preserve"> </w:t>
      </w:r>
      <w:r w:rsidRPr="00545B2C">
        <w:rPr>
          <w:rFonts w:ascii="Arial Narrow" w:hAnsi="Arial Narrow"/>
        </w:rPr>
        <w:t xml:space="preserve">for </w:t>
      </w:r>
      <w:r w:rsidR="0021461C" w:rsidRPr="00545B2C">
        <w:rPr>
          <w:rFonts w:ascii="Arial Narrow" w:hAnsi="Arial Narrow"/>
        </w:rPr>
        <w:t xml:space="preserve">his </w:t>
      </w:r>
      <w:r w:rsidRPr="00545B2C">
        <w:rPr>
          <w:rFonts w:ascii="Arial Narrow" w:hAnsi="Arial Narrow"/>
        </w:rPr>
        <w:t xml:space="preserve">assistance in the provision and interpretation of data. </w:t>
      </w:r>
      <w:r w:rsidR="0021461C" w:rsidRPr="00545B2C">
        <w:rPr>
          <w:rFonts w:ascii="Arial Narrow" w:hAnsi="Arial Narrow"/>
        </w:rPr>
        <w:t xml:space="preserve">Melissa Schubert and Anthony McGrath from </w:t>
      </w:r>
      <w:r w:rsidRPr="00545B2C">
        <w:rPr>
          <w:rFonts w:ascii="Arial Narrow" w:hAnsi="Arial Narrow"/>
        </w:rPr>
        <w:t xml:space="preserve">VFA provided constructive reviews of the document. </w:t>
      </w:r>
      <w:r w:rsidR="00911600" w:rsidRPr="00545B2C">
        <w:rPr>
          <w:rFonts w:ascii="Arial Narrow" w:hAnsi="Arial Narrow"/>
        </w:rPr>
        <w:t>We would like to thank Justin Bell of VFA who provided the figures of abundance for sea urchins.</w:t>
      </w:r>
      <w:r w:rsidR="00911600" w:rsidRPr="00D80EF6">
        <w:rPr>
          <w:rFonts w:ascii="Arial Narrow" w:hAnsi="Arial Narrow"/>
        </w:rPr>
        <w:t xml:space="preserve"> </w:t>
      </w:r>
    </w:p>
    <w:p w14:paraId="7A72B489" w14:textId="77777777" w:rsidR="0021461C" w:rsidRPr="00D80EF6" w:rsidRDefault="0079261C" w:rsidP="0079261C">
      <w:pPr>
        <w:rPr>
          <w:rFonts w:ascii="Arial Narrow" w:hAnsi="Arial Narrow"/>
        </w:rPr>
      </w:pPr>
      <w:r w:rsidRPr="00D80EF6">
        <w:rPr>
          <w:rFonts w:ascii="Arial Narrow" w:hAnsi="Arial Narrow"/>
        </w:rPr>
        <w:t>We would also like to thank the Eastern Zone abalone divers</w:t>
      </w:r>
      <w:r w:rsidR="00FF6DA6" w:rsidRPr="00D80EF6">
        <w:rPr>
          <w:rFonts w:ascii="Arial Narrow" w:hAnsi="Arial Narrow"/>
        </w:rPr>
        <w:t>, the Eastern Zone Abalone Industry Association,</w:t>
      </w:r>
      <w:r w:rsidRPr="00D80EF6">
        <w:rPr>
          <w:rFonts w:ascii="Arial Narrow" w:hAnsi="Arial Narrow"/>
        </w:rPr>
        <w:t xml:space="preserve"> and the Mallacoota Co-op for gathering commercial size frequency</w:t>
      </w:r>
      <w:r w:rsidR="00FF6DA6" w:rsidRPr="00D80EF6">
        <w:rPr>
          <w:rFonts w:ascii="Arial Narrow" w:hAnsi="Arial Narrow"/>
        </w:rPr>
        <w:t xml:space="preserve"> data</w:t>
      </w:r>
      <w:r w:rsidRPr="00D80EF6">
        <w:rPr>
          <w:rFonts w:ascii="Arial Narrow" w:hAnsi="Arial Narrow"/>
        </w:rPr>
        <w:t>.</w:t>
      </w:r>
    </w:p>
    <w:p w14:paraId="3E95355E" w14:textId="57022516" w:rsidR="0079261C" w:rsidRPr="007C2B00" w:rsidRDefault="0021461C" w:rsidP="0079261C">
      <w:r w:rsidRPr="00D80EF6">
        <w:rPr>
          <w:rFonts w:ascii="Arial Narrow" w:hAnsi="Arial Narrow"/>
        </w:rPr>
        <w:t>Finally, we would like to thank Dr Duncan Worthington for providing a highly constructive review.</w:t>
      </w:r>
      <w:r w:rsidR="0079261C" w:rsidRPr="007C2B00">
        <w:rPr>
          <w:rFonts w:ascii="Arial Narrow" w:hAnsi="Arial Narrow"/>
        </w:rPr>
        <w:t xml:space="preserve"> </w:t>
      </w:r>
    </w:p>
    <w:p w14:paraId="47F6B8B2" w14:textId="561D04F1" w:rsidR="005D3E6A" w:rsidRDefault="00AC4EA8" w:rsidP="00F878F5">
      <w:pPr>
        <w:spacing w:after="240"/>
      </w:pPr>
      <w:r w:rsidRPr="004070A6">
        <w:rPr>
          <w:rStyle w:val="IntenseReference"/>
          <w:noProof/>
        </w:rPr>
        <w:drawing>
          <wp:anchor distT="0" distB="0" distL="114300" distR="114300" simplePos="0" relativeHeight="251658242" behindDoc="0" locked="0" layoutInCell="1" allowOverlap="1" wp14:anchorId="266EF005" wp14:editId="467DEAA7">
            <wp:simplePos x="0" y="0"/>
            <wp:positionH relativeFrom="margin">
              <wp:posOffset>5057775</wp:posOffset>
            </wp:positionH>
            <wp:positionV relativeFrom="paragraph">
              <wp:posOffset>241935</wp:posOffset>
            </wp:positionV>
            <wp:extent cx="664210" cy="664210"/>
            <wp:effectExtent l="0" t="0" r="254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64210" cy="664210"/>
                    </a:xfrm>
                    <a:prstGeom prst="rect">
                      <a:avLst/>
                    </a:prstGeom>
                    <a:noFill/>
                  </pic:spPr>
                </pic:pic>
              </a:graphicData>
            </a:graphic>
          </wp:anchor>
        </w:drawing>
      </w:r>
    </w:p>
    <w:p w14:paraId="4791D99C" w14:textId="2AAFF9F3" w:rsidR="005D3E6A" w:rsidRDefault="005D3E6A" w:rsidP="00F878F5">
      <w:pPr>
        <w:spacing w:after="240"/>
      </w:pPr>
    </w:p>
    <w:p w14:paraId="1AF1C50B" w14:textId="77777777" w:rsidR="005D3E6A" w:rsidRDefault="005D3E6A" w:rsidP="00F878F5">
      <w:pPr>
        <w:spacing w:after="240"/>
      </w:pPr>
    </w:p>
    <w:p w14:paraId="350050E7" w14:textId="77777777" w:rsidR="005D3E6A" w:rsidRDefault="005D3E6A" w:rsidP="00F878F5">
      <w:pPr>
        <w:spacing w:after="240"/>
      </w:pPr>
    </w:p>
    <w:tbl>
      <w:tblPr>
        <w:tblStyle w:val="TableGrid"/>
        <w:tblW w:w="0" w:type="auto"/>
        <w:tblLook w:val="04A0" w:firstRow="1" w:lastRow="0" w:firstColumn="1" w:lastColumn="0" w:noHBand="0" w:noVBand="1"/>
      </w:tblPr>
      <w:tblGrid>
        <w:gridCol w:w="9016"/>
      </w:tblGrid>
      <w:tr w:rsidR="00AC4EA8" w14:paraId="1D6F1E03" w14:textId="77777777" w:rsidTr="00AC4EA8">
        <w:tc>
          <w:tcPr>
            <w:tcW w:w="9016" w:type="dxa"/>
          </w:tcPr>
          <w:p w14:paraId="2A37100A" w14:textId="710C4E25" w:rsidR="00AC4EA8" w:rsidRPr="00AC4EA8" w:rsidRDefault="00772D7B" w:rsidP="00772D7B">
            <w:pPr>
              <w:spacing w:after="240"/>
              <w:rPr>
                <w:rFonts w:ascii="Arial Narrow" w:hAnsi="Arial Narrow" w:cstheme="majorHAnsi"/>
                <w:sz w:val="20"/>
                <w:szCs w:val="20"/>
              </w:rPr>
            </w:pPr>
            <w:r w:rsidRPr="00FF6DA6">
              <w:rPr>
                <w:rFonts w:ascii="Arial Narrow" w:hAnsi="Arial Narrow" w:cstheme="majorHAnsi"/>
              </w:rPr>
              <w:t>Disclaimer: The results and analyses contained in this Report are based on a number of technical or otherwise specified assumptions and parameters. The user must make their own assessment of the suitability for its use of the information or material contained in or generated from the Report.  Although all reasonable efforts have been made to ensure quality, MRAG does not warrant that the information in this report is free from errors or omissions.  To the extent permitted by law, MRAG does not accept any liability to any party for expenses, losses, damages and costs arising directly or indirectly from using this Report.</w:t>
            </w:r>
          </w:p>
        </w:tc>
      </w:tr>
    </w:tbl>
    <w:p w14:paraId="556EAF67" w14:textId="77777777" w:rsidR="005D3E6A" w:rsidRDefault="005D3E6A" w:rsidP="00F878F5">
      <w:pPr>
        <w:spacing w:after="240"/>
      </w:pPr>
    </w:p>
    <w:sdt>
      <w:sdtPr>
        <w:rPr>
          <w:rFonts w:asciiTheme="majorHAnsi" w:hAnsiTheme="majorHAnsi" w:cstheme="majorBidi"/>
          <w:color w:val="2E74B5" w:themeColor="accent1" w:themeShade="BF"/>
          <w:sz w:val="32"/>
          <w:szCs w:val="32"/>
        </w:rPr>
        <w:id w:val="1072158458"/>
        <w:docPartObj>
          <w:docPartGallery w:val="Table of Contents"/>
          <w:docPartUnique/>
        </w:docPartObj>
      </w:sdtPr>
      <w:sdtEndPr>
        <w:rPr>
          <w:rFonts w:asciiTheme="minorHAnsi" w:hAnsiTheme="minorHAnsi" w:cstheme="minorBidi"/>
          <w:color w:val="auto"/>
          <w:sz w:val="22"/>
          <w:szCs w:val="22"/>
        </w:rPr>
      </w:sdtEndPr>
      <w:sdtContent>
        <w:p w14:paraId="4AC097E2" w14:textId="77777777" w:rsidR="00C70DC4" w:rsidRPr="00050FFE" w:rsidRDefault="00C70DC4" w:rsidP="00050FFE">
          <w:pPr>
            <w:rPr>
              <w:rFonts w:asciiTheme="majorHAnsi" w:hAnsiTheme="majorHAnsi" w:cstheme="majorHAnsi"/>
              <w:color w:val="2E74B5" w:themeColor="accent1" w:themeShade="BF"/>
              <w:sz w:val="32"/>
              <w:szCs w:val="32"/>
            </w:rPr>
          </w:pPr>
          <w:r w:rsidRPr="00050FFE">
            <w:rPr>
              <w:rFonts w:asciiTheme="majorHAnsi" w:hAnsiTheme="majorHAnsi" w:cstheme="majorHAnsi"/>
              <w:color w:val="2E74B5" w:themeColor="accent1" w:themeShade="BF"/>
              <w:sz w:val="32"/>
              <w:szCs w:val="32"/>
            </w:rPr>
            <w:t>Table of Contents</w:t>
          </w:r>
        </w:p>
        <w:p w14:paraId="3A4094FB" w14:textId="0C1992B5" w:rsidR="001C7D95" w:rsidRDefault="00C70DC4">
          <w:pPr>
            <w:pStyle w:val="TOC1"/>
            <w:tabs>
              <w:tab w:val="right" w:leader="dot" w:pos="9016"/>
            </w:tabs>
            <w:rPr>
              <w:rFonts w:eastAsiaTheme="minorEastAsia"/>
              <w:b w:val="0"/>
              <w:bCs w:val="0"/>
              <w:caps w:val="0"/>
              <w:noProof/>
              <w:kern w:val="2"/>
              <w:sz w:val="24"/>
              <w:szCs w:val="24"/>
              <w:lang w:eastAsia="en-AU"/>
              <w14:ligatures w14:val="standardContextual"/>
            </w:rPr>
          </w:pPr>
          <w:r>
            <w:rPr>
              <w:sz w:val="18"/>
              <w:szCs w:val="18"/>
            </w:rPr>
            <w:fldChar w:fldCharType="begin"/>
          </w:r>
          <w:r w:rsidRPr="00B85FA8">
            <w:instrText>TOC \o "1-5" \h \z \u</w:instrText>
          </w:r>
          <w:r>
            <w:rPr>
              <w:sz w:val="18"/>
              <w:szCs w:val="18"/>
            </w:rPr>
            <w:fldChar w:fldCharType="separate"/>
          </w:r>
          <w:hyperlink w:anchor="_Toc182219880" w:history="1">
            <w:r w:rsidR="001C7D95" w:rsidRPr="00E87E79">
              <w:rPr>
                <w:rStyle w:val="Hyperlink"/>
                <w:noProof/>
              </w:rPr>
              <w:t>Executive Summary</w:t>
            </w:r>
            <w:r w:rsidR="001C7D95">
              <w:rPr>
                <w:noProof/>
                <w:webHidden/>
              </w:rPr>
              <w:tab/>
            </w:r>
            <w:r w:rsidR="001C7D95">
              <w:rPr>
                <w:noProof/>
                <w:webHidden/>
              </w:rPr>
              <w:fldChar w:fldCharType="begin"/>
            </w:r>
            <w:r w:rsidR="001C7D95">
              <w:rPr>
                <w:noProof/>
                <w:webHidden/>
              </w:rPr>
              <w:instrText xml:space="preserve"> PAGEREF _Toc182219880 \h </w:instrText>
            </w:r>
            <w:r w:rsidR="001C7D95">
              <w:rPr>
                <w:noProof/>
                <w:webHidden/>
              </w:rPr>
            </w:r>
            <w:r w:rsidR="001C7D95">
              <w:rPr>
                <w:noProof/>
                <w:webHidden/>
              </w:rPr>
              <w:fldChar w:fldCharType="separate"/>
            </w:r>
            <w:r w:rsidR="00F61DCE">
              <w:rPr>
                <w:noProof/>
                <w:webHidden/>
              </w:rPr>
              <w:t>7</w:t>
            </w:r>
            <w:r w:rsidR="001C7D95">
              <w:rPr>
                <w:noProof/>
                <w:webHidden/>
              </w:rPr>
              <w:fldChar w:fldCharType="end"/>
            </w:r>
          </w:hyperlink>
        </w:p>
        <w:p w14:paraId="5AA03D0B" w14:textId="6FE3A0A3" w:rsidR="001C7D95" w:rsidRDefault="001C7D95">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82219881" w:history="1">
            <w:r w:rsidRPr="00E87E79">
              <w:rPr>
                <w:rStyle w:val="Hyperlink"/>
                <w:noProof/>
              </w:rPr>
              <w:t>1.</w:t>
            </w:r>
            <w:r>
              <w:rPr>
                <w:rFonts w:eastAsiaTheme="minorEastAsia"/>
                <w:b w:val="0"/>
                <w:bCs w:val="0"/>
                <w:caps w:val="0"/>
                <w:noProof/>
                <w:kern w:val="2"/>
                <w:sz w:val="24"/>
                <w:szCs w:val="24"/>
                <w:lang w:eastAsia="en-AU"/>
                <w14:ligatures w14:val="standardContextual"/>
              </w:rPr>
              <w:tab/>
            </w:r>
            <w:r w:rsidRPr="00E87E79">
              <w:rPr>
                <w:rStyle w:val="Hyperlink"/>
                <w:noProof/>
              </w:rPr>
              <w:t>General Introduction</w:t>
            </w:r>
            <w:r>
              <w:rPr>
                <w:noProof/>
                <w:webHidden/>
              </w:rPr>
              <w:tab/>
            </w:r>
            <w:r>
              <w:rPr>
                <w:noProof/>
                <w:webHidden/>
              </w:rPr>
              <w:fldChar w:fldCharType="begin"/>
            </w:r>
            <w:r>
              <w:rPr>
                <w:noProof/>
                <w:webHidden/>
              </w:rPr>
              <w:instrText xml:space="preserve"> PAGEREF _Toc182219881 \h </w:instrText>
            </w:r>
            <w:r>
              <w:rPr>
                <w:noProof/>
                <w:webHidden/>
              </w:rPr>
            </w:r>
            <w:r>
              <w:rPr>
                <w:noProof/>
                <w:webHidden/>
              </w:rPr>
              <w:fldChar w:fldCharType="separate"/>
            </w:r>
            <w:r w:rsidR="00F61DCE">
              <w:rPr>
                <w:noProof/>
                <w:webHidden/>
              </w:rPr>
              <w:t>8</w:t>
            </w:r>
            <w:r>
              <w:rPr>
                <w:noProof/>
                <w:webHidden/>
              </w:rPr>
              <w:fldChar w:fldCharType="end"/>
            </w:r>
          </w:hyperlink>
        </w:p>
        <w:p w14:paraId="5052C35C" w14:textId="4D238EF6"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82" w:history="1">
            <w:r w:rsidRPr="00E87E79">
              <w:rPr>
                <w:rStyle w:val="Hyperlink"/>
                <w:noProof/>
              </w:rPr>
              <w:t>1.1</w:t>
            </w:r>
            <w:r>
              <w:rPr>
                <w:rFonts w:eastAsiaTheme="minorEastAsia"/>
                <w:smallCaps w:val="0"/>
                <w:noProof/>
                <w:kern w:val="2"/>
                <w:sz w:val="24"/>
                <w:szCs w:val="24"/>
                <w:lang w:eastAsia="en-AU"/>
                <w14:ligatures w14:val="standardContextual"/>
              </w:rPr>
              <w:tab/>
            </w:r>
            <w:r w:rsidRPr="00E87E79">
              <w:rPr>
                <w:rStyle w:val="Hyperlink"/>
                <w:noProof/>
              </w:rPr>
              <w:t>Overview</w:t>
            </w:r>
            <w:r>
              <w:rPr>
                <w:noProof/>
                <w:webHidden/>
              </w:rPr>
              <w:tab/>
            </w:r>
            <w:r>
              <w:rPr>
                <w:noProof/>
                <w:webHidden/>
              </w:rPr>
              <w:fldChar w:fldCharType="begin"/>
            </w:r>
            <w:r>
              <w:rPr>
                <w:noProof/>
                <w:webHidden/>
              </w:rPr>
              <w:instrText xml:space="preserve"> PAGEREF _Toc182219882 \h </w:instrText>
            </w:r>
            <w:r>
              <w:rPr>
                <w:noProof/>
                <w:webHidden/>
              </w:rPr>
            </w:r>
            <w:r>
              <w:rPr>
                <w:noProof/>
                <w:webHidden/>
              </w:rPr>
              <w:fldChar w:fldCharType="separate"/>
            </w:r>
            <w:r w:rsidR="00F61DCE">
              <w:rPr>
                <w:noProof/>
                <w:webHidden/>
              </w:rPr>
              <w:t>8</w:t>
            </w:r>
            <w:r>
              <w:rPr>
                <w:noProof/>
                <w:webHidden/>
              </w:rPr>
              <w:fldChar w:fldCharType="end"/>
            </w:r>
          </w:hyperlink>
        </w:p>
        <w:p w14:paraId="121D7DA3" w14:textId="21CC47E2"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83" w:history="1">
            <w:r w:rsidRPr="00E87E79">
              <w:rPr>
                <w:rStyle w:val="Hyperlink"/>
                <w:noProof/>
              </w:rPr>
              <w:t>1.2</w:t>
            </w:r>
            <w:r>
              <w:rPr>
                <w:rFonts w:eastAsiaTheme="minorEastAsia"/>
                <w:smallCaps w:val="0"/>
                <w:noProof/>
                <w:kern w:val="2"/>
                <w:sz w:val="24"/>
                <w:szCs w:val="24"/>
                <w:lang w:eastAsia="en-AU"/>
                <w14:ligatures w14:val="standardContextual"/>
              </w:rPr>
              <w:tab/>
            </w:r>
            <w:r w:rsidRPr="00E87E79">
              <w:rPr>
                <w:rStyle w:val="Hyperlink"/>
                <w:noProof/>
              </w:rPr>
              <w:t>Description of the Eastern Zone Abalone Fishery</w:t>
            </w:r>
            <w:r>
              <w:rPr>
                <w:noProof/>
                <w:webHidden/>
              </w:rPr>
              <w:tab/>
            </w:r>
            <w:r>
              <w:rPr>
                <w:noProof/>
                <w:webHidden/>
              </w:rPr>
              <w:fldChar w:fldCharType="begin"/>
            </w:r>
            <w:r>
              <w:rPr>
                <w:noProof/>
                <w:webHidden/>
              </w:rPr>
              <w:instrText xml:space="preserve"> PAGEREF _Toc182219883 \h </w:instrText>
            </w:r>
            <w:r>
              <w:rPr>
                <w:noProof/>
                <w:webHidden/>
              </w:rPr>
            </w:r>
            <w:r>
              <w:rPr>
                <w:noProof/>
                <w:webHidden/>
              </w:rPr>
              <w:fldChar w:fldCharType="separate"/>
            </w:r>
            <w:r w:rsidR="00F61DCE">
              <w:rPr>
                <w:noProof/>
                <w:webHidden/>
              </w:rPr>
              <w:t>8</w:t>
            </w:r>
            <w:r>
              <w:rPr>
                <w:noProof/>
                <w:webHidden/>
              </w:rPr>
              <w:fldChar w:fldCharType="end"/>
            </w:r>
          </w:hyperlink>
        </w:p>
        <w:p w14:paraId="10698832" w14:textId="3953B511"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84" w:history="1">
            <w:r w:rsidRPr="00E87E79">
              <w:rPr>
                <w:rStyle w:val="Hyperlink"/>
                <w:noProof/>
              </w:rPr>
              <w:t>1.3</w:t>
            </w:r>
            <w:r>
              <w:rPr>
                <w:rFonts w:eastAsiaTheme="minorEastAsia"/>
                <w:smallCaps w:val="0"/>
                <w:noProof/>
                <w:kern w:val="2"/>
                <w:sz w:val="24"/>
                <w:szCs w:val="24"/>
                <w:lang w:eastAsia="en-AU"/>
                <w14:ligatures w14:val="standardContextual"/>
              </w:rPr>
              <w:tab/>
            </w:r>
            <w:r w:rsidRPr="00E87E79">
              <w:rPr>
                <w:rStyle w:val="Hyperlink"/>
                <w:noProof/>
              </w:rPr>
              <w:t>Objectives</w:t>
            </w:r>
            <w:r>
              <w:rPr>
                <w:noProof/>
                <w:webHidden/>
              </w:rPr>
              <w:tab/>
            </w:r>
            <w:r>
              <w:rPr>
                <w:noProof/>
                <w:webHidden/>
              </w:rPr>
              <w:fldChar w:fldCharType="begin"/>
            </w:r>
            <w:r>
              <w:rPr>
                <w:noProof/>
                <w:webHidden/>
              </w:rPr>
              <w:instrText xml:space="preserve"> PAGEREF _Toc182219884 \h </w:instrText>
            </w:r>
            <w:r>
              <w:rPr>
                <w:noProof/>
                <w:webHidden/>
              </w:rPr>
            </w:r>
            <w:r>
              <w:rPr>
                <w:noProof/>
                <w:webHidden/>
              </w:rPr>
              <w:fldChar w:fldCharType="separate"/>
            </w:r>
            <w:r w:rsidR="00F61DCE">
              <w:rPr>
                <w:noProof/>
                <w:webHidden/>
              </w:rPr>
              <w:t>9</w:t>
            </w:r>
            <w:r>
              <w:rPr>
                <w:noProof/>
                <w:webHidden/>
              </w:rPr>
              <w:fldChar w:fldCharType="end"/>
            </w:r>
          </w:hyperlink>
        </w:p>
        <w:p w14:paraId="3B9A9F8F" w14:textId="0FB6DD93"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85" w:history="1">
            <w:r w:rsidRPr="00E87E79">
              <w:rPr>
                <w:rStyle w:val="Hyperlink"/>
                <w:noProof/>
              </w:rPr>
              <w:t>1.4</w:t>
            </w:r>
            <w:r>
              <w:rPr>
                <w:rFonts w:eastAsiaTheme="minorEastAsia"/>
                <w:smallCaps w:val="0"/>
                <w:noProof/>
                <w:kern w:val="2"/>
                <w:sz w:val="24"/>
                <w:szCs w:val="24"/>
                <w:lang w:eastAsia="en-AU"/>
                <w14:ligatures w14:val="standardContextual"/>
              </w:rPr>
              <w:tab/>
            </w:r>
            <w:r w:rsidRPr="00E87E79">
              <w:rPr>
                <w:rStyle w:val="Hyperlink"/>
                <w:noProof/>
              </w:rPr>
              <w:t>Abalone Fishery Scientific Working Group</w:t>
            </w:r>
            <w:r>
              <w:rPr>
                <w:noProof/>
                <w:webHidden/>
              </w:rPr>
              <w:tab/>
            </w:r>
            <w:r>
              <w:rPr>
                <w:noProof/>
                <w:webHidden/>
              </w:rPr>
              <w:fldChar w:fldCharType="begin"/>
            </w:r>
            <w:r>
              <w:rPr>
                <w:noProof/>
                <w:webHidden/>
              </w:rPr>
              <w:instrText xml:space="preserve"> PAGEREF _Toc182219885 \h </w:instrText>
            </w:r>
            <w:r>
              <w:rPr>
                <w:noProof/>
                <w:webHidden/>
              </w:rPr>
            </w:r>
            <w:r>
              <w:rPr>
                <w:noProof/>
                <w:webHidden/>
              </w:rPr>
              <w:fldChar w:fldCharType="separate"/>
            </w:r>
            <w:r w:rsidR="00F61DCE">
              <w:rPr>
                <w:noProof/>
                <w:webHidden/>
              </w:rPr>
              <w:t>9</w:t>
            </w:r>
            <w:r>
              <w:rPr>
                <w:noProof/>
                <w:webHidden/>
              </w:rPr>
              <w:fldChar w:fldCharType="end"/>
            </w:r>
          </w:hyperlink>
        </w:p>
        <w:p w14:paraId="35E81009" w14:textId="57B790D5" w:rsidR="001C7D95" w:rsidRDefault="001C7D95">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82219886" w:history="1">
            <w:r w:rsidRPr="00E87E79">
              <w:rPr>
                <w:rStyle w:val="Hyperlink"/>
                <w:noProof/>
              </w:rPr>
              <w:t>2.</w:t>
            </w:r>
            <w:r>
              <w:rPr>
                <w:rFonts w:eastAsiaTheme="minorEastAsia"/>
                <w:b w:val="0"/>
                <w:bCs w:val="0"/>
                <w:caps w:val="0"/>
                <w:noProof/>
                <w:kern w:val="2"/>
                <w:sz w:val="24"/>
                <w:szCs w:val="24"/>
                <w:lang w:eastAsia="en-AU"/>
                <w14:ligatures w14:val="standardContextual"/>
              </w:rPr>
              <w:tab/>
            </w:r>
            <w:r w:rsidRPr="00E87E79">
              <w:rPr>
                <w:rStyle w:val="Hyperlink"/>
                <w:noProof/>
              </w:rPr>
              <w:t>Methods</w:t>
            </w:r>
            <w:r>
              <w:rPr>
                <w:noProof/>
                <w:webHidden/>
              </w:rPr>
              <w:tab/>
            </w:r>
            <w:r>
              <w:rPr>
                <w:noProof/>
                <w:webHidden/>
              </w:rPr>
              <w:fldChar w:fldCharType="begin"/>
            </w:r>
            <w:r>
              <w:rPr>
                <w:noProof/>
                <w:webHidden/>
              </w:rPr>
              <w:instrText xml:space="preserve"> PAGEREF _Toc182219886 \h </w:instrText>
            </w:r>
            <w:r>
              <w:rPr>
                <w:noProof/>
                <w:webHidden/>
              </w:rPr>
            </w:r>
            <w:r>
              <w:rPr>
                <w:noProof/>
                <w:webHidden/>
              </w:rPr>
              <w:fldChar w:fldCharType="separate"/>
            </w:r>
            <w:r w:rsidR="00F61DCE">
              <w:rPr>
                <w:noProof/>
                <w:webHidden/>
              </w:rPr>
              <w:t>9</w:t>
            </w:r>
            <w:r>
              <w:rPr>
                <w:noProof/>
                <w:webHidden/>
              </w:rPr>
              <w:fldChar w:fldCharType="end"/>
            </w:r>
          </w:hyperlink>
        </w:p>
        <w:p w14:paraId="22BBF001" w14:textId="77AA2D1C"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87" w:history="1">
            <w:r w:rsidRPr="00E87E79">
              <w:rPr>
                <w:rStyle w:val="Hyperlink"/>
                <w:noProof/>
              </w:rPr>
              <w:t>2.1</w:t>
            </w:r>
            <w:r>
              <w:rPr>
                <w:rFonts w:eastAsiaTheme="minorEastAsia"/>
                <w:smallCaps w:val="0"/>
                <w:noProof/>
                <w:kern w:val="2"/>
                <w:sz w:val="24"/>
                <w:szCs w:val="24"/>
                <w:lang w:eastAsia="en-AU"/>
                <w14:ligatures w14:val="standardContextual"/>
              </w:rPr>
              <w:tab/>
            </w:r>
            <w:r w:rsidRPr="00E87E79">
              <w:rPr>
                <w:rStyle w:val="Hyperlink"/>
                <w:noProof/>
              </w:rPr>
              <w:t>Data sources and uncertainties in the assessment</w:t>
            </w:r>
            <w:r>
              <w:rPr>
                <w:noProof/>
                <w:webHidden/>
              </w:rPr>
              <w:tab/>
            </w:r>
            <w:r>
              <w:rPr>
                <w:noProof/>
                <w:webHidden/>
              </w:rPr>
              <w:fldChar w:fldCharType="begin"/>
            </w:r>
            <w:r>
              <w:rPr>
                <w:noProof/>
                <w:webHidden/>
              </w:rPr>
              <w:instrText xml:space="preserve"> PAGEREF _Toc182219887 \h </w:instrText>
            </w:r>
            <w:r>
              <w:rPr>
                <w:noProof/>
                <w:webHidden/>
              </w:rPr>
            </w:r>
            <w:r>
              <w:rPr>
                <w:noProof/>
                <w:webHidden/>
              </w:rPr>
              <w:fldChar w:fldCharType="separate"/>
            </w:r>
            <w:r w:rsidR="00F61DCE">
              <w:rPr>
                <w:noProof/>
                <w:webHidden/>
              </w:rPr>
              <w:t>9</w:t>
            </w:r>
            <w:r>
              <w:rPr>
                <w:noProof/>
                <w:webHidden/>
              </w:rPr>
              <w:fldChar w:fldCharType="end"/>
            </w:r>
          </w:hyperlink>
        </w:p>
        <w:p w14:paraId="1EF31BD3" w14:textId="29AAE778"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888" w:history="1">
            <w:r w:rsidRPr="00E87E79">
              <w:rPr>
                <w:rStyle w:val="Hyperlink"/>
                <w:noProof/>
              </w:rPr>
              <w:t>2.1.1</w:t>
            </w:r>
            <w:r>
              <w:rPr>
                <w:rFonts w:eastAsiaTheme="minorEastAsia"/>
                <w:i w:val="0"/>
                <w:iCs w:val="0"/>
                <w:noProof/>
                <w:kern w:val="2"/>
                <w:sz w:val="24"/>
                <w:szCs w:val="24"/>
                <w:lang w:eastAsia="en-AU"/>
                <w14:ligatures w14:val="standardContextual"/>
              </w:rPr>
              <w:tab/>
            </w:r>
            <w:r w:rsidRPr="00E87E79">
              <w:rPr>
                <w:rStyle w:val="Hyperlink"/>
                <w:noProof/>
              </w:rPr>
              <w:t>Catch, effort, and CPUE</w:t>
            </w:r>
            <w:r>
              <w:rPr>
                <w:noProof/>
                <w:webHidden/>
              </w:rPr>
              <w:tab/>
            </w:r>
            <w:r>
              <w:rPr>
                <w:noProof/>
                <w:webHidden/>
              </w:rPr>
              <w:fldChar w:fldCharType="begin"/>
            </w:r>
            <w:r>
              <w:rPr>
                <w:noProof/>
                <w:webHidden/>
              </w:rPr>
              <w:instrText xml:space="preserve"> PAGEREF _Toc182219888 \h </w:instrText>
            </w:r>
            <w:r>
              <w:rPr>
                <w:noProof/>
                <w:webHidden/>
              </w:rPr>
            </w:r>
            <w:r>
              <w:rPr>
                <w:noProof/>
                <w:webHidden/>
              </w:rPr>
              <w:fldChar w:fldCharType="separate"/>
            </w:r>
            <w:r w:rsidR="00F61DCE">
              <w:rPr>
                <w:noProof/>
                <w:webHidden/>
              </w:rPr>
              <w:t>9</w:t>
            </w:r>
            <w:r>
              <w:rPr>
                <w:noProof/>
                <w:webHidden/>
              </w:rPr>
              <w:fldChar w:fldCharType="end"/>
            </w:r>
          </w:hyperlink>
        </w:p>
        <w:p w14:paraId="6F7F2FBD" w14:textId="4053D16D"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889" w:history="1">
            <w:r w:rsidRPr="00E87E79">
              <w:rPr>
                <w:rStyle w:val="Hyperlink"/>
                <w:noProof/>
              </w:rPr>
              <w:t>2.1.2</w:t>
            </w:r>
            <w:r>
              <w:rPr>
                <w:rFonts w:eastAsiaTheme="minorEastAsia"/>
                <w:i w:val="0"/>
                <w:iCs w:val="0"/>
                <w:noProof/>
                <w:kern w:val="2"/>
                <w:sz w:val="24"/>
                <w:szCs w:val="24"/>
                <w:lang w:eastAsia="en-AU"/>
                <w14:ligatures w14:val="standardContextual"/>
              </w:rPr>
              <w:tab/>
            </w:r>
            <w:r w:rsidRPr="00E87E79">
              <w:rPr>
                <w:rStyle w:val="Hyperlink"/>
                <w:noProof/>
              </w:rPr>
              <w:t>Fishery-independent survey abundance</w:t>
            </w:r>
            <w:r>
              <w:rPr>
                <w:noProof/>
                <w:webHidden/>
              </w:rPr>
              <w:tab/>
            </w:r>
            <w:r>
              <w:rPr>
                <w:noProof/>
                <w:webHidden/>
              </w:rPr>
              <w:fldChar w:fldCharType="begin"/>
            </w:r>
            <w:r>
              <w:rPr>
                <w:noProof/>
                <w:webHidden/>
              </w:rPr>
              <w:instrText xml:space="preserve"> PAGEREF _Toc182219889 \h </w:instrText>
            </w:r>
            <w:r>
              <w:rPr>
                <w:noProof/>
                <w:webHidden/>
              </w:rPr>
            </w:r>
            <w:r>
              <w:rPr>
                <w:noProof/>
                <w:webHidden/>
              </w:rPr>
              <w:fldChar w:fldCharType="separate"/>
            </w:r>
            <w:r w:rsidR="00F61DCE">
              <w:rPr>
                <w:noProof/>
                <w:webHidden/>
              </w:rPr>
              <w:t>11</w:t>
            </w:r>
            <w:r>
              <w:rPr>
                <w:noProof/>
                <w:webHidden/>
              </w:rPr>
              <w:fldChar w:fldCharType="end"/>
            </w:r>
          </w:hyperlink>
        </w:p>
        <w:p w14:paraId="7D574770" w14:textId="1BE1E575"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890" w:history="1">
            <w:r w:rsidRPr="00E87E79">
              <w:rPr>
                <w:rStyle w:val="Hyperlink"/>
                <w:noProof/>
              </w:rPr>
              <w:t>2.1.3</w:t>
            </w:r>
            <w:r>
              <w:rPr>
                <w:rFonts w:eastAsiaTheme="minorEastAsia"/>
                <w:i w:val="0"/>
                <w:iCs w:val="0"/>
                <w:noProof/>
                <w:kern w:val="2"/>
                <w:sz w:val="24"/>
                <w:szCs w:val="24"/>
                <w:lang w:eastAsia="en-AU"/>
                <w14:ligatures w14:val="standardContextual"/>
              </w:rPr>
              <w:tab/>
            </w:r>
            <w:r w:rsidRPr="00E87E79">
              <w:rPr>
                <w:rStyle w:val="Hyperlink"/>
                <w:noProof/>
              </w:rPr>
              <w:t>Size structure data</w:t>
            </w:r>
            <w:r>
              <w:rPr>
                <w:noProof/>
                <w:webHidden/>
              </w:rPr>
              <w:tab/>
            </w:r>
            <w:r>
              <w:rPr>
                <w:noProof/>
                <w:webHidden/>
              </w:rPr>
              <w:fldChar w:fldCharType="begin"/>
            </w:r>
            <w:r>
              <w:rPr>
                <w:noProof/>
                <w:webHidden/>
              </w:rPr>
              <w:instrText xml:space="preserve"> PAGEREF _Toc182219890 \h </w:instrText>
            </w:r>
            <w:r>
              <w:rPr>
                <w:noProof/>
                <w:webHidden/>
              </w:rPr>
            </w:r>
            <w:r>
              <w:rPr>
                <w:noProof/>
                <w:webHidden/>
              </w:rPr>
              <w:fldChar w:fldCharType="separate"/>
            </w:r>
            <w:r w:rsidR="00F61DCE">
              <w:rPr>
                <w:noProof/>
                <w:webHidden/>
              </w:rPr>
              <w:t>12</w:t>
            </w:r>
            <w:r>
              <w:rPr>
                <w:noProof/>
                <w:webHidden/>
              </w:rPr>
              <w:fldChar w:fldCharType="end"/>
            </w:r>
          </w:hyperlink>
        </w:p>
        <w:p w14:paraId="185C958A" w14:textId="78B97B34"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891" w:history="1">
            <w:r w:rsidRPr="00E87E79">
              <w:rPr>
                <w:rStyle w:val="Hyperlink"/>
                <w:noProof/>
              </w:rPr>
              <w:t>Fishery-independent survey</w:t>
            </w:r>
            <w:r>
              <w:rPr>
                <w:noProof/>
                <w:webHidden/>
              </w:rPr>
              <w:tab/>
            </w:r>
            <w:r>
              <w:rPr>
                <w:noProof/>
                <w:webHidden/>
              </w:rPr>
              <w:fldChar w:fldCharType="begin"/>
            </w:r>
            <w:r>
              <w:rPr>
                <w:noProof/>
                <w:webHidden/>
              </w:rPr>
              <w:instrText xml:space="preserve"> PAGEREF _Toc182219891 \h </w:instrText>
            </w:r>
            <w:r>
              <w:rPr>
                <w:noProof/>
                <w:webHidden/>
              </w:rPr>
            </w:r>
            <w:r>
              <w:rPr>
                <w:noProof/>
                <w:webHidden/>
              </w:rPr>
              <w:fldChar w:fldCharType="separate"/>
            </w:r>
            <w:r w:rsidR="00F61DCE">
              <w:rPr>
                <w:noProof/>
                <w:webHidden/>
              </w:rPr>
              <w:t>12</w:t>
            </w:r>
            <w:r>
              <w:rPr>
                <w:noProof/>
                <w:webHidden/>
              </w:rPr>
              <w:fldChar w:fldCharType="end"/>
            </w:r>
          </w:hyperlink>
        </w:p>
        <w:p w14:paraId="32E1A0BB" w14:textId="06225D31"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892" w:history="1">
            <w:r w:rsidRPr="00E87E79">
              <w:rPr>
                <w:rStyle w:val="Hyperlink"/>
                <w:noProof/>
              </w:rPr>
              <w:t>Commercial length frequency</w:t>
            </w:r>
            <w:r>
              <w:rPr>
                <w:noProof/>
                <w:webHidden/>
              </w:rPr>
              <w:tab/>
            </w:r>
            <w:r>
              <w:rPr>
                <w:noProof/>
                <w:webHidden/>
              </w:rPr>
              <w:fldChar w:fldCharType="begin"/>
            </w:r>
            <w:r>
              <w:rPr>
                <w:noProof/>
                <w:webHidden/>
              </w:rPr>
              <w:instrText xml:space="preserve"> PAGEREF _Toc182219892 \h </w:instrText>
            </w:r>
            <w:r>
              <w:rPr>
                <w:noProof/>
                <w:webHidden/>
              </w:rPr>
            </w:r>
            <w:r>
              <w:rPr>
                <w:noProof/>
                <w:webHidden/>
              </w:rPr>
              <w:fldChar w:fldCharType="separate"/>
            </w:r>
            <w:r w:rsidR="00F61DCE">
              <w:rPr>
                <w:noProof/>
                <w:webHidden/>
              </w:rPr>
              <w:t>12</w:t>
            </w:r>
            <w:r>
              <w:rPr>
                <w:noProof/>
                <w:webHidden/>
              </w:rPr>
              <w:fldChar w:fldCharType="end"/>
            </w:r>
          </w:hyperlink>
        </w:p>
        <w:p w14:paraId="14DFF85C" w14:textId="7D0480B4"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893" w:history="1">
            <w:r w:rsidRPr="00E87E79">
              <w:rPr>
                <w:rStyle w:val="Hyperlink"/>
                <w:noProof/>
              </w:rPr>
              <w:t>2.1.4</w:t>
            </w:r>
            <w:r>
              <w:rPr>
                <w:rFonts w:eastAsiaTheme="minorEastAsia"/>
                <w:i w:val="0"/>
                <w:iCs w:val="0"/>
                <w:noProof/>
                <w:kern w:val="2"/>
                <w:sz w:val="24"/>
                <w:szCs w:val="24"/>
                <w:lang w:eastAsia="en-AU"/>
                <w14:ligatures w14:val="standardContextual"/>
              </w:rPr>
              <w:tab/>
            </w:r>
            <w:r w:rsidRPr="00E87E79">
              <w:rPr>
                <w:rStyle w:val="Hyperlink"/>
                <w:noProof/>
              </w:rPr>
              <w:t>Size limits</w:t>
            </w:r>
            <w:r>
              <w:rPr>
                <w:noProof/>
                <w:webHidden/>
              </w:rPr>
              <w:tab/>
            </w:r>
            <w:r>
              <w:rPr>
                <w:noProof/>
                <w:webHidden/>
              </w:rPr>
              <w:fldChar w:fldCharType="begin"/>
            </w:r>
            <w:r>
              <w:rPr>
                <w:noProof/>
                <w:webHidden/>
              </w:rPr>
              <w:instrText xml:space="preserve"> PAGEREF _Toc182219893 \h </w:instrText>
            </w:r>
            <w:r>
              <w:rPr>
                <w:noProof/>
                <w:webHidden/>
              </w:rPr>
            </w:r>
            <w:r>
              <w:rPr>
                <w:noProof/>
                <w:webHidden/>
              </w:rPr>
              <w:fldChar w:fldCharType="separate"/>
            </w:r>
            <w:r w:rsidR="00F61DCE">
              <w:rPr>
                <w:noProof/>
                <w:webHidden/>
              </w:rPr>
              <w:t>13</w:t>
            </w:r>
            <w:r>
              <w:rPr>
                <w:noProof/>
                <w:webHidden/>
              </w:rPr>
              <w:fldChar w:fldCharType="end"/>
            </w:r>
          </w:hyperlink>
        </w:p>
        <w:p w14:paraId="6F478D67" w14:textId="62B30D72"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94" w:history="1">
            <w:r w:rsidRPr="00E87E79">
              <w:rPr>
                <w:rStyle w:val="Hyperlink"/>
                <w:noProof/>
              </w:rPr>
              <w:t>2.2</w:t>
            </w:r>
            <w:r>
              <w:rPr>
                <w:rFonts w:eastAsiaTheme="minorEastAsia"/>
                <w:smallCaps w:val="0"/>
                <w:noProof/>
                <w:kern w:val="2"/>
                <w:sz w:val="24"/>
                <w:szCs w:val="24"/>
                <w:lang w:eastAsia="en-AU"/>
                <w14:ligatures w14:val="standardContextual"/>
              </w:rPr>
              <w:tab/>
            </w:r>
            <w:r w:rsidRPr="00E87E79">
              <w:rPr>
                <w:rStyle w:val="Hyperlink"/>
                <w:noProof/>
              </w:rPr>
              <w:t>Approaches to assessment of stock status</w:t>
            </w:r>
            <w:r>
              <w:rPr>
                <w:noProof/>
                <w:webHidden/>
              </w:rPr>
              <w:tab/>
            </w:r>
            <w:r>
              <w:rPr>
                <w:noProof/>
                <w:webHidden/>
              </w:rPr>
              <w:fldChar w:fldCharType="begin"/>
            </w:r>
            <w:r>
              <w:rPr>
                <w:noProof/>
                <w:webHidden/>
              </w:rPr>
              <w:instrText xml:space="preserve"> PAGEREF _Toc182219894 \h </w:instrText>
            </w:r>
            <w:r>
              <w:rPr>
                <w:noProof/>
                <w:webHidden/>
              </w:rPr>
            </w:r>
            <w:r>
              <w:rPr>
                <w:noProof/>
                <w:webHidden/>
              </w:rPr>
              <w:fldChar w:fldCharType="separate"/>
            </w:r>
            <w:r w:rsidR="00F61DCE">
              <w:rPr>
                <w:noProof/>
                <w:webHidden/>
              </w:rPr>
              <w:t>13</w:t>
            </w:r>
            <w:r>
              <w:rPr>
                <w:noProof/>
                <w:webHidden/>
              </w:rPr>
              <w:fldChar w:fldCharType="end"/>
            </w:r>
          </w:hyperlink>
        </w:p>
        <w:p w14:paraId="27089A29" w14:textId="4CE00645"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895" w:history="1">
            <w:r w:rsidRPr="00E87E79">
              <w:rPr>
                <w:rStyle w:val="Hyperlink"/>
                <w:noProof/>
              </w:rPr>
              <w:t>Performance Indicators</w:t>
            </w:r>
            <w:r>
              <w:rPr>
                <w:noProof/>
                <w:webHidden/>
              </w:rPr>
              <w:tab/>
            </w:r>
            <w:r>
              <w:rPr>
                <w:noProof/>
                <w:webHidden/>
              </w:rPr>
              <w:fldChar w:fldCharType="begin"/>
            </w:r>
            <w:r>
              <w:rPr>
                <w:noProof/>
                <w:webHidden/>
              </w:rPr>
              <w:instrText xml:space="preserve"> PAGEREF _Toc182219895 \h </w:instrText>
            </w:r>
            <w:r>
              <w:rPr>
                <w:noProof/>
                <w:webHidden/>
              </w:rPr>
            </w:r>
            <w:r>
              <w:rPr>
                <w:noProof/>
                <w:webHidden/>
              </w:rPr>
              <w:fldChar w:fldCharType="separate"/>
            </w:r>
            <w:r w:rsidR="00F61DCE">
              <w:rPr>
                <w:noProof/>
                <w:webHidden/>
              </w:rPr>
              <w:t>13</w:t>
            </w:r>
            <w:r>
              <w:rPr>
                <w:noProof/>
                <w:webHidden/>
              </w:rPr>
              <w:fldChar w:fldCharType="end"/>
            </w:r>
          </w:hyperlink>
        </w:p>
        <w:p w14:paraId="100EE68C" w14:textId="1FA409B8"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896" w:history="1">
            <w:r w:rsidRPr="00E87E79">
              <w:rPr>
                <w:rStyle w:val="Hyperlink"/>
                <w:noProof/>
              </w:rPr>
              <w:t>Weight of evidence</w:t>
            </w:r>
            <w:r>
              <w:rPr>
                <w:noProof/>
                <w:webHidden/>
              </w:rPr>
              <w:tab/>
            </w:r>
            <w:r>
              <w:rPr>
                <w:noProof/>
                <w:webHidden/>
              </w:rPr>
              <w:fldChar w:fldCharType="begin"/>
            </w:r>
            <w:r>
              <w:rPr>
                <w:noProof/>
                <w:webHidden/>
              </w:rPr>
              <w:instrText xml:space="preserve"> PAGEREF _Toc182219896 \h </w:instrText>
            </w:r>
            <w:r>
              <w:rPr>
                <w:noProof/>
                <w:webHidden/>
              </w:rPr>
            </w:r>
            <w:r>
              <w:rPr>
                <w:noProof/>
                <w:webHidden/>
              </w:rPr>
              <w:fldChar w:fldCharType="separate"/>
            </w:r>
            <w:r w:rsidR="00F61DCE">
              <w:rPr>
                <w:noProof/>
                <w:webHidden/>
              </w:rPr>
              <w:t>14</w:t>
            </w:r>
            <w:r>
              <w:rPr>
                <w:noProof/>
                <w:webHidden/>
              </w:rPr>
              <w:fldChar w:fldCharType="end"/>
            </w:r>
          </w:hyperlink>
        </w:p>
        <w:p w14:paraId="26AF3F8F" w14:textId="216582B9"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897" w:history="1">
            <w:r w:rsidRPr="00E87E79">
              <w:rPr>
                <w:rStyle w:val="Hyperlink"/>
                <w:noProof/>
              </w:rPr>
              <w:t>Draft Harvest Strategy</w:t>
            </w:r>
            <w:r>
              <w:rPr>
                <w:noProof/>
                <w:webHidden/>
              </w:rPr>
              <w:tab/>
            </w:r>
            <w:r>
              <w:rPr>
                <w:noProof/>
                <w:webHidden/>
              </w:rPr>
              <w:fldChar w:fldCharType="begin"/>
            </w:r>
            <w:r>
              <w:rPr>
                <w:noProof/>
                <w:webHidden/>
              </w:rPr>
              <w:instrText xml:space="preserve"> PAGEREF _Toc182219897 \h </w:instrText>
            </w:r>
            <w:r>
              <w:rPr>
                <w:noProof/>
                <w:webHidden/>
              </w:rPr>
            </w:r>
            <w:r>
              <w:rPr>
                <w:noProof/>
                <w:webHidden/>
              </w:rPr>
              <w:fldChar w:fldCharType="separate"/>
            </w:r>
            <w:r w:rsidR="00F61DCE">
              <w:rPr>
                <w:noProof/>
                <w:webHidden/>
              </w:rPr>
              <w:t>14</w:t>
            </w:r>
            <w:r>
              <w:rPr>
                <w:noProof/>
                <w:webHidden/>
              </w:rPr>
              <w:fldChar w:fldCharType="end"/>
            </w:r>
          </w:hyperlink>
        </w:p>
        <w:p w14:paraId="2C261B5B" w14:textId="2484EB77"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898" w:history="1">
            <w:r w:rsidRPr="00E87E79">
              <w:rPr>
                <w:rStyle w:val="Hyperlink"/>
                <w:noProof/>
              </w:rPr>
              <w:t>2.3</w:t>
            </w:r>
            <w:r>
              <w:rPr>
                <w:rFonts w:eastAsiaTheme="minorEastAsia"/>
                <w:smallCaps w:val="0"/>
                <w:noProof/>
                <w:kern w:val="2"/>
                <w:sz w:val="24"/>
                <w:szCs w:val="24"/>
                <w:lang w:eastAsia="en-AU"/>
                <w14:ligatures w14:val="standardContextual"/>
              </w:rPr>
              <w:tab/>
            </w:r>
            <w:r w:rsidRPr="00E87E79">
              <w:rPr>
                <w:rStyle w:val="Hyperlink"/>
                <w:noProof/>
              </w:rPr>
              <w:t>Quality Control</w:t>
            </w:r>
            <w:r>
              <w:rPr>
                <w:noProof/>
                <w:webHidden/>
              </w:rPr>
              <w:tab/>
            </w:r>
            <w:r>
              <w:rPr>
                <w:noProof/>
                <w:webHidden/>
              </w:rPr>
              <w:fldChar w:fldCharType="begin"/>
            </w:r>
            <w:r>
              <w:rPr>
                <w:noProof/>
                <w:webHidden/>
              </w:rPr>
              <w:instrText xml:space="preserve"> PAGEREF _Toc182219898 \h </w:instrText>
            </w:r>
            <w:r>
              <w:rPr>
                <w:noProof/>
                <w:webHidden/>
              </w:rPr>
            </w:r>
            <w:r>
              <w:rPr>
                <w:noProof/>
                <w:webHidden/>
              </w:rPr>
              <w:fldChar w:fldCharType="separate"/>
            </w:r>
            <w:r w:rsidR="00F61DCE">
              <w:rPr>
                <w:noProof/>
                <w:webHidden/>
              </w:rPr>
              <w:t>15</w:t>
            </w:r>
            <w:r>
              <w:rPr>
                <w:noProof/>
                <w:webHidden/>
              </w:rPr>
              <w:fldChar w:fldCharType="end"/>
            </w:r>
          </w:hyperlink>
        </w:p>
        <w:p w14:paraId="4CF433B2" w14:textId="25D11CCD" w:rsidR="001C7D95" w:rsidRDefault="001C7D95">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82219899" w:history="1">
            <w:r w:rsidRPr="00E87E79">
              <w:rPr>
                <w:rStyle w:val="Hyperlink"/>
                <w:noProof/>
              </w:rPr>
              <w:t>3.</w:t>
            </w:r>
            <w:r>
              <w:rPr>
                <w:rFonts w:eastAsiaTheme="minorEastAsia"/>
                <w:b w:val="0"/>
                <w:bCs w:val="0"/>
                <w:caps w:val="0"/>
                <w:noProof/>
                <w:kern w:val="2"/>
                <w:sz w:val="24"/>
                <w:szCs w:val="24"/>
                <w:lang w:eastAsia="en-AU"/>
                <w14:ligatures w14:val="standardContextual"/>
              </w:rPr>
              <w:tab/>
            </w:r>
            <w:r w:rsidRPr="00E87E79">
              <w:rPr>
                <w:rStyle w:val="Hyperlink"/>
                <w:noProof/>
              </w:rPr>
              <w:t>Results</w:t>
            </w:r>
            <w:r>
              <w:rPr>
                <w:noProof/>
                <w:webHidden/>
              </w:rPr>
              <w:tab/>
            </w:r>
            <w:r>
              <w:rPr>
                <w:noProof/>
                <w:webHidden/>
              </w:rPr>
              <w:fldChar w:fldCharType="begin"/>
            </w:r>
            <w:r>
              <w:rPr>
                <w:noProof/>
                <w:webHidden/>
              </w:rPr>
              <w:instrText xml:space="preserve"> PAGEREF _Toc182219899 \h </w:instrText>
            </w:r>
            <w:r>
              <w:rPr>
                <w:noProof/>
                <w:webHidden/>
              </w:rPr>
            </w:r>
            <w:r>
              <w:rPr>
                <w:noProof/>
                <w:webHidden/>
              </w:rPr>
              <w:fldChar w:fldCharType="separate"/>
            </w:r>
            <w:r w:rsidR="00F61DCE">
              <w:rPr>
                <w:noProof/>
                <w:webHidden/>
              </w:rPr>
              <w:t>16</w:t>
            </w:r>
            <w:r>
              <w:rPr>
                <w:noProof/>
                <w:webHidden/>
              </w:rPr>
              <w:fldChar w:fldCharType="end"/>
            </w:r>
          </w:hyperlink>
        </w:p>
        <w:p w14:paraId="4F701200" w14:textId="637D4DE5"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00" w:history="1">
            <w:r w:rsidRPr="00E87E79">
              <w:rPr>
                <w:rStyle w:val="Hyperlink"/>
                <w:noProof/>
              </w:rPr>
              <w:t>3.1</w:t>
            </w:r>
            <w:r>
              <w:rPr>
                <w:rFonts w:eastAsiaTheme="minorEastAsia"/>
                <w:smallCaps w:val="0"/>
                <w:noProof/>
                <w:kern w:val="2"/>
                <w:sz w:val="24"/>
                <w:szCs w:val="24"/>
                <w:lang w:eastAsia="en-AU"/>
                <w14:ligatures w14:val="standardContextual"/>
              </w:rPr>
              <w:tab/>
            </w:r>
            <w:r w:rsidRPr="00E87E79">
              <w:rPr>
                <w:rStyle w:val="Hyperlink"/>
                <w:noProof/>
              </w:rPr>
              <w:t>Eastern Zone Blacklip Assessment</w:t>
            </w:r>
            <w:r>
              <w:rPr>
                <w:noProof/>
                <w:webHidden/>
              </w:rPr>
              <w:tab/>
            </w:r>
            <w:r>
              <w:rPr>
                <w:noProof/>
                <w:webHidden/>
              </w:rPr>
              <w:fldChar w:fldCharType="begin"/>
            </w:r>
            <w:r>
              <w:rPr>
                <w:noProof/>
                <w:webHidden/>
              </w:rPr>
              <w:instrText xml:space="preserve"> PAGEREF _Toc182219900 \h </w:instrText>
            </w:r>
            <w:r>
              <w:rPr>
                <w:noProof/>
                <w:webHidden/>
              </w:rPr>
            </w:r>
            <w:r>
              <w:rPr>
                <w:noProof/>
                <w:webHidden/>
              </w:rPr>
              <w:fldChar w:fldCharType="separate"/>
            </w:r>
            <w:r w:rsidR="00F61DCE">
              <w:rPr>
                <w:noProof/>
                <w:webHidden/>
              </w:rPr>
              <w:t>16</w:t>
            </w:r>
            <w:r>
              <w:rPr>
                <w:noProof/>
                <w:webHidden/>
              </w:rPr>
              <w:fldChar w:fldCharType="end"/>
            </w:r>
          </w:hyperlink>
        </w:p>
        <w:p w14:paraId="196F57C7" w14:textId="107EF98B"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01" w:history="1">
            <w:r w:rsidRPr="00E87E79">
              <w:rPr>
                <w:rStyle w:val="Hyperlink"/>
                <w:noProof/>
              </w:rPr>
              <w:t>3.1.1</w:t>
            </w:r>
            <w:r>
              <w:rPr>
                <w:rFonts w:eastAsiaTheme="minorEastAsia"/>
                <w:i w:val="0"/>
                <w:iCs w:val="0"/>
                <w:noProof/>
                <w:kern w:val="2"/>
                <w:sz w:val="24"/>
                <w:szCs w:val="24"/>
                <w:lang w:eastAsia="en-AU"/>
                <w14:ligatures w14:val="standardContextual"/>
              </w:rPr>
              <w:tab/>
            </w:r>
            <w:r w:rsidRPr="00E87E79">
              <w:rPr>
                <w:rStyle w:val="Hyperlink"/>
                <w:noProof/>
              </w:rPr>
              <w:t>Catch and effort</w:t>
            </w:r>
            <w:r>
              <w:rPr>
                <w:noProof/>
                <w:webHidden/>
              </w:rPr>
              <w:tab/>
            </w:r>
            <w:r>
              <w:rPr>
                <w:noProof/>
                <w:webHidden/>
              </w:rPr>
              <w:fldChar w:fldCharType="begin"/>
            </w:r>
            <w:r>
              <w:rPr>
                <w:noProof/>
                <w:webHidden/>
              </w:rPr>
              <w:instrText xml:space="preserve"> PAGEREF _Toc182219901 \h </w:instrText>
            </w:r>
            <w:r>
              <w:rPr>
                <w:noProof/>
                <w:webHidden/>
              </w:rPr>
            </w:r>
            <w:r>
              <w:rPr>
                <w:noProof/>
                <w:webHidden/>
              </w:rPr>
              <w:fldChar w:fldCharType="separate"/>
            </w:r>
            <w:r w:rsidR="00F61DCE">
              <w:rPr>
                <w:noProof/>
                <w:webHidden/>
              </w:rPr>
              <w:t>16</w:t>
            </w:r>
            <w:r>
              <w:rPr>
                <w:noProof/>
                <w:webHidden/>
              </w:rPr>
              <w:fldChar w:fldCharType="end"/>
            </w:r>
          </w:hyperlink>
        </w:p>
        <w:p w14:paraId="5F873599" w14:textId="6A21606B"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02" w:history="1">
            <w:r w:rsidRPr="00E87E79">
              <w:rPr>
                <w:rStyle w:val="Hyperlink"/>
                <w:noProof/>
              </w:rPr>
              <w:t>3.1.2</w:t>
            </w:r>
            <w:r>
              <w:rPr>
                <w:rFonts w:eastAsiaTheme="minorEastAsia"/>
                <w:i w:val="0"/>
                <w:iCs w:val="0"/>
                <w:noProof/>
                <w:kern w:val="2"/>
                <w:sz w:val="24"/>
                <w:szCs w:val="24"/>
                <w:lang w:eastAsia="en-AU"/>
                <w14:ligatures w14:val="standardContextual"/>
              </w:rPr>
              <w:tab/>
            </w:r>
            <w:r w:rsidRPr="00E87E79">
              <w:rPr>
                <w:rStyle w:val="Hyperlink"/>
                <w:noProof/>
              </w:rPr>
              <w:t>Catch per unit effort (CPUE)</w:t>
            </w:r>
            <w:r>
              <w:rPr>
                <w:noProof/>
                <w:webHidden/>
              </w:rPr>
              <w:tab/>
            </w:r>
            <w:r>
              <w:rPr>
                <w:noProof/>
                <w:webHidden/>
              </w:rPr>
              <w:fldChar w:fldCharType="begin"/>
            </w:r>
            <w:r>
              <w:rPr>
                <w:noProof/>
                <w:webHidden/>
              </w:rPr>
              <w:instrText xml:space="preserve"> PAGEREF _Toc182219902 \h </w:instrText>
            </w:r>
            <w:r>
              <w:rPr>
                <w:noProof/>
                <w:webHidden/>
              </w:rPr>
            </w:r>
            <w:r>
              <w:rPr>
                <w:noProof/>
                <w:webHidden/>
              </w:rPr>
              <w:fldChar w:fldCharType="separate"/>
            </w:r>
            <w:r w:rsidR="00F61DCE">
              <w:rPr>
                <w:noProof/>
                <w:webHidden/>
              </w:rPr>
              <w:t>17</w:t>
            </w:r>
            <w:r>
              <w:rPr>
                <w:noProof/>
                <w:webHidden/>
              </w:rPr>
              <w:fldChar w:fldCharType="end"/>
            </w:r>
          </w:hyperlink>
        </w:p>
        <w:p w14:paraId="61201349" w14:textId="59BBE9F5"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03" w:history="1">
            <w:r w:rsidRPr="00E87E79">
              <w:rPr>
                <w:rStyle w:val="Hyperlink"/>
                <w:noProof/>
              </w:rPr>
              <w:t>3.1.3</w:t>
            </w:r>
            <w:r>
              <w:rPr>
                <w:rFonts w:eastAsiaTheme="minorEastAsia"/>
                <w:i w:val="0"/>
                <w:iCs w:val="0"/>
                <w:noProof/>
                <w:kern w:val="2"/>
                <w:sz w:val="24"/>
                <w:szCs w:val="24"/>
                <w:lang w:eastAsia="en-AU"/>
                <w14:ligatures w14:val="standardContextual"/>
              </w:rPr>
              <w:tab/>
            </w:r>
            <w:r w:rsidRPr="00E87E79">
              <w:rPr>
                <w:rStyle w:val="Hyperlink"/>
                <w:noProof/>
              </w:rPr>
              <w:t>FIS abundance</w:t>
            </w:r>
            <w:r>
              <w:rPr>
                <w:noProof/>
                <w:webHidden/>
              </w:rPr>
              <w:tab/>
            </w:r>
            <w:r>
              <w:rPr>
                <w:noProof/>
                <w:webHidden/>
              </w:rPr>
              <w:fldChar w:fldCharType="begin"/>
            </w:r>
            <w:r>
              <w:rPr>
                <w:noProof/>
                <w:webHidden/>
              </w:rPr>
              <w:instrText xml:space="preserve"> PAGEREF _Toc182219903 \h </w:instrText>
            </w:r>
            <w:r>
              <w:rPr>
                <w:noProof/>
                <w:webHidden/>
              </w:rPr>
            </w:r>
            <w:r>
              <w:rPr>
                <w:noProof/>
                <w:webHidden/>
              </w:rPr>
              <w:fldChar w:fldCharType="separate"/>
            </w:r>
            <w:r w:rsidR="00F61DCE">
              <w:rPr>
                <w:noProof/>
                <w:webHidden/>
              </w:rPr>
              <w:t>18</w:t>
            </w:r>
            <w:r>
              <w:rPr>
                <w:noProof/>
                <w:webHidden/>
              </w:rPr>
              <w:fldChar w:fldCharType="end"/>
            </w:r>
          </w:hyperlink>
        </w:p>
        <w:p w14:paraId="2690B628" w14:textId="5D8DB79B"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904" w:history="1">
            <w:r w:rsidRPr="00E87E79">
              <w:rPr>
                <w:rStyle w:val="Hyperlink"/>
                <w:noProof/>
              </w:rPr>
              <w:t>Recruit abundance</w:t>
            </w:r>
            <w:r>
              <w:rPr>
                <w:noProof/>
                <w:webHidden/>
              </w:rPr>
              <w:tab/>
            </w:r>
            <w:r>
              <w:rPr>
                <w:noProof/>
                <w:webHidden/>
              </w:rPr>
              <w:fldChar w:fldCharType="begin"/>
            </w:r>
            <w:r>
              <w:rPr>
                <w:noProof/>
                <w:webHidden/>
              </w:rPr>
              <w:instrText xml:space="preserve"> PAGEREF _Toc182219904 \h </w:instrText>
            </w:r>
            <w:r>
              <w:rPr>
                <w:noProof/>
                <w:webHidden/>
              </w:rPr>
            </w:r>
            <w:r>
              <w:rPr>
                <w:noProof/>
                <w:webHidden/>
              </w:rPr>
              <w:fldChar w:fldCharType="separate"/>
            </w:r>
            <w:r w:rsidR="00F61DCE">
              <w:rPr>
                <w:noProof/>
                <w:webHidden/>
              </w:rPr>
              <w:t>18</w:t>
            </w:r>
            <w:r>
              <w:rPr>
                <w:noProof/>
                <w:webHidden/>
              </w:rPr>
              <w:fldChar w:fldCharType="end"/>
            </w:r>
          </w:hyperlink>
        </w:p>
        <w:p w14:paraId="18A8DFD2" w14:textId="71965EAE"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905" w:history="1">
            <w:r w:rsidRPr="00E87E79">
              <w:rPr>
                <w:rStyle w:val="Hyperlink"/>
                <w:noProof/>
              </w:rPr>
              <w:t>Pre-recruit abundance</w:t>
            </w:r>
            <w:r>
              <w:rPr>
                <w:noProof/>
                <w:webHidden/>
              </w:rPr>
              <w:tab/>
            </w:r>
            <w:r>
              <w:rPr>
                <w:noProof/>
                <w:webHidden/>
              </w:rPr>
              <w:fldChar w:fldCharType="begin"/>
            </w:r>
            <w:r>
              <w:rPr>
                <w:noProof/>
                <w:webHidden/>
              </w:rPr>
              <w:instrText xml:space="preserve"> PAGEREF _Toc182219905 \h </w:instrText>
            </w:r>
            <w:r>
              <w:rPr>
                <w:noProof/>
                <w:webHidden/>
              </w:rPr>
            </w:r>
            <w:r>
              <w:rPr>
                <w:noProof/>
                <w:webHidden/>
              </w:rPr>
              <w:fldChar w:fldCharType="separate"/>
            </w:r>
            <w:r w:rsidR="00F61DCE">
              <w:rPr>
                <w:noProof/>
                <w:webHidden/>
              </w:rPr>
              <w:t>18</w:t>
            </w:r>
            <w:r>
              <w:rPr>
                <w:noProof/>
                <w:webHidden/>
              </w:rPr>
              <w:fldChar w:fldCharType="end"/>
            </w:r>
          </w:hyperlink>
        </w:p>
        <w:p w14:paraId="219F331D" w14:textId="151E5CBB" w:rsidR="001C7D95" w:rsidRDefault="001C7D95">
          <w:pPr>
            <w:pStyle w:val="TOC4"/>
            <w:tabs>
              <w:tab w:val="right" w:leader="dot" w:pos="9016"/>
            </w:tabs>
            <w:rPr>
              <w:rFonts w:eastAsiaTheme="minorEastAsia"/>
              <w:noProof/>
              <w:kern w:val="2"/>
              <w:sz w:val="24"/>
              <w:szCs w:val="24"/>
              <w:lang w:eastAsia="en-AU"/>
              <w14:ligatures w14:val="standardContextual"/>
            </w:rPr>
          </w:pPr>
          <w:hyperlink w:anchor="_Toc182219906" w:history="1">
            <w:r w:rsidRPr="00E87E79">
              <w:rPr>
                <w:rStyle w:val="Hyperlink"/>
                <w:noProof/>
              </w:rPr>
              <w:t>2024 FIS surveys</w:t>
            </w:r>
            <w:r>
              <w:rPr>
                <w:noProof/>
                <w:webHidden/>
              </w:rPr>
              <w:tab/>
            </w:r>
            <w:r>
              <w:rPr>
                <w:noProof/>
                <w:webHidden/>
              </w:rPr>
              <w:fldChar w:fldCharType="begin"/>
            </w:r>
            <w:r>
              <w:rPr>
                <w:noProof/>
                <w:webHidden/>
              </w:rPr>
              <w:instrText xml:space="preserve"> PAGEREF _Toc182219906 \h </w:instrText>
            </w:r>
            <w:r>
              <w:rPr>
                <w:noProof/>
                <w:webHidden/>
              </w:rPr>
            </w:r>
            <w:r>
              <w:rPr>
                <w:noProof/>
                <w:webHidden/>
              </w:rPr>
              <w:fldChar w:fldCharType="separate"/>
            </w:r>
            <w:r w:rsidR="00F61DCE">
              <w:rPr>
                <w:noProof/>
                <w:webHidden/>
              </w:rPr>
              <w:t>18</w:t>
            </w:r>
            <w:r>
              <w:rPr>
                <w:noProof/>
                <w:webHidden/>
              </w:rPr>
              <w:fldChar w:fldCharType="end"/>
            </w:r>
          </w:hyperlink>
        </w:p>
        <w:p w14:paraId="73789F5F" w14:textId="26AFE3DD"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07" w:history="1">
            <w:r w:rsidRPr="00E87E79">
              <w:rPr>
                <w:rStyle w:val="Hyperlink"/>
                <w:noProof/>
              </w:rPr>
              <w:t>3.1.4</w:t>
            </w:r>
            <w:r>
              <w:rPr>
                <w:rFonts w:eastAsiaTheme="minorEastAsia"/>
                <w:i w:val="0"/>
                <w:iCs w:val="0"/>
                <w:noProof/>
                <w:kern w:val="2"/>
                <w:sz w:val="24"/>
                <w:szCs w:val="24"/>
                <w:lang w:eastAsia="en-AU"/>
                <w14:ligatures w14:val="standardContextual"/>
              </w:rPr>
              <w:tab/>
            </w:r>
            <w:r w:rsidRPr="00E87E79">
              <w:rPr>
                <w:rStyle w:val="Hyperlink"/>
                <w:noProof/>
              </w:rPr>
              <w:t>Eastern Zone Performance Measures</w:t>
            </w:r>
            <w:r>
              <w:rPr>
                <w:noProof/>
                <w:webHidden/>
              </w:rPr>
              <w:tab/>
            </w:r>
            <w:r>
              <w:rPr>
                <w:noProof/>
                <w:webHidden/>
              </w:rPr>
              <w:fldChar w:fldCharType="begin"/>
            </w:r>
            <w:r>
              <w:rPr>
                <w:noProof/>
                <w:webHidden/>
              </w:rPr>
              <w:instrText xml:space="preserve"> PAGEREF _Toc182219907 \h </w:instrText>
            </w:r>
            <w:r>
              <w:rPr>
                <w:noProof/>
                <w:webHidden/>
              </w:rPr>
            </w:r>
            <w:r>
              <w:rPr>
                <w:noProof/>
                <w:webHidden/>
              </w:rPr>
              <w:fldChar w:fldCharType="separate"/>
            </w:r>
            <w:r w:rsidR="00F61DCE">
              <w:rPr>
                <w:noProof/>
                <w:webHidden/>
              </w:rPr>
              <w:t>19</w:t>
            </w:r>
            <w:r>
              <w:rPr>
                <w:noProof/>
                <w:webHidden/>
              </w:rPr>
              <w:fldChar w:fldCharType="end"/>
            </w:r>
          </w:hyperlink>
        </w:p>
        <w:p w14:paraId="7586F66C" w14:textId="608AC6BE"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08" w:history="1">
            <w:r w:rsidRPr="00E87E79">
              <w:rPr>
                <w:rStyle w:val="Hyperlink"/>
                <w:noProof/>
              </w:rPr>
              <w:t>3.2</w:t>
            </w:r>
            <w:r>
              <w:rPr>
                <w:rFonts w:eastAsiaTheme="minorEastAsia"/>
                <w:smallCaps w:val="0"/>
                <w:noProof/>
                <w:kern w:val="2"/>
                <w:sz w:val="24"/>
                <w:szCs w:val="24"/>
                <w:lang w:eastAsia="en-AU"/>
                <w14:ligatures w14:val="standardContextual"/>
              </w:rPr>
              <w:tab/>
            </w:r>
            <w:r w:rsidRPr="00E87E79">
              <w:rPr>
                <w:rStyle w:val="Hyperlink"/>
                <w:noProof/>
              </w:rPr>
              <w:t>Spatial management unit (SMU) blacklip assessment</w:t>
            </w:r>
            <w:r>
              <w:rPr>
                <w:noProof/>
                <w:webHidden/>
              </w:rPr>
              <w:tab/>
            </w:r>
            <w:r>
              <w:rPr>
                <w:noProof/>
                <w:webHidden/>
              </w:rPr>
              <w:fldChar w:fldCharType="begin"/>
            </w:r>
            <w:r>
              <w:rPr>
                <w:noProof/>
                <w:webHidden/>
              </w:rPr>
              <w:instrText xml:space="preserve"> PAGEREF _Toc182219908 \h </w:instrText>
            </w:r>
            <w:r>
              <w:rPr>
                <w:noProof/>
                <w:webHidden/>
              </w:rPr>
            </w:r>
            <w:r>
              <w:rPr>
                <w:noProof/>
                <w:webHidden/>
              </w:rPr>
              <w:fldChar w:fldCharType="separate"/>
            </w:r>
            <w:r w:rsidR="00F61DCE">
              <w:rPr>
                <w:noProof/>
                <w:webHidden/>
              </w:rPr>
              <w:t>20</w:t>
            </w:r>
            <w:r>
              <w:rPr>
                <w:noProof/>
                <w:webHidden/>
              </w:rPr>
              <w:fldChar w:fldCharType="end"/>
            </w:r>
          </w:hyperlink>
        </w:p>
        <w:p w14:paraId="55A87143" w14:textId="17B981DD"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09" w:history="1">
            <w:r w:rsidRPr="00E87E79">
              <w:rPr>
                <w:rStyle w:val="Hyperlink"/>
                <w:noProof/>
              </w:rPr>
              <w:t>3.2.1</w:t>
            </w:r>
            <w:r>
              <w:rPr>
                <w:rFonts w:eastAsiaTheme="minorEastAsia"/>
                <w:i w:val="0"/>
                <w:iCs w:val="0"/>
                <w:noProof/>
                <w:kern w:val="2"/>
                <w:sz w:val="24"/>
                <w:szCs w:val="24"/>
                <w:lang w:eastAsia="en-AU"/>
                <w14:ligatures w14:val="standardContextual"/>
              </w:rPr>
              <w:tab/>
            </w:r>
            <w:r w:rsidRPr="00E87E79">
              <w:rPr>
                <w:rStyle w:val="Hyperlink"/>
                <w:noProof/>
              </w:rPr>
              <w:t>SMU Performance Measures</w:t>
            </w:r>
            <w:r>
              <w:rPr>
                <w:noProof/>
                <w:webHidden/>
              </w:rPr>
              <w:tab/>
            </w:r>
            <w:r>
              <w:rPr>
                <w:noProof/>
                <w:webHidden/>
              </w:rPr>
              <w:fldChar w:fldCharType="begin"/>
            </w:r>
            <w:r>
              <w:rPr>
                <w:noProof/>
                <w:webHidden/>
              </w:rPr>
              <w:instrText xml:space="preserve"> PAGEREF _Toc182219909 \h </w:instrText>
            </w:r>
            <w:r>
              <w:rPr>
                <w:noProof/>
                <w:webHidden/>
              </w:rPr>
            </w:r>
            <w:r>
              <w:rPr>
                <w:noProof/>
                <w:webHidden/>
              </w:rPr>
              <w:fldChar w:fldCharType="separate"/>
            </w:r>
            <w:r w:rsidR="00F61DCE">
              <w:rPr>
                <w:noProof/>
                <w:webHidden/>
              </w:rPr>
              <w:t>20</w:t>
            </w:r>
            <w:r>
              <w:rPr>
                <w:noProof/>
                <w:webHidden/>
              </w:rPr>
              <w:fldChar w:fldCharType="end"/>
            </w:r>
          </w:hyperlink>
        </w:p>
        <w:p w14:paraId="3A0E0410" w14:textId="1D534E05"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0" w:history="1">
            <w:r w:rsidRPr="00E87E79">
              <w:rPr>
                <w:rStyle w:val="Hyperlink"/>
                <w:noProof/>
              </w:rPr>
              <w:t>3.2.2</w:t>
            </w:r>
            <w:r>
              <w:rPr>
                <w:rFonts w:eastAsiaTheme="minorEastAsia"/>
                <w:i w:val="0"/>
                <w:iCs w:val="0"/>
                <w:noProof/>
                <w:kern w:val="2"/>
                <w:sz w:val="24"/>
                <w:szCs w:val="24"/>
                <w:lang w:eastAsia="en-AU"/>
                <w14:ligatures w14:val="standardContextual"/>
              </w:rPr>
              <w:tab/>
            </w:r>
            <w:r w:rsidRPr="00E87E79">
              <w:rPr>
                <w:rStyle w:val="Hyperlink"/>
                <w:noProof/>
              </w:rPr>
              <w:t>Distribution of the catch</w:t>
            </w:r>
            <w:r>
              <w:rPr>
                <w:noProof/>
                <w:webHidden/>
              </w:rPr>
              <w:tab/>
            </w:r>
            <w:r>
              <w:rPr>
                <w:noProof/>
                <w:webHidden/>
              </w:rPr>
              <w:fldChar w:fldCharType="begin"/>
            </w:r>
            <w:r>
              <w:rPr>
                <w:noProof/>
                <w:webHidden/>
              </w:rPr>
              <w:instrText xml:space="preserve"> PAGEREF _Toc182219910 \h </w:instrText>
            </w:r>
            <w:r>
              <w:rPr>
                <w:noProof/>
                <w:webHidden/>
              </w:rPr>
            </w:r>
            <w:r>
              <w:rPr>
                <w:noProof/>
                <w:webHidden/>
              </w:rPr>
              <w:fldChar w:fldCharType="separate"/>
            </w:r>
            <w:r w:rsidR="00F61DCE">
              <w:rPr>
                <w:noProof/>
                <w:webHidden/>
              </w:rPr>
              <w:t>21</w:t>
            </w:r>
            <w:r>
              <w:rPr>
                <w:noProof/>
                <w:webHidden/>
              </w:rPr>
              <w:fldChar w:fldCharType="end"/>
            </w:r>
          </w:hyperlink>
        </w:p>
        <w:p w14:paraId="46BEA2CB" w14:textId="2AA5CA68"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1" w:history="1">
            <w:r w:rsidRPr="00E87E79">
              <w:rPr>
                <w:rStyle w:val="Hyperlink"/>
                <w:noProof/>
              </w:rPr>
              <w:t>3.2.3</w:t>
            </w:r>
            <w:r>
              <w:rPr>
                <w:rFonts w:eastAsiaTheme="minorEastAsia"/>
                <w:i w:val="0"/>
                <w:iCs w:val="0"/>
                <w:noProof/>
                <w:kern w:val="2"/>
                <w:sz w:val="24"/>
                <w:szCs w:val="24"/>
                <w:lang w:eastAsia="en-AU"/>
                <w14:ligatures w14:val="standardContextual"/>
              </w:rPr>
              <w:tab/>
            </w:r>
            <w:r w:rsidRPr="00E87E79">
              <w:rPr>
                <w:rStyle w:val="Hyperlink"/>
                <w:noProof/>
              </w:rPr>
              <w:t>Draft Harvest Strategy outputs</w:t>
            </w:r>
            <w:r>
              <w:rPr>
                <w:noProof/>
                <w:webHidden/>
              </w:rPr>
              <w:tab/>
            </w:r>
            <w:r>
              <w:rPr>
                <w:noProof/>
                <w:webHidden/>
              </w:rPr>
              <w:fldChar w:fldCharType="begin"/>
            </w:r>
            <w:r>
              <w:rPr>
                <w:noProof/>
                <w:webHidden/>
              </w:rPr>
              <w:instrText xml:space="preserve"> PAGEREF _Toc182219911 \h </w:instrText>
            </w:r>
            <w:r>
              <w:rPr>
                <w:noProof/>
                <w:webHidden/>
              </w:rPr>
            </w:r>
            <w:r>
              <w:rPr>
                <w:noProof/>
                <w:webHidden/>
              </w:rPr>
              <w:fldChar w:fldCharType="separate"/>
            </w:r>
            <w:r w:rsidR="00F61DCE">
              <w:rPr>
                <w:noProof/>
                <w:webHidden/>
              </w:rPr>
              <w:t>22</w:t>
            </w:r>
            <w:r>
              <w:rPr>
                <w:noProof/>
                <w:webHidden/>
              </w:rPr>
              <w:fldChar w:fldCharType="end"/>
            </w:r>
          </w:hyperlink>
        </w:p>
        <w:p w14:paraId="1A781C71" w14:textId="42695327"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2" w:history="1">
            <w:r w:rsidRPr="00E87E79">
              <w:rPr>
                <w:rStyle w:val="Hyperlink"/>
                <w:noProof/>
              </w:rPr>
              <w:t>3.2.4</w:t>
            </w:r>
            <w:r>
              <w:rPr>
                <w:rFonts w:eastAsiaTheme="minorEastAsia"/>
                <w:i w:val="0"/>
                <w:iCs w:val="0"/>
                <w:noProof/>
                <w:kern w:val="2"/>
                <w:sz w:val="24"/>
                <w:szCs w:val="24"/>
                <w:lang w:eastAsia="en-AU"/>
                <w14:ligatures w14:val="standardContextual"/>
              </w:rPr>
              <w:tab/>
            </w:r>
            <w:r w:rsidRPr="00E87E79">
              <w:rPr>
                <w:rStyle w:val="Hyperlink"/>
                <w:noProof/>
              </w:rPr>
              <w:t>Airport SMU (Large SMU)</w:t>
            </w:r>
            <w:r>
              <w:rPr>
                <w:noProof/>
                <w:webHidden/>
              </w:rPr>
              <w:tab/>
            </w:r>
            <w:r>
              <w:rPr>
                <w:noProof/>
                <w:webHidden/>
              </w:rPr>
              <w:fldChar w:fldCharType="begin"/>
            </w:r>
            <w:r>
              <w:rPr>
                <w:noProof/>
                <w:webHidden/>
              </w:rPr>
              <w:instrText xml:space="preserve"> PAGEREF _Toc182219912 \h </w:instrText>
            </w:r>
            <w:r>
              <w:rPr>
                <w:noProof/>
                <w:webHidden/>
              </w:rPr>
            </w:r>
            <w:r>
              <w:rPr>
                <w:noProof/>
                <w:webHidden/>
              </w:rPr>
              <w:fldChar w:fldCharType="separate"/>
            </w:r>
            <w:r w:rsidR="00F61DCE">
              <w:rPr>
                <w:noProof/>
                <w:webHidden/>
              </w:rPr>
              <w:t>23</w:t>
            </w:r>
            <w:r>
              <w:rPr>
                <w:noProof/>
                <w:webHidden/>
              </w:rPr>
              <w:fldChar w:fldCharType="end"/>
            </w:r>
          </w:hyperlink>
        </w:p>
        <w:p w14:paraId="0CE7D499" w14:textId="0C314869"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3" w:history="1">
            <w:r w:rsidRPr="00E87E79">
              <w:rPr>
                <w:rStyle w:val="Hyperlink"/>
                <w:noProof/>
              </w:rPr>
              <w:t>3.2.5</w:t>
            </w:r>
            <w:r>
              <w:rPr>
                <w:rFonts w:eastAsiaTheme="minorEastAsia"/>
                <w:i w:val="0"/>
                <w:iCs w:val="0"/>
                <w:noProof/>
                <w:kern w:val="2"/>
                <w:sz w:val="24"/>
                <w:szCs w:val="24"/>
                <w:lang w:eastAsia="en-AU"/>
                <w14:ligatures w14:val="standardContextual"/>
              </w:rPr>
              <w:tab/>
            </w:r>
            <w:r w:rsidRPr="00E87E79">
              <w:rPr>
                <w:rStyle w:val="Hyperlink"/>
                <w:noProof/>
              </w:rPr>
              <w:t>Mallacoota Central (Large SMU)</w:t>
            </w:r>
            <w:r>
              <w:rPr>
                <w:noProof/>
                <w:webHidden/>
              </w:rPr>
              <w:tab/>
            </w:r>
            <w:r>
              <w:rPr>
                <w:noProof/>
                <w:webHidden/>
              </w:rPr>
              <w:fldChar w:fldCharType="begin"/>
            </w:r>
            <w:r>
              <w:rPr>
                <w:noProof/>
                <w:webHidden/>
              </w:rPr>
              <w:instrText xml:space="preserve"> PAGEREF _Toc182219913 \h </w:instrText>
            </w:r>
            <w:r>
              <w:rPr>
                <w:noProof/>
                <w:webHidden/>
              </w:rPr>
            </w:r>
            <w:r>
              <w:rPr>
                <w:noProof/>
                <w:webHidden/>
              </w:rPr>
              <w:fldChar w:fldCharType="separate"/>
            </w:r>
            <w:r w:rsidR="00F61DCE">
              <w:rPr>
                <w:noProof/>
                <w:webHidden/>
              </w:rPr>
              <w:t>27</w:t>
            </w:r>
            <w:r>
              <w:rPr>
                <w:noProof/>
                <w:webHidden/>
              </w:rPr>
              <w:fldChar w:fldCharType="end"/>
            </w:r>
          </w:hyperlink>
        </w:p>
        <w:p w14:paraId="34D3B83E" w14:textId="58FAA9E0"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4" w:history="1">
            <w:r w:rsidRPr="00E87E79">
              <w:rPr>
                <w:rStyle w:val="Hyperlink"/>
                <w:noProof/>
              </w:rPr>
              <w:t>3.2.6</w:t>
            </w:r>
            <w:r>
              <w:rPr>
                <w:rFonts w:eastAsiaTheme="minorEastAsia"/>
                <w:i w:val="0"/>
                <w:iCs w:val="0"/>
                <w:noProof/>
                <w:kern w:val="2"/>
                <w:sz w:val="24"/>
                <w:szCs w:val="24"/>
                <w:lang w:eastAsia="en-AU"/>
                <w14:ligatures w14:val="standardContextual"/>
              </w:rPr>
              <w:tab/>
            </w:r>
            <w:r w:rsidRPr="00E87E79">
              <w:rPr>
                <w:rStyle w:val="Hyperlink"/>
                <w:noProof/>
              </w:rPr>
              <w:t>Marlo (Large SMU)</w:t>
            </w:r>
            <w:r>
              <w:rPr>
                <w:noProof/>
                <w:webHidden/>
              </w:rPr>
              <w:tab/>
            </w:r>
            <w:r>
              <w:rPr>
                <w:noProof/>
                <w:webHidden/>
              </w:rPr>
              <w:fldChar w:fldCharType="begin"/>
            </w:r>
            <w:r>
              <w:rPr>
                <w:noProof/>
                <w:webHidden/>
              </w:rPr>
              <w:instrText xml:space="preserve"> PAGEREF _Toc182219914 \h </w:instrText>
            </w:r>
            <w:r>
              <w:rPr>
                <w:noProof/>
                <w:webHidden/>
              </w:rPr>
            </w:r>
            <w:r>
              <w:rPr>
                <w:noProof/>
                <w:webHidden/>
              </w:rPr>
              <w:fldChar w:fldCharType="separate"/>
            </w:r>
            <w:r w:rsidR="00F61DCE">
              <w:rPr>
                <w:noProof/>
                <w:webHidden/>
              </w:rPr>
              <w:t>31</w:t>
            </w:r>
            <w:r>
              <w:rPr>
                <w:noProof/>
                <w:webHidden/>
              </w:rPr>
              <w:fldChar w:fldCharType="end"/>
            </w:r>
          </w:hyperlink>
        </w:p>
        <w:p w14:paraId="394FE104" w14:textId="606D8AE7"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5" w:history="1">
            <w:r w:rsidRPr="00E87E79">
              <w:rPr>
                <w:rStyle w:val="Hyperlink"/>
                <w:noProof/>
              </w:rPr>
              <w:t>3.2.7</w:t>
            </w:r>
            <w:r>
              <w:rPr>
                <w:rFonts w:eastAsiaTheme="minorEastAsia"/>
                <w:i w:val="0"/>
                <w:iCs w:val="0"/>
                <w:noProof/>
                <w:kern w:val="2"/>
                <w:sz w:val="24"/>
                <w:szCs w:val="24"/>
                <w:lang w:eastAsia="en-AU"/>
                <w14:ligatures w14:val="standardContextual"/>
              </w:rPr>
              <w:tab/>
            </w:r>
            <w:r w:rsidRPr="00E87E79">
              <w:rPr>
                <w:rStyle w:val="Hyperlink"/>
                <w:noProof/>
              </w:rPr>
              <w:t>Mallacoota East (Medium SMU)</w:t>
            </w:r>
            <w:r>
              <w:rPr>
                <w:noProof/>
                <w:webHidden/>
              </w:rPr>
              <w:tab/>
            </w:r>
            <w:r>
              <w:rPr>
                <w:noProof/>
                <w:webHidden/>
              </w:rPr>
              <w:fldChar w:fldCharType="begin"/>
            </w:r>
            <w:r>
              <w:rPr>
                <w:noProof/>
                <w:webHidden/>
              </w:rPr>
              <w:instrText xml:space="preserve"> PAGEREF _Toc182219915 \h </w:instrText>
            </w:r>
            <w:r>
              <w:rPr>
                <w:noProof/>
                <w:webHidden/>
              </w:rPr>
            </w:r>
            <w:r>
              <w:rPr>
                <w:noProof/>
                <w:webHidden/>
              </w:rPr>
              <w:fldChar w:fldCharType="separate"/>
            </w:r>
            <w:r w:rsidR="00F61DCE">
              <w:rPr>
                <w:noProof/>
                <w:webHidden/>
              </w:rPr>
              <w:t>35</w:t>
            </w:r>
            <w:r>
              <w:rPr>
                <w:noProof/>
                <w:webHidden/>
              </w:rPr>
              <w:fldChar w:fldCharType="end"/>
            </w:r>
          </w:hyperlink>
        </w:p>
        <w:p w14:paraId="48781CA9" w14:textId="13E10309"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6" w:history="1">
            <w:r w:rsidRPr="00E87E79">
              <w:rPr>
                <w:rStyle w:val="Hyperlink"/>
                <w:noProof/>
              </w:rPr>
              <w:t>3.2.1</w:t>
            </w:r>
            <w:r>
              <w:rPr>
                <w:rFonts w:eastAsiaTheme="minorEastAsia"/>
                <w:i w:val="0"/>
                <w:iCs w:val="0"/>
                <w:noProof/>
                <w:kern w:val="2"/>
                <w:sz w:val="24"/>
                <w:szCs w:val="24"/>
                <w:lang w:eastAsia="en-AU"/>
                <w14:ligatures w14:val="standardContextual"/>
              </w:rPr>
              <w:tab/>
            </w:r>
            <w:r w:rsidRPr="00E87E79">
              <w:rPr>
                <w:rStyle w:val="Hyperlink"/>
                <w:noProof/>
              </w:rPr>
              <w:t>Mallacoota Large (Small SMU)</w:t>
            </w:r>
            <w:r>
              <w:rPr>
                <w:noProof/>
                <w:webHidden/>
              </w:rPr>
              <w:tab/>
            </w:r>
            <w:r>
              <w:rPr>
                <w:noProof/>
                <w:webHidden/>
              </w:rPr>
              <w:fldChar w:fldCharType="begin"/>
            </w:r>
            <w:r>
              <w:rPr>
                <w:noProof/>
                <w:webHidden/>
              </w:rPr>
              <w:instrText xml:space="preserve"> PAGEREF _Toc182219916 \h </w:instrText>
            </w:r>
            <w:r>
              <w:rPr>
                <w:noProof/>
                <w:webHidden/>
              </w:rPr>
            </w:r>
            <w:r>
              <w:rPr>
                <w:noProof/>
                <w:webHidden/>
              </w:rPr>
              <w:fldChar w:fldCharType="separate"/>
            </w:r>
            <w:r w:rsidR="00F61DCE">
              <w:rPr>
                <w:noProof/>
                <w:webHidden/>
              </w:rPr>
              <w:t>39</w:t>
            </w:r>
            <w:r>
              <w:rPr>
                <w:noProof/>
                <w:webHidden/>
              </w:rPr>
              <w:fldChar w:fldCharType="end"/>
            </w:r>
          </w:hyperlink>
        </w:p>
        <w:p w14:paraId="42F060CD" w14:textId="007D5F11"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7" w:history="1">
            <w:r w:rsidRPr="00E87E79">
              <w:rPr>
                <w:rStyle w:val="Hyperlink"/>
                <w:noProof/>
              </w:rPr>
              <w:t>3.2.2</w:t>
            </w:r>
            <w:r>
              <w:rPr>
                <w:rFonts w:eastAsiaTheme="minorEastAsia"/>
                <w:i w:val="0"/>
                <w:iCs w:val="0"/>
                <w:noProof/>
                <w:kern w:val="2"/>
                <w:sz w:val="24"/>
                <w:szCs w:val="24"/>
                <w:lang w:eastAsia="en-AU"/>
                <w14:ligatures w14:val="standardContextual"/>
              </w:rPr>
              <w:tab/>
            </w:r>
            <w:r w:rsidRPr="00E87E79">
              <w:rPr>
                <w:rStyle w:val="Hyperlink"/>
                <w:noProof/>
              </w:rPr>
              <w:t>Mallacoota West (Small SMU)</w:t>
            </w:r>
            <w:r>
              <w:rPr>
                <w:noProof/>
                <w:webHidden/>
              </w:rPr>
              <w:tab/>
            </w:r>
            <w:r>
              <w:rPr>
                <w:noProof/>
                <w:webHidden/>
              </w:rPr>
              <w:fldChar w:fldCharType="begin"/>
            </w:r>
            <w:r>
              <w:rPr>
                <w:noProof/>
                <w:webHidden/>
              </w:rPr>
              <w:instrText xml:space="preserve"> PAGEREF _Toc182219917 \h </w:instrText>
            </w:r>
            <w:r>
              <w:rPr>
                <w:noProof/>
                <w:webHidden/>
              </w:rPr>
            </w:r>
            <w:r>
              <w:rPr>
                <w:noProof/>
                <w:webHidden/>
              </w:rPr>
              <w:fldChar w:fldCharType="separate"/>
            </w:r>
            <w:r w:rsidR="00F61DCE">
              <w:rPr>
                <w:noProof/>
                <w:webHidden/>
              </w:rPr>
              <w:t>43</w:t>
            </w:r>
            <w:r>
              <w:rPr>
                <w:noProof/>
                <w:webHidden/>
              </w:rPr>
              <w:fldChar w:fldCharType="end"/>
            </w:r>
          </w:hyperlink>
        </w:p>
        <w:p w14:paraId="1ABE7769" w14:textId="053D769D"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18" w:history="1">
            <w:r w:rsidRPr="00E87E79">
              <w:rPr>
                <w:rStyle w:val="Hyperlink"/>
                <w:noProof/>
              </w:rPr>
              <w:t>3.2.3</w:t>
            </w:r>
            <w:r>
              <w:rPr>
                <w:rFonts w:eastAsiaTheme="minorEastAsia"/>
                <w:i w:val="0"/>
                <w:iCs w:val="0"/>
                <w:noProof/>
                <w:kern w:val="2"/>
                <w:sz w:val="24"/>
                <w:szCs w:val="24"/>
                <w:lang w:eastAsia="en-AU"/>
                <w14:ligatures w14:val="standardContextual"/>
              </w:rPr>
              <w:tab/>
            </w:r>
            <w:r w:rsidRPr="00E87E79">
              <w:rPr>
                <w:rStyle w:val="Hyperlink"/>
                <w:noProof/>
              </w:rPr>
              <w:t>Mallacoota Small (Small SMU)</w:t>
            </w:r>
            <w:r>
              <w:rPr>
                <w:noProof/>
                <w:webHidden/>
              </w:rPr>
              <w:tab/>
            </w:r>
            <w:r>
              <w:rPr>
                <w:noProof/>
                <w:webHidden/>
              </w:rPr>
              <w:fldChar w:fldCharType="begin"/>
            </w:r>
            <w:r>
              <w:rPr>
                <w:noProof/>
                <w:webHidden/>
              </w:rPr>
              <w:instrText xml:space="preserve"> PAGEREF _Toc182219918 \h </w:instrText>
            </w:r>
            <w:r>
              <w:rPr>
                <w:noProof/>
                <w:webHidden/>
              </w:rPr>
            </w:r>
            <w:r>
              <w:rPr>
                <w:noProof/>
                <w:webHidden/>
              </w:rPr>
              <w:fldChar w:fldCharType="separate"/>
            </w:r>
            <w:r w:rsidR="00F61DCE">
              <w:rPr>
                <w:noProof/>
                <w:webHidden/>
              </w:rPr>
              <w:t>47</w:t>
            </w:r>
            <w:r>
              <w:rPr>
                <w:noProof/>
                <w:webHidden/>
              </w:rPr>
              <w:fldChar w:fldCharType="end"/>
            </w:r>
          </w:hyperlink>
        </w:p>
        <w:p w14:paraId="17F7AFF1" w14:textId="5E4DF662" w:rsidR="001C7D95" w:rsidRDefault="001C7D95">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82219919" w:history="1">
            <w:r w:rsidRPr="00E87E79">
              <w:rPr>
                <w:rStyle w:val="Hyperlink"/>
                <w:noProof/>
              </w:rPr>
              <w:t>4.</w:t>
            </w:r>
            <w:r>
              <w:rPr>
                <w:rFonts w:eastAsiaTheme="minorEastAsia"/>
                <w:b w:val="0"/>
                <w:bCs w:val="0"/>
                <w:caps w:val="0"/>
                <w:noProof/>
                <w:kern w:val="2"/>
                <w:sz w:val="24"/>
                <w:szCs w:val="24"/>
                <w:lang w:eastAsia="en-AU"/>
                <w14:ligatures w14:val="standardContextual"/>
              </w:rPr>
              <w:tab/>
            </w:r>
            <w:r w:rsidRPr="00E87E79">
              <w:rPr>
                <w:rStyle w:val="Hyperlink"/>
                <w:noProof/>
              </w:rPr>
              <w:t>Factors affecting the Eastern Zone abalone fishery</w:t>
            </w:r>
            <w:r>
              <w:rPr>
                <w:noProof/>
                <w:webHidden/>
              </w:rPr>
              <w:tab/>
            </w:r>
            <w:r>
              <w:rPr>
                <w:noProof/>
                <w:webHidden/>
              </w:rPr>
              <w:fldChar w:fldCharType="begin"/>
            </w:r>
            <w:r>
              <w:rPr>
                <w:noProof/>
                <w:webHidden/>
              </w:rPr>
              <w:instrText xml:space="preserve"> PAGEREF _Toc182219919 \h </w:instrText>
            </w:r>
            <w:r>
              <w:rPr>
                <w:noProof/>
                <w:webHidden/>
              </w:rPr>
            </w:r>
            <w:r>
              <w:rPr>
                <w:noProof/>
                <w:webHidden/>
              </w:rPr>
              <w:fldChar w:fldCharType="separate"/>
            </w:r>
            <w:r w:rsidR="00F61DCE">
              <w:rPr>
                <w:noProof/>
                <w:webHidden/>
              </w:rPr>
              <w:t>51</w:t>
            </w:r>
            <w:r>
              <w:rPr>
                <w:noProof/>
                <w:webHidden/>
              </w:rPr>
              <w:fldChar w:fldCharType="end"/>
            </w:r>
          </w:hyperlink>
        </w:p>
        <w:p w14:paraId="14257E41" w14:textId="2F961CB9" w:rsidR="001C7D95" w:rsidRDefault="001C7D95">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82219920" w:history="1">
            <w:r w:rsidRPr="00E87E79">
              <w:rPr>
                <w:rStyle w:val="Hyperlink"/>
                <w:noProof/>
              </w:rPr>
              <w:t>5.</w:t>
            </w:r>
            <w:r>
              <w:rPr>
                <w:rFonts w:eastAsiaTheme="minorEastAsia"/>
                <w:b w:val="0"/>
                <w:bCs w:val="0"/>
                <w:caps w:val="0"/>
                <w:noProof/>
                <w:kern w:val="2"/>
                <w:sz w:val="24"/>
                <w:szCs w:val="24"/>
                <w:lang w:eastAsia="en-AU"/>
                <w14:ligatures w14:val="standardContextual"/>
              </w:rPr>
              <w:tab/>
            </w:r>
            <w:r w:rsidRPr="00E87E79">
              <w:rPr>
                <w:rStyle w:val="Hyperlink"/>
                <w:noProof/>
              </w:rPr>
              <w:t>Conclusions and recommendations</w:t>
            </w:r>
            <w:r>
              <w:rPr>
                <w:noProof/>
                <w:webHidden/>
              </w:rPr>
              <w:tab/>
            </w:r>
            <w:r>
              <w:rPr>
                <w:noProof/>
                <w:webHidden/>
              </w:rPr>
              <w:fldChar w:fldCharType="begin"/>
            </w:r>
            <w:r>
              <w:rPr>
                <w:noProof/>
                <w:webHidden/>
              </w:rPr>
              <w:instrText xml:space="preserve"> PAGEREF _Toc182219920 \h </w:instrText>
            </w:r>
            <w:r>
              <w:rPr>
                <w:noProof/>
                <w:webHidden/>
              </w:rPr>
            </w:r>
            <w:r>
              <w:rPr>
                <w:noProof/>
                <w:webHidden/>
              </w:rPr>
              <w:fldChar w:fldCharType="separate"/>
            </w:r>
            <w:r w:rsidR="00F61DCE">
              <w:rPr>
                <w:noProof/>
                <w:webHidden/>
              </w:rPr>
              <w:t>52</w:t>
            </w:r>
            <w:r>
              <w:rPr>
                <w:noProof/>
                <w:webHidden/>
              </w:rPr>
              <w:fldChar w:fldCharType="end"/>
            </w:r>
          </w:hyperlink>
        </w:p>
        <w:p w14:paraId="7D6944F3" w14:textId="0F742013"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21" w:history="1">
            <w:r w:rsidRPr="00E87E79">
              <w:rPr>
                <w:rStyle w:val="Hyperlink"/>
                <w:noProof/>
              </w:rPr>
              <w:t>5.1</w:t>
            </w:r>
            <w:r>
              <w:rPr>
                <w:rFonts w:eastAsiaTheme="minorEastAsia"/>
                <w:smallCaps w:val="0"/>
                <w:noProof/>
                <w:kern w:val="2"/>
                <w:sz w:val="24"/>
                <w:szCs w:val="24"/>
                <w:lang w:eastAsia="en-AU"/>
                <w14:ligatures w14:val="standardContextual"/>
              </w:rPr>
              <w:tab/>
            </w:r>
            <w:r w:rsidRPr="00E87E79">
              <w:rPr>
                <w:rStyle w:val="Hyperlink"/>
                <w:noProof/>
              </w:rPr>
              <w:t>The approach to stock assessment</w:t>
            </w:r>
            <w:r>
              <w:rPr>
                <w:noProof/>
                <w:webHidden/>
              </w:rPr>
              <w:tab/>
            </w:r>
            <w:r>
              <w:rPr>
                <w:noProof/>
                <w:webHidden/>
              </w:rPr>
              <w:fldChar w:fldCharType="begin"/>
            </w:r>
            <w:r>
              <w:rPr>
                <w:noProof/>
                <w:webHidden/>
              </w:rPr>
              <w:instrText xml:space="preserve"> PAGEREF _Toc182219921 \h </w:instrText>
            </w:r>
            <w:r>
              <w:rPr>
                <w:noProof/>
                <w:webHidden/>
              </w:rPr>
            </w:r>
            <w:r>
              <w:rPr>
                <w:noProof/>
                <w:webHidden/>
              </w:rPr>
              <w:fldChar w:fldCharType="separate"/>
            </w:r>
            <w:r w:rsidR="00F61DCE">
              <w:rPr>
                <w:noProof/>
                <w:webHidden/>
              </w:rPr>
              <w:t>52</w:t>
            </w:r>
            <w:r>
              <w:rPr>
                <w:noProof/>
                <w:webHidden/>
              </w:rPr>
              <w:fldChar w:fldCharType="end"/>
            </w:r>
          </w:hyperlink>
        </w:p>
        <w:p w14:paraId="4A87071A" w14:textId="7B03262B"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22" w:history="1">
            <w:r w:rsidRPr="00E87E79">
              <w:rPr>
                <w:rStyle w:val="Hyperlink"/>
                <w:noProof/>
              </w:rPr>
              <w:t>5.1.1</w:t>
            </w:r>
            <w:r>
              <w:rPr>
                <w:rFonts w:eastAsiaTheme="minorEastAsia"/>
                <w:i w:val="0"/>
                <w:iCs w:val="0"/>
                <w:noProof/>
                <w:kern w:val="2"/>
                <w:sz w:val="24"/>
                <w:szCs w:val="24"/>
                <w:lang w:eastAsia="en-AU"/>
                <w14:ligatures w14:val="standardContextual"/>
              </w:rPr>
              <w:tab/>
            </w:r>
            <w:r w:rsidRPr="00E87E79">
              <w:rPr>
                <w:rStyle w:val="Hyperlink"/>
                <w:noProof/>
              </w:rPr>
              <w:t>CPUE standardisation</w:t>
            </w:r>
            <w:r>
              <w:rPr>
                <w:noProof/>
                <w:webHidden/>
              </w:rPr>
              <w:tab/>
            </w:r>
            <w:r>
              <w:rPr>
                <w:noProof/>
                <w:webHidden/>
              </w:rPr>
              <w:fldChar w:fldCharType="begin"/>
            </w:r>
            <w:r>
              <w:rPr>
                <w:noProof/>
                <w:webHidden/>
              </w:rPr>
              <w:instrText xml:space="preserve"> PAGEREF _Toc182219922 \h </w:instrText>
            </w:r>
            <w:r>
              <w:rPr>
                <w:noProof/>
                <w:webHidden/>
              </w:rPr>
            </w:r>
            <w:r>
              <w:rPr>
                <w:noProof/>
                <w:webHidden/>
              </w:rPr>
              <w:fldChar w:fldCharType="separate"/>
            </w:r>
            <w:r w:rsidR="00F61DCE">
              <w:rPr>
                <w:noProof/>
                <w:webHidden/>
              </w:rPr>
              <w:t>52</w:t>
            </w:r>
            <w:r>
              <w:rPr>
                <w:noProof/>
                <w:webHidden/>
              </w:rPr>
              <w:fldChar w:fldCharType="end"/>
            </w:r>
          </w:hyperlink>
        </w:p>
        <w:p w14:paraId="39284EC8" w14:textId="149AE9A5"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23" w:history="1">
            <w:r w:rsidRPr="00E87E79">
              <w:rPr>
                <w:rStyle w:val="Hyperlink"/>
                <w:noProof/>
              </w:rPr>
              <w:t>5.1.2</w:t>
            </w:r>
            <w:r>
              <w:rPr>
                <w:rFonts w:eastAsiaTheme="minorEastAsia"/>
                <w:i w:val="0"/>
                <w:iCs w:val="0"/>
                <w:noProof/>
                <w:kern w:val="2"/>
                <w:sz w:val="24"/>
                <w:szCs w:val="24"/>
                <w:lang w:eastAsia="en-AU"/>
                <w14:ligatures w14:val="standardContextual"/>
              </w:rPr>
              <w:tab/>
            </w:r>
            <w:r w:rsidRPr="00E87E79">
              <w:rPr>
                <w:rStyle w:val="Hyperlink"/>
                <w:noProof/>
              </w:rPr>
              <w:t>Performance Indicators</w:t>
            </w:r>
            <w:r>
              <w:rPr>
                <w:noProof/>
                <w:webHidden/>
              </w:rPr>
              <w:tab/>
            </w:r>
            <w:r>
              <w:rPr>
                <w:noProof/>
                <w:webHidden/>
              </w:rPr>
              <w:fldChar w:fldCharType="begin"/>
            </w:r>
            <w:r>
              <w:rPr>
                <w:noProof/>
                <w:webHidden/>
              </w:rPr>
              <w:instrText xml:space="preserve"> PAGEREF _Toc182219923 \h </w:instrText>
            </w:r>
            <w:r>
              <w:rPr>
                <w:noProof/>
                <w:webHidden/>
              </w:rPr>
            </w:r>
            <w:r>
              <w:rPr>
                <w:noProof/>
                <w:webHidden/>
              </w:rPr>
              <w:fldChar w:fldCharType="separate"/>
            </w:r>
            <w:r w:rsidR="00F61DCE">
              <w:rPr>
                <w:noProof/>
                <w:webHidden/>
              </w:rPr>
              <w:t>53</w:t>
            </w:r>
            <w:r>
              <w:rPr>
                <w:noProof/>
                <w:webHidden/>
              </w:rPr>
              <w:fldChar w:fldCharType="end"/>
            </w:r>
          </w:hyperlink>
        </w:p>
        <w:p w14:paraId="5A631C6E" w14:textId="6C40D9BC"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24" w:history="1">
            <w:r w:rsidRPr="00E87E79">
              <w:rPr>
                <w:rStyle w:val="Hyperlink"/>
                <w:noProof/>
              </w:rPr>
              <w:t>5.1.3</w:t>
            </w:r>
            <w:r>
              <w:rPr>
                <w:rFonts w:eastAsiaTheme="minorEastAsia"/>
                <w:i w:val="0"/>
                <w:iCs w:val="0"/>
                <w:noProof/>
                <w:kern w:val="2"/>
                <w:sz w:val="24"/>
                <w:szCs w:val="24"/>
                <w:lang w:eastAsia="en-AU"/>
                <w14:ligatures w14:val="standardContextual"/>
              </w:rPr>
              <w:tab/>
            </w:r>
            <w:r w:rsidRPr="00E87E79">
              <w:rPr>
                <w:rStyle w:val="Hyperlink"/>
                <w:noProof/>
              </w:rPr>
              <w:t>Draft Harvest Strategy</w:t>
            </w:r>
            <w:r>
              <w:rPr>
                <w:noProof/>
                <w:webHidden/>
              </w:rPr>
              <w:tab/>
            </w:r>
            <w:r>
              <w:rPr>
                <w:noProof/>
                <w:webHidden/>
              </w:rPr>
              <w:fldChar w:fldCharType="begin"/>
            </w:r>
            <w:r>
              <w:rPr>
                <w:noProof/>
                <w:webHidden/>
              </w:rPr>
              <w:instrText xml:space="preserve"> PAGEREF _Toc182219924 \h </w:instrText>
            </w:r>
            <w:r>
              <w:rPr>
                <w:noProof/>
                <w:webHidden/>
              </w:rPr>
            </w:r>
            <w:r>
              <w:rPr>
                <w:noProof/>
                <w:webHidden/>
              </w:rPr>
              <w:fldChar w:fldCharType="separate"/>
            </w:r>
            <w:r w:rsidR="00F61DCE">
              <w:rPr>
                <w:noProof/>
                <w:webHidden/>
              </w:rPr>
              <w:t>53</w:t>
            </w:r>
            <w:r>
              <w:rPr>
                <w:noProof/>
                <w:webHidden/>
              </w:rPr>
              <w:fldChar w:fldCharType="end"/>
            </w:r>
          </w:hyperlink>
        </w:p>
        <w:p w14:paraId="274696A2" w14:textId="5877E2CE"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25" w:history="1">
            <w:r w:rsidRPr="00E87E79">
              <w:rPr>
                <w:rStyle w:val="Hyperlink"/>
                <w:noProof/>
              </w:rPr>
              <w:t>5.1.4</w:t>
            </w:r>
            <w:r>
              <w:rPr>
                <w:rFonts w:eastAsiaTheme="minorEastAsia"/>
                <w:i w:val="0"/>
                <w:iCs w:val="0"/>
                <w:noProof/>
                <w:kern w:val="2"/>
                <w:sz w:val="24"/>
                <w:szCs w:val="24"/>
                <w:lang w:eastAsia="en-AU"/>
                <w14:ligatures w14:val="standardContextual"/>
              </w:rPr>
              <w:tab/>
            </w:r>
            <w:r w:rsidRPr="00E87E79">
              <w:rPr>
                <w:rStyle w:val="Hyperlink"/>
                <w:noProof/>
              </w:rPr>
              <w:t>Weight of evidence</w:t>
            </w:r>
            <w:r>
              <w:rPr>
                <w:noProof/>
                <w:webHidden/>
              </w:rPr>
              <w:tab/>
            </w:r>
            <w:r>
              <w:rPr>
                <w:noProof/>
                <w:webHidden/>
              </w:rPr>
              <w:fldChar w:fldCharType="begin"/>
            </w:r>
            <w:r>
              <w:rPr>
                <w:noProof/>
                <w:webHidden/>
              </w:rPr>
              <w:instrText xml:space="preserve"> PAGEREF _Toc182219925 \h </w:instrText>
            </w:r>
            <w:r>
              <w:rPr>
                <w:noProof/>
                <w:webHidden/>
              </w:rPr>
            </w:r>
            <w:r>
              <w:rPr>
                <w:noProof/>
                <w:webHidden/>
              </w:rPr>
              <w:fldChar w:fldCharType="separate"/>
            </w:r>
            <w:r w:rsidR="00F61DCE">
              <w:rPr>
                <w:noProof/>
                <w:webHidden/>
              </w:rPr>
              <w:t>54</w:t>
            </w:r>
            <w:r>
              <w:rPr>
                <w:noProof/>
                <w:webHidden/>
              </w:rPr>
              <w:fldChar w:fldCharType="end"/>
            </w:r>
          </w:hyperlink>
        </w:p>
        <w:p w14:paraId="5A0D8331" w14:textId="0EC01819"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26" w:history="1">
            <w:r w:rsidRPr="00E87E79">
              <w:rPr>
                <w:rStyle w:val="Hyperlink"/>
                <w:noProof/>
              </w:rPr>
              <w:t>5.2</w:t>
            </w:r>
            <w:r>
              <w:rPr>
                <w:rFonts w:eastAsiaTheme="minorEastAsia"/>
                <w:smallCaps w:val="0"/>
                <w:noProof/>
                <w:kern w:val="2"/>
                <w:sz w:val="24"/>
                <w:szCs w:val="24"/>
                <w:lang w:eastAsia="en-AU"/>
                <w14:ligatures w14:val="standardContextual"/>
              </w:rPr>
              <w:tab/>
            </w:r>
            <w:r w:rsidRPr="00E87E79">
              <w:rPr>
                <w:rStyle w:val="Hyperlink"/>
                <w:noProof/>
              </w:rPr>
              <w:t>TACC setting and Optimal Target catches</w:t>
            </w:r>
            <w:r>
              <w:rPr>
                <w:noProof/>
                <w:webHidden/>
              </w:rPr>
              <w:tab/>
            </w:r>
            <w:r>
              <w:rPr>
                <w:noProof/>
                <w:webHidden/>
              </w:rPr>
              <w:fldChar w:fldCharType="begin"/>
            </w:r>
            <w:r>
              <w:rPr>
                <w:noProof/>
                <w:webHidden/>
              </w:rPr>
              <w:instrText xml:space="preserve"> PAGEREF _Toc182219926 \h </w:instrText>
            </w:r>
            <w:r>
              <w:rPr>
                <w:noProof/>
                <w:webHidden/>
              </w:rPr>
            </w:r>
            <w:r>
              <w:rPr>
                <w:noProof/>
                <w:webHidden/>
              </w:rPr>
              <w:fldChar w:fldCharType="separate"/>
            </w:r>
            <w:r w:rsidR="00F61DCE">
              <w:rPr>
                <w:noProof/>
                <w:webHidden/>
              </w:rPr>
              <w:t>54</w:t>
            </w:r>
            <w:r>
              <w:rPr>
                <w:noProof/>
                <w:webHidden/>
              </w:rPr>
              <w:fldChar w:fldCharType="end"/>
            </w:r>
          </w:hyperlink>
        </w:p>
        <w:p w14:paraId="536ECD6F" w14:textId="318F4ABB"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27" w:history="1">
            <w:r w:rsidRPr="00E87E79">
              <w:rPr>
                <w:rStyle w:val="Hyperlink"/>
                <w:noProof/>
              </w:rPr>
              <w:t>5.3</w:t>
            </w:r>
            <w:r>
              <w:rPr>
                <w:rFonts w:eastAsiaTheme="minorEastAsia"/>
                <w:smallCaps w:val="0"/>
                <w:noProof/>
                <w:kern w:val="2"/>
                <w:sz w:val="24"/>
                <w:szCs w:val="24"/>
                <w:lang w:eastAsia="en-AU"/>
                <w14:ligatures w14:val="standardContextual"/>
              </w:rPr>
              <w:tab/>
            </w:r>
            <w:r w:rsidRPr="00E87E79">
              <w:rPr>
                <w:rStyle w:val="Hyperlink"/>
                <w:noProof/>
              </w:rPr>
              <w:t>Eastern Zone trends in available data</w:t>
            </w:r>
            <w:r>
              <w:rPr>
                <w:noProof/>
                <w:webHidden/>
              </w:rPr>
              <w:tab/>
            </w:r>
            <w:r>
              <w:rPr>
                <w:noProof/>
                <w:webHidden/>
              </w:rPr>
              <w:fldChar w:fldCharType="begin"/>
            </w:r>
            <w:r>
              <w:rPr>
                <w:noProof/>
                <w:webHidden/>
              </w:rPr>
              <w:instrText xml:space="preserve"> PAGEREF _Toc182219927 \h </w:instrText>
            </w:r>
            <w:r>
              <w:rPr>
                <w:noProof/>
                <w:webHidden/>
              </w:rPr>
            </w:r>
            <w:r>
              <w:rPr>
                <w:noProof/>
                <w:webHidden/>
              </w:rPr>
              <w:fldChar w:fldCharType="separate"/>
            </w:r>
            <w:r w:rsidR="00F61DCE">
              <w:rPr>
                <w:noProof/>
                <w:webHidden/>
              </w:rPr>
              <w:t>55</w:t>
            </w:r>
            <w:r>
              <w:rPr>
                <w:noProof/>
                <w:webHidden/>
              </w:rPr>
              <w:fldChar w:fldCharType="end"/>
            </w:r>
          </w:hyperlink>
        </w:p>
        <w:p w14:paraId="5CCC04F9" w14:textId="731E1C27"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28" w:history="1">
            <w:r w:rsidRPr="00E87E79">
              <w:rPr>
                <w:rStyle w:val="Hyperlink"/>
                <w:noProof/>
              </w:rPr>
              <w:t>5.4</w:t>
            </w:r>
            <w:r>
              <w:rPr>
                <w:rFonts w:eastAsiaTheme="minorEastAsia"/>
                <w:smallCaps w:val="0"/>
                <w:noProof/>
                <w:kern w:val="2"/>
                <w:sz w:val="24"/>
                <w:szCs w:val="24"/>
                <w:lang w:eastAsia="en-AU"/>
                <w14:ligatures w14:val="standardContextual"/>
              </w:rPr>
              <w:tab/>
            </w:r>
            <w:r w:rsidRPr="00E87E79">
              <w:rPr>
                <w:rStyle w:val="Hyperlink"/>
                <w:noProof/>
              </w:rPr>
              <w:t>Eastern Zone Stock Status</w:t>
            </w:r>
            <w:r>
              <w:rPr>
                <w:noProof/>
                <w:webHidden/>
              </w:rPr>
              <w:tab/>
            </w:r>
            <w:r>
              <w:rPr>
                <w:noProof/>
                <w:webHidden/>
              </w:rPr>
              <w:fldChar w:fldCharType="begin"/>
            </w:r>
            <w:r>
              <w:rPr>
                <w:noProof/>
                <w:webHidden/>
              </w:rPr>
              <w:instrText xml:space="preserve"> PAGEREF _Toc182219928 \h </w:instrText>
            </w:r>
            <w:r>
              <w:rPr>
                <w:noProof/>
                <w:webHidden/>
              </w:rPr>
            </w:r>
            <w:r>
              <w:rPr>
                <w:noProof/>
                <w:webHidden/>
              </w:rPr>
              <w:fldChar w:fldCharType="separate"/>
            </w:r>
            <w:r w:rsidR="00F61DCE">
              <w:rPr>
                <w:noProof/>
                <w:webHidden/>
              </w:rPr>
              <w:t>55</w:t>
            </w:r>
            <w:r>
              <w:rPr>
                <w:noProof/>
                <w:webHidden/>
              </w:rPr>
              <w:fldChar w:fldCharType="end"/>
            </w:r>
          </w:hyperlink>
        </w:p>
        <w:p w14:paraId="19E7A2A5" w14:textId="3A2BF21C" w:rsidR="001C7D95" w:rsidRDefault="001C7D95">
          <w:pPr>
            <w:pStyle w:val="TOC2"/>
            <w:tabs>
              <w:tab w:val="left" w:pos="880"/>
              <w:tab w:val="right" w:leader="dot" w:pos="9016"/>
            </w:tabs>
            <w:rPr>
              <w:rFonts w:eastAsiaTheme="minorEastAsia"/>
              <w:smallCaps w:val="0"/>
              <w:noProof/>
              <w:kern w:val="2"/>
              <w:sz w:val="24"/>
              <w:szCs w:val="24"/>
              <w:lang w:eastAsia="en-AU"/>
              <w14:ligatures w14:val="standardContextual"/>
            </w:rPr>
          </w:pPr>
          <w:hyperlink w:anchor="_Toc182219929" w:history="1">
            <w:r w:rsidRPr="00E87E79">
              <w:rPr>
                <w:rStyle w:val="Hyperlink"/>
                <w:noProof/>
              </w:rPr>
              <w:t>5.5</w:t>
            </w:r>
            <w:r>
              <w:rPr>
                <w:rFonts w:eastAsiaTheme="minorEastAsia"/>
                <w:smallCaps w:val="0"/>
                <w:noProof/>
                <w:kern w:val="2"/>
                <w:sz w:val="24"/>
                <w:szCs w:val="24"/>
                <w:lang w:eastAsia="en-AU"/>
                <w14:ligatures w14:val="standardContextual"/>
              </w:rPr>
              <w:tab/>
            </w:r>
            <w:r w:rsidRPr="00E87E79">
              <w:rPr>
                <w:rStyle w:val="Hyperlink"/>
                <w:noProof/>
              </w:rPr>
              <w:t>Future Monitoring and Research</w:t>
            </w:r>
            <w:r>
              <w:rPr>
                <w:noProof/>
                <w:webHidden/>
              </w:rPr>
              <w:tab/>
            </w:r>
            <w:r>
              <w:rPr>
                <w:noProof/>
                <w:webHidden/>
              </w:rPr>
              <w:fldChar w:fldCharType="begin"/>
            </w:r>
            <w:r>
              <w:rPr>
                <w:noProof/>
                <w:webHidden/>
              </w:rPr>
              <w:instrText xml:space="preserve"> PAGEREF _Toc182219929 \h </w:instrText>
            </w:r>
            <w:r>
              <w:rPr>
                <w:noProof/>
                <w:webHidden/>
              </w:rPr>
            </w:r>
            <w:r>
              <w:rPr>
                <w:noProof/>
                <w:webHidden/>
              </w:rPr>
              <w:fldChar w:fldCharType="separate"/>
            </w:r>
            <w:r w:rsidR="00F61DCE">
              <w:rPr>
                <w:noProof/>
                <w:webHidden/>
              </w:rPr>
              <w:t>56</w:t>
            </w:r>
            <w:r>
              <w:rPr>
                <w:noProof/>
                <w:webHidden/>
              </w:rPr>
              <w:fldChar w:fldCharType="end"/>
            </w:r>
          </w:hyperlink>
        </w:p>
        <w:p w14:paraId="665753C7" w14:textId="23B60853" w:rsidR="001C7D95" w:rsidRDefault="001C7D95">
          <w:pPr>
            <w:pStyle w:val="TOC1"/>
            <w:tabs>
              <w:tab w:val="left" w:pos="440"/>
              <w:tab w:val="right" w:leader="dot" w:pos="9016"/>
            </w:tabs>
            <w:rPr>
              <w:rFonts w:eastAsiaTheme="minorEastAsia"/>
              <w:b w:val="0"/>
              <w:bCs w:val="0"/>
              <w:caps w:val="0"/>
              <w:noProof/>
              <w:kern w:val="2"/>
              <w:sz w:val="24"/>
              <w:szCs w:val="24"/>
              <w:lang w:eastAsia="en-AU"/>
              <w14:ligatures w14:val="standardContextual"/>
            </w:rPr>
          </w:pPr>
          <w:hyperlink w:anchor="_Toc182219930" w:history="1">
            <w:r w:rsidRPr="00E87E79">
              <w:rPr>
                <w:rStyle w:val="Hyperlink"/>
                <w:noProof/>
              </w:rPr>
              <w:t>6.</w:t>
            </w:r>
            <w:r>
              <w:rPr>
                <w:rFonts w:eastAsiaTheme="minorEastAsia"/>
                <w:b w:val="0"/>
                <w:bCs w:val="0"/>
                <w:caps w:val="0"/>
                <w:noProof/>
                <w:kern w:val="2"/>
                <w:sz w:val="24"/>
                <w:szCs w:val="24"/>
                <w:lang w:eastAsia="en-AU"/>
                <w14:ligatures w14:val="standardContextual"/>
              </w:rPr>
              <w:tab/>
            </w:r>
            <w:r w:rsidRPr="00E87E79">
              <w:rPr>
                <w:rStyle w:val="Hyperlink"/>
                <w:noProof/>
              </w:rPr>
              <w:t>References</w:t>
            </w:r>
            <w:r>
              <w:rPr>
                <w:noProof/>
                <w:webHidden/>
              </w:rPr>
              <w:tab/>
            </w:r>
            <w:r>
              <w:rPr>
                <w:noProof/>
                <w:webHidden/>
              </w:rPr>
              <w:fldChar w:fldCharType="begin"/>
            </w:r>
            <w:r>
              <w:rPr>
                <w:noProof/>
                <w:webHidden/>
              </w:rPr>
              <w:instrText xml:space="preserve"> PAGEREF _Toc182219930 \h </w:instrText>
            </w:r>
            <w:r>
              <w:rPr>
                <w:noProof/>
                <w:webHidden/>
              </w:rPr>
            </w:r>
            <w:r>
              <w:rPr>
                <w:noProof/>
                <w:webHidden/>
              </w:rPr>
              <w:fldChar w:fldCharType="separate"/>
            </w:r>
            <w:r w:rsidR="00F61DCE">
              <w:rPr>
                <w:noProof/>
                <w:webHidden/>
              </w:rPr>
              <w:t>57</w:t>
            </w:r>
            <w:r>
              <w:rPr>
                <w:noProof/>
                <w:webHidden/>
              </w:rPr>
              <w:fldChar w:fldCharType="end"/>
            </w:r>
          </w:hyperlink>
        </w:p>
        <w:p w14:paraId="3F35F034" w14:textId="17CAE8F1"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1" w:history="1">
            <w:r w:rsidRPr="00E87E79">
              <w:rPr>
                <w:rStyle w:val="Hyperlink"/>
                <w:noProof/>
              </w:rPr>
              <w:t>Appendix 1: Summary of LML changes</w:t>
            </w:r>
            <w:r>
              <w:rPr>
                <w:noProof/>
                <w:webHidden/>
              </w:rPr>
              <w:tab/>
            </w:r>
            <w:r>
              <w:rPr>
                <w:noProof/>
                <w:webHidden/>
              </w:rPr>
              <w:fldChar w:fldCharType="begin"/>
            </w:r>
            <w:r>
              <w:rPr>
                <w:noProof/>
                <w:webHidden/>
              </w:rPr>
              <w:instrText xml:space="preserve"> PAGEREF _Toc182219931 \h </w:instrText>
            </w:r>
            <w:r>
              <w:rPr>
                <w:noProof/>
                <w:webHidden/>
              </w:rPr>
            </w:r>
            <w:r>
              <w:rPr>
                <w:noProof/>
                <w:webHidden/>
              </w:rPr>
              <w:fldChar w:fldCharType="separate"/>
            </w:r>
            <w:r w:rsidR="00F61DCE">
              <w:rPr>
                <w:noProof/>
                <w:webHidden/>
              </w:rPr>
              <w:t>59</w:t>
            </w:r>
            <w:r>
              <w:rPr>
                <w:noProof/>
                <w:webHidden/>
              </w:rPr>
              <w:fldChar w:fldCharType="end"/>
            </w:r>
          </w:hyperlink>
        </w:p>
        <w:p w14:paraId="134CDED9" w14:textId="51BDACCE"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2" w:history="1">
            <w:r w:rsidRPr="00E87E79">
              <w:rPr>
                <w:rStyle w:val="Hyperlink"/>
                <w:noProof/>
              </w:rPr>
              <w:t>Appendix 2: Correlation between nominal CPUE and nominal FIS recruit abundance.</w:t>
            </w:r>
            <w:r>
              <w:rPr>
                <w:noProof/>
                <w:webHidden/>
              </w:rPr>
              <w:tab/>
            </w:r>
            <w:r>
              <w:rPr>
                <w:noProof/>
                <w:webHidden/>
              </w:rPr>
              <w:fldChar w:fldCharType="begin"/>
            </w:r>
            <w:r>
              <w:rPr>
                <w:noProof/>
                <w:webHidden/>
              </w:rPr>
              <w:instrText xml:space="preserve"> PAGEREF _Toc182219932 \h </w:instrText>
            </w:r>
            <w:r>
              <w:rPr>
                <w:noProof/>
                <w:webHidden/>
              </w:rPr>
            </w:r>
            <w:r>
              <w:rPr>
                <w:noProof/>
                <w:webHidden/>
              </w:rPr>
              <w:fldChar w:fldCharType="separate"/>
            </w:r>
            <w:r w:rsidR="00F61DCE">
              <w:rPr>
                <w:noProof/>
                <w:webHidden/>
              </w:rPr>
              <w:t>59</w:t>
            </w:r>
            <w:r>
              <w:rPr>
                <w:noProof/>
                <w:webHidden/>
              </w:rPr>
              <w:fldChar w:fldCharType="end"/>
            </w:r>
          </w:hyperlink>
        </w:p>
        <w:p w14:paraId="070DEA26" w14:textId="01BC3CF6" w:rsidR="001C7D95" w:rsidRDefault="001C7D95">
          <w:pPr>
            <w:pStyle w:val="TOC3"/>
            <w:tabs>
              <w:tab w:val="left" w:pos="1320"/>
              <w:tab w:val="right" w:leader="dot" w:pos="9016"/>
            </w:tabs>
            <w:rPr>
              <w:rFonts w:eastAsiaTheme="minorEastAsia"/>
              <w:i w:val="0"/>
              <w:iCs w:val="0"/>
              <w:noProof/>
              <w:kern w:val="2"/>
              <w:sz w:val="24"/>
              <w:szCs w:val="24"/>
              <w:lang w:eastAsia="en-AU"/>
              <w14:ligatures w14:val="standardContextual"/>
            </w:rPr>
          </w:pPr>
          <w:hyperlink w:anchor="_Toc182219933" w:history="1">
            <w:r w:rsidRPr="00E87E79">
              <w:rPr>
                <w:rStyle w:val="Hyperlink"/>
                <w:noProof/>
              </w:rPr>
              <w:t>6.1.1</w:t>
            </w:r>
            <w:r>
              <w:rPr>
                <w:rFonts w:eastAsiaTheme="minorEastAsia"/>
                <w:i w:val="0"/>
                <w:iCs w:val="0"/>
                <w:noProof/>
                <w:kern w:val="2"/>
                <w:sz w:val="24"/>
                <w:szCs w:val="24"/>
                <w:lang w:eastAsia="en-AU"/>
                <w14:ligatures w14:val="standardContextual"/>
              </w:rPr>
              <w:tab/>
            </w:r>
            <w:r w:rsidRPr="00E87E79">
              <w:rPr>
                <w:rStyle w:val="Hyperlink"/>
                <w:noProof/>
              </w:rPr>
              <w:t>Comparison of CPUE and FIS data</w:t>
            </w:r>
            <w:r>
              <w:rPr>
                <w:noProof/>
                <w:webHidden/>
              </w:rPr>
              <w:tab/>
            </w:r>
            <w:r>
              <w:rPr>
                <w:noProof/>
                <w:webHidden/>
              </w:rPr>
              <w:fldChar w:fldCharType="begin"/>
            </w:r>
            <w:r>
              <w:rPr>
                <w:noProof/>
                <w:webHidden/>
              </w:rPr>
              <w:instrText xml:space="preserve"> PAGEREF _Toc182219933 \h </w:instrText>
            </w:r>
            <w:r>
              <w:rPr>
                <w:noProof/>
                <w:webHidden/>
              </w:rPr>
            </w:r>
            <w:r>
              <w:rPr>
                <w:noProof/>
                <w:webHidden/>
              </w:rPr>
              <w:fldChar w:fldCharType="separate"/>
            </w:r>
            <w:r w:rsidR="00F61DCE">
              <w:rPr>
                <w:noProof/>
                <w:webHidden/>
              </w:rPr>
              <w:t>59</w:t>
            </w:r>
            <w:r>
              <w:rPr>
                <w:noProof/>
                <w:webHidden/>
              </w:rPr>
              <w:fldChar w:fldCharType="end"/>
            </w:r>
          </w:hyperlink>
        </w:p>
        <w:p w14:paraId="3BDC79F0" w14:textId="72C7C391"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4" w:history="1">
            <w:r w:rsidRPr="00E87E79">
              <w:rPr>
                <w:rStyle w:val="Hyperlink"/>
                <w:noProof/>
              </w:rPr>
              <w:t>Appendix 3: Comparison of size structure data gathered in FIS since 2003.</w:t>
            </w:r>
            <w:r>
              <w:rPr>
                <w:noProof/>
                <w:webHidden/>
              </w:rPr>
              <w:tab/>
            </w:r>
            <w:r>
              <w:rPr>
                <w:noProof/>
                <w:webHidden/>
              </w:rPr>
              <w:fldChar w:fldCharType="begin"/>
            </w:r>
            <w:r>
              <w:rPr>
                <w:noProof/>
                <w:webHidden/>
              </w:rPr>
              <w:instrText xml:space="preserve"> PAGEREF _Toc182219934 \h </w:instrText>
            </w:r>
            <w:r>
              <w:rPr>
                <w:noProof/>
                <w:webHidden/>
              </w:rPr>
            </w:r>
            <w:r>
              <w:rPr>
                <w:noProof/>
                <w:webHidden/>
              </w:rPr>
              <w:fldChar w:fldCharType="separate"/>
            </w:r>
            <w:r w:rsidR="00F61DCE">
              <w:rPr>
                <w:noProof/>
                <w:webHidden/>
              </w:rPr>
              <w:t>64</w:t>
            </w:r>
            <w:r>
              <w:rPr>
                <w:noProof/>
                <w:webHidden/>
              </w:rPr>
              <w:fldChar w:fldCharType="end"/>
            </w:r>
          </w:hyperlink>
        </w:p>
        <w:p w14:paraId="143EC6A1" w14:textId="363CCACB"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5" w:history="1">
            <w:r w:rsidRPr="00E87E79">
              <w:rPr>
                <w:rStyle w:val="Hyperlink"/>
                <w:noProof/>
              </w:rPr>
              <w:t>Appendix 4: FIS length frequency data for (a) all sites and (b) Top 15 sites at each SMU</w:t>
            </w:r>
            <w:r>
              <w:rPr>
                <w:noProof/>
                <w:webHidden/>
              </w:rPr>
              <w:tab/>
            </w:r>
            <w:r>
              <w:rPr>
                <w:noProof/>
                <w:webHidden/>
              </w:rPr>
              <w:fldChar w:fldCharType="begin"/>
            </w:r>
            <w:r>
              <w:rPr>
                <w:noProof/>
                <w:webHidden/>
              </w:rPr>
              <w:instrText xml:space="preserve"> PAGEREF _Toc182219935 \h </w:instrText>
            </w:r>
            <w:r>
              <w:rPr>
                <w:noProof/>
                <w:webHidden/>
              </w:rPr>
            </w:r>
            <w:r>
              <w:rPr>
                <w:noProof/>
                <w:webHidden/>
              </w:rPr>
              <w:fldChar w:fldCharType="separate"/>
            </w:r>
            <w:r w:rsidR="00F61DCE">
              <w:rPr>
                <w:noProof/>
                <w:webHidden/>
              </w:rPr>
              <w:t>66</w:t>
            </w:r>
            <w:r>
              <w:rPr>
                <w:noProof/>
                <w:webHidden/>
              </w:rPr>
              <w:fldChar w:fldCharType="end"/>
            </w:r>
          </w:hyperlink>
        </w:p>
        <w:p w14:paraId="4756CB2E" w14:textId="1089131A"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6" w:history="1">
            <w:r w:rsidRPr="00E87E79">
              <w:rPr>
                <w:rStyle w:val="Hyperlink"/>
                <w:noProof/>
              </w:rPr>
              <w:t>Appendix 5: Commercial length frequency data for each SMU</w:t>
            </w:r>
            <w:r>
              <w:rPr>
                <w:noProof/>
                <w:webHidden/>
              </w:rPr>
              <w:tab/>
            </w:r>
            <w:r>
              <w:rPr>
                <w:noProof/>
                <w:webHidden/>
              </w:rPr>
              <w:fldChar w:fldCharType="begin"/>
            </w:r>
            <w:r>
              <w:rPr>
                <w:noProof/>
                <w:webHidden/>
              </w:rPr>
              <w:instrText xml:space="preserve"> PAGEREF _Toc182219936 \h </w:instrText>
            </w:r>
            <w:r>
              <w:rPr>
                <w:noProof/>
                <w:webHidden/>
              </w:rPr>
            </w:r>
            <w:r>
              <w:rPr>
                <w:noProof/>
                <w:webHidden/>
              </w:rPr>
              <w:fldChar w:fldCharType="separate"/>
            </w:r>
            <w:r w:rsidR="00F61DCE">
              <w:rPr>
                <w:noProof/>
                <w:webHidden/>
              </w:rPr>
              <w:t>73</w:t>
            </w:r>
            <w:r>
              <w:rPr>
                <w:noProof/>
                <w:webHidden/>
              </w:rPr>
              <w:fldChar w:fldCharType="end"/>
            </w:r>
          </w:hyperlink>
        </w:p>
        <w:p w14:paraId="67BD827E" w14:textId="438805BB"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7" w:history="1">
            <w:r w:rsidRPr="00E87E79">
              <w:rPr>
                <w:rStyle w:val="Hyperlink"/>
                <w:noProof/>
              </w:rPr>
              <w:t>Appendix 6: Eastern Zone SMU and reefcode maps</w:t>
            </w:r>
            <w:r>
              <w:rPr>
                <w:noProof/>
                <w:webHidden/>
              </w:rPr>
              <w:tab/>
            </w:r>
            <w:r>
              <w:rPr>
                <w:noProof/>
                <w:webHidden/>
              </w:rPr>
              <w:fldChar w:fldCharType="begin"/>
            </w:r>
            <w:r>
              <w:rPr>
                <w:noProof/>
                <w:webHidden/>
              </w:rPr>
              <w:instrText xml:space="preserve"> PAGEREF _Toc182219937 \h </w:instrText>
            </w:r>
            <w:r>
              <w:rPr>
                <w:noProof/>
                <w:webHidden/>
              </w:rPr>
            </w:r>
            <w:r>
              <w:rPr>
                <w:noProof/>
                <w:webHidden/>
              </w:rPr>
              <w:fldChar w:fldCharType="separate"/>
            </w:r>
            <w:r w:rsidR="00F61DCE">
              <w:rPr>
                <w:noProof/>
                <w:webHidden/>
              </w:rPr>
              <w:t>81</w:t>
            </w:r>
            <w:r>
              <w:rPr>
                <w:noProof/>
                <w:webHidden/>
              </w:rPr>
              <w:fldChar w:fldCharType="end"/>
            </w:r>
          </w:hyperlink>
        </w:p>
        <w:p w14:paraId="6C44135B" w14:textId="3940CF15" w:rsidR="001C7D95" w:rsidRDefault="001C7D95">
          <w:pPr>
            <w:pStyle w:val="TOC1"/>
            <w:tabs>
              <w:tab w:val="right" w:leader="dot" w:pos="9016"/>
            </w:tabs>
            <w:rPr>
              <w:rFonts w:eastAsiaTheme="minorEastAsia"/>
              <w:b w:val="0"/>
              <w:bCs w:val="0"/>
              <w:caps w:val="0"/>
              <w:noProof/>
              <w:kern w:val="2"/>
              <w:sz w:val="24"/>
              <w:szCs w:val="24"/>
              <w:lang w:eastAsia="en-AU"/>
              <w14:ligatures w14:val="standardContextual"/>
            </w:rPr>
          </w:pPr>
          <w:hyperlink w:anchor="_Toc182219938" w:history="1">
            <w:r w:rsidRPr="00E87E79">
              <w:rPr>
                <w:rStyle w:val="Hyperlink"/>
                <w:noProof/>
              </w:rPr>
              <w:t>Appendix 7: Long-spined sea urchin abundance from abalone FIS.</w:t>
            </w:r>
            <w:r>
              <w:rPr>
                <w:noProof/>
                <w:webHidden/>
              </w:rPr>
              <w:tab/>
            </w:r>
            <w:r>
              <w:rPr>
                <w:noProof/>
                <w:webHidden/>
              </w:rPr>
              <w:fldChar w:fldCharType="begin"/>
            </w:r>
            <w:r>
              <w:rPr>
                <w:noProof/>
                <w:webHidden/>
              </w:rPr>
              <w:instrText xml:space="preserve"> PAGEREF _Toc182219938 \h </w:instrText>
            </w:r>
            <w:r>
              <w:rPr>
                <w:noProof/>
                <w:webHidden/>
              </w:rPr>
            </w:r>
            <w:r>
              <w:rPr>
                <w:noProof/>
                <w:webHidden/>
              </w:rPr>
              <w:fldChar w:fldCharType="separate"/>
            </w:r>
            <w:r w:rsidR="00F61DCE">
              <w:rPr>
                <w:noProof/>
                <w:webHidden/>
              </w:rPr>
              <w:t>83</w:t>
            </w:r>
            <w:r>
              <w:rPr>
                <w:noProof/>
                <w:webHidden/>
              </w:rPr>
              <w:fldChar w:fldCharType="end"/>
            </w:r>
          </w:hyperlink>
        </w:p>
        <w:p w14:paraId="18850257" w14:textId="0AA7865E" w:rsidR="00C70DC4" w:rsidRDefault="00C70DC4" w:rsidP="00C70DC4">
          <w:r>
            <w:fldChar w:fldCharType="end"/>
          </w:r>
        </w:p>
      </w:sdtContent>
    </w:sdt>
    <w:p w14:paraId="562FABD4" w14:textId="4935E620" w:rsidR="00144128" w:rsidRPr="00144128" w:rsidRDefault="00144128" w:rsidP="004C2B57">
      <w:pPr>
        <w:spacing w:before="0" w:after="160" w:line="259" w:lineRule="auto"/>
        <w:rPr>
          <w:rFonts w:asciiTheme="majorHAnsi" w:hAnsiTheme="majorHAnsi" w:cstheme="majorHAnsi"/>
          <w:color w:val="2E74B5" w:themeColor="accent1" w:themeShade="BF"/>
          <w:sz w:val="32"/>
          <w:szCs w:val="32"/>
        </w:rPr>
      </w:pPr>
      <w:bookmarkStart w:id="0" w:name="executive-summary"/>
      <w:r w:rsidRPr="00144128">
        <w:rPr>
          <w:rFonts w:asciiTheme="majorHAnsi" w:hAnsiTheme="majorHAnsi" w:cstheme="majorHAnsi"/>
          <w:color w:val="2E74B5" w:themeColor="accent1" w:themeShade="BF"/>
          <w:sz w:val="32"/>
          <w:szCs w:val="32"/>
        </w:rPr>
        <w:t>List of Figures</w:t>
      </w:r>
    </w:p>
    <w:p w14:paraId="6B1F19AF" w14:textId="796DF29A" w:rsidR="009D3256" w:rsidRDefault="002D4EA4">
      <w:pPr>
        <w:pStyle w:val="TableofFigures"/>
        <w:tabs>
          <w:tab w:val="right" w:leader="dot" w:pos="9016"/>
        </w:tabs>
        <w:rPr>
          <w:rFonts w:eastAsiaTheme="minorEastAsia"/>
          <w:smallCaps w:val="0"/>
          <w:noProof/>
          <w:kern w:val="2"/>
          <w:sz w:val="24"/>
          <w:szCs w:val="24"/>
          <w:lang w:eastAsia="en-AU"/>
          <w14:ligatures w14:val="standardContextual"/>
        </w:rPr>
      </w:pPr>
      <w:r>
        <w:fldChar w:fldCharType="begin"/>
      </w:r>
      <w:r>
        <w:instrText xml:space="preserve"> TOC \h \z \t "Caption" \c </w:instrText>
      </w:r>
      <w:r>
        <w:fldChar w:fldCharType="separate"/>
      </w:r>
      <w:hyperlink w:anchor="_Toc182219802" w:history="1">
        <w:r w:rsidR="009D3256" w:rsidRPr="007549EE">
          <w:rPr>
            <w:rStyle w:val="Hyperlink"/>
            <w:noProof/>
          </w:rPr>
          <w:t>Figure 1: Map of the Eastern Zone Abalone Fishery showing the Spatial Management Units and Marine Protected Areas.</w:t>
        </w:r>
        <w:r w:rsidR="009D3256">
          <w:rPr>
            <w:noProof/>
            <w:webHidden/>
          </w:rPr>
          <w:tab/>
        </w:r>
        <w:r w:rsidR="009D3256">
          <w:rPr>
            <w:noProof/>
            <w:webHidden/>
          </w:rPr>
          <w:fldChar w:fldCharType="begin"/>
        </w:r>
        <w:r w:rsidR="009D3256">
          <w:rPr>
            <w:noProof/>
            <w:webHidden/>
          </w:rPr>
          <w:instrText xml:space="preserve"> PAGEREF _Toc182219802 \h </w:instrText>
        </w:r>
        <w:r w:rsidR="009D3256">
          <w:rPr>
            <w:noProof/>
            <w:webHidden/>
          </w:rPr>
        </w:r>
        <w:r w:rsidR="009D3256">
          <w:rPr>
            <w:noProof/>
            <w:webHidden/>
          </w:rPr>
          <w:fldChar w:fldCharType="separate"/>
        </w:r>
        <w:r w:rsidR="00F61DCE">
          <w:rPr>
            <w:noProof/>
            <w:webHidden/>
          </w:rPr>
          <w:t>8</w:t>
        </w:r>
        <w:r w:rsidR="009D3256">
          <w:rPr>
            <w:noProof/>
            <w:webHidden/>
          </w:rPr>
          <w:fldChar w:fldCharType="end"/>
        </w:r>
      </w:hyperlink>
    </w:p>
    <w:p w14:paraId="23293C6C" w14:textId="61C41954"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3" w:history="1">
        <w:r w:rsidRPr="007549EE">
          <w:rPr>
            <w:rStyle w:val="Hyperlink"/>
            <w:noProof/>
          </w:rPr>
          <w:t>Figure 2: Historic catch (t) and effort (minutes) from 1968 to 2023. Quota was introduced in 1988 with the quota year running from April to March. Data are reported in quota years.</w:t>
        </w:r>
        <w:r>
          <w:rPr>
            <w:noProof/>
            <w:webHidden/>
          </w:rPr>
          <w:tab/>
        </w:r>
        <w:r>
          <w:rPr>
            <w:noProof/>
            <w:webHidden/>
          </w:rPr>
          <w:fldChar w:fldCharType="begin"/>
        </w:r>
        <w:r>
          <w:rPr>
            <w:noProof/>
            <w:webHidden/>
          </w:rPr>
          <w:instrText xml:space="preserve"> PAGEREF _Toc182219803 \h </w:instrText>
        </w:r>
        <w:r>
          <w:rPr>
            <w:noProof/>
            <w:webHidden/>
          </w:rPr>
        </w:r>
        <w:r>
          <w:rPr>
            <w:noProof/>
            <w:webHidden/>
          </w:rPr>
          <w:fldChar w:fldCharType="separate"/>
        </w:r>
        <w:r w:rsidR="00F61DCE">
          <w:rPr>
            <w:noProof/>
            <w:webHidden/>
          </w:rPr>
          <w:t>16</w:t>
        </w:r>
        <w:r>
          <w:rPr>
            <w:noProof/>
            <w:webHidden/>
          </w:rPr>
          <w:fldChar w:fldCharType="end"/>
        </w:r>
      </w:hyperlink>
    </w:p>
    <w:p w14:paraId="7FFFB9CC" w14:textId="6BFA137E"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4" w:history="1">
        <w:r w:rsidRPr="007549EE">
          <w:rPr>
            <w:rStyle w:val="Hyperlink"/>
            <w:noProof/>
          </w:rPr>
          <w:t>Figure 3: Historic catch (t) and mean daily catch (kg per fishing day +/- SE) from 1979 to 2023. Quota was introduced in 1988 with the quota year running from April to March. Data are reported in quota years.</w:t>
        </w:r>
        <w:r>
          <w:rPr>
            <w:noProof/>
            <w:webHidden/>
          </w:rPr>
          <w:tab/>
        </w:r>
        <w:r>
          <w:rPr>
            <w:noProof/>
            <w:webHidden/>
          </w:rPr>
          <w:fldChar w:fldCharType="begin"/>
        </w:r>
        <w:r>
          <w:rPr>
            <w:noProof/>
            <w:webHidden/>
          </w:rPr>
          <w:instrText xml:space="preserve"> PAGEREF _Toc182219804 \h </w:instrText>
        </w:r>
        <w:r>
          <w:rPr>
            <w:noProof/>
            <w:webHidden/>
          </w:rPr>
        </w:r>
        <w:r>
          <w:rPr>
            <w:noProof/>
            <w:webHidden/>
          </w:rPr>
          <w:fldChar w:fldCharType="separate"/>
        </w:r>
        <w:r w:rsidR="00F61DCE">
          <w:rPr>
            <w:noProof/>
            <w:webHidden/>
          </w:rPr>
          <w:t>17</w:t>
        </w:r>
        <w:r>
          <w:rPr>
            <w:noProof/>
            <w:webHidden/>
          </w:rPr>
          <w:fldChar w:fldCharType="end"/>
        </w:r>
      </w:hyperlink>
    </w:p>
    <w:p w14:paraId="1087BAA7" w14:textId="44A41B1E"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5" w:history="1">
        <w:r w:rsidRPr="007549EE">
          <w:rPr>
            <w:rStyle w:val="Hyperlink"/>
            <w:noProof/>
          </w:rPr>
          <w:t>Figure 4: Eastern Zone catch and CPUE (nominal and standardised) from 1992/1993 – 2023/24. Catch = bars, nominal CPUE = grey series (+/- SE), standardised series = black. MPs = int79duction of Marine Parks.</w:t>
        </w:r>
        <w:r>
          <w:rPr>
            <w:noProof/>
            <w:webHidden/>
          </w:rPr>
          <w:tab/>
        </w:r>
        <w:r>
          <w:rPr>
            <w:noProof/>
            <w:webHidden/>
          </w:rPr>
          <w:fldChar w:fldCharType="begin"/>
        </w:r>
        <w:r>
          <w:rPr>
            <w:noProof/>
            <w:webHidden/>
          </w:rPr>
          <w:instrText xml:space="preserve"> PAGEREF _Toc182219805 \h </w:instrText>
        </w:r>
        <w:r>
          <w:rPr>
            <w:noProof/>
            <w:webHidden/>
          </w:rPr>
        </w:r>
        <w:r>
          <w:rPr>
            <w:noProof/>
            <w:webHidden/>
          </w:rPr>
          <w:fldChar w:fldCharType="separate"/>
        </w:r>
        <w:r w:rsidR="00F61DCE">
          <w:rPr>
            <w:noProof/>
            <w:webHidden/>
          </w:rPr>
          <w:t>17</w:t>
        </w:r>
        <w:r>
          <w:rPr>
            <w:noProof/>
            <w:webHidden/>
          </w:rPr>
          <w:fldChar w:fldCharType="end"/>
        </w:r>
      </w:hyperlink>
    </w:p>
    <w:p w14:paraId="42104FBE" w14:textId="359ECBB6"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6" w:history="1">
        <w:r w:rsidRPr="007549EE">
          <w:rPr>
            <w:rStyle w:val="Hyperlink"/>
            <w:noProof/>
          </w:rPr>
          <w:t>Figure 5: FIS recruit abundance (1992-2023) and catch (1992/93 – 2022/23) for the Eastern Zone. Grey dashed series = nominal abundance across all FIS sites (+/-SE). Black series = nominal (dotted line, open datapoint in 2023; +/- SE) and standardised (solid line, solid datapoint in 2023) abundance across the Top 15 sites only.</w:t>
        </w:r>
        <w:r>
          <w:rPr>
            <w:noProof/>
            <w:webHidden/>
          </w:rPr>
          <w:tab/>
        </w:r>
        <w:r>
          <w:rPr>
            <w:noProof/>
            <w:webHidden/>
          </w:rPr>
          <w:fldChar w:fldCharType="begin"/>
        </w:r>
        <w:r>
          <w:rPr>
            <w:noProof/>
            <w:webHidden/>
          </w:rPr>
          <w:instrText xml:space="preserve"> PAGEREF _Toc182219806 \h </w:instrText>
        </w:r>
        <w:r>
          <w:rPr>
            <w:noProof/>
            <w:webHidden/>
          </w:rPr>
        </w:r>
        <w:r>
          <w:rPr>
            <w:noProof/>
            <w:webHidden/>
          </w:rPr>
          <w:fldChar w:fldCharType="separate"/>
        </w:r>
        <w:r w:rsidR="00F61DCE">
          <w:rPr>
            <w:noProof/>
            <w:webHidden/>
          </w:rPr>
          <w:t>18</w:t>
        </w:r>
        <w:r>
          <w:rPr>
            <w:noProof/>
            <w:webHidden/>
          </w:rPr>
          <w:fldChar w:fldCharType="end"/>
        </w:r>
      </w:hyperlink>
    </w:p>
    <w:p w14:paraId="06CFF2E9" w14:textId="37CE6FF8"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7" w:history="1">
        <w:r w:rsidRPr="007549EE">
          <w:rPr>
            <w:rStyle w:val="Hyperlink"/>
            <w:noProof/>
          </w:rPr>
          <w:t>Figure 6: Pre-recruit abundance (1992-2023) and catch (1992/93 – 2022/23) for the Eastern Zone. Grey dashed series = nominal abundance across all FIS sites (+/-SE). Black series = nominal (dotted line, open datapoint in 2023; +/- SE) and standardised (solid line, solid datapoint in 2023) abundance across the Top 15 sites only.</w:t>
        </w:r>
        <w:r>
          <w:rPr>
            <w:noProof/>
            <w:webHidden/>
          </w:rPr>
          <w:tab/>
        </w:r>
        <w:r>
          <w:rPr>
            <w:noProof/>
            <w:webHidden/>
          </w:rPr>
          <w:fldChar w:fldCharType="begin"/>
        </w:r>
        <w:r>
          <w:rPr>
            <w:noProof/>
            <w:webHidden/>
          </w:rPr>
          <w:instrText xml:space="preserve"> PAGEREF _Toc182219807 \h </w:instrText>
        </w:r>
        <w:r>
          <w:rPr>
            <w:noProof/>
            <w:webHidden/>
          </w:rPr>
        </w:r>
        <w:r>
          <w:rPr>
            <w:noProof/>
            <w:webHidden/>
          </w:rPr>
          <w:fldChar w:fldCharType="separate"/>
        </w:r>
        <w:r w:rsidR="00F61DCE">
          <w:rPr>
            <w:noProof/>
            <w:webHidden/>
          </w:rPr>
          <w:t>19</w:t>
        </w:r>
        <w:r>
          <w:rPr>
            <w:noProof/>
            <w:webHidden/>
          </w:rPr>
          <w:fldChar w:fldCharType="end"/>
        </w:r>
      </w:hyperlink>
    </w:p>
    <w:p w14:paraId="72A681AC" w14:textId="7331DC5B"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8" w:history="1">
        <w:r w:rsidRPr="007549EE">
          <w:rPr>
            <w:rStyle w:val="Hyperlink"/>
            <w:noProof/>
          </w:rPr>
          <w:t>Figure 7: Mean total abundance (2003-2024) for 6 sites surveyed consistently at Mallacoota and 4 sites surveyed consistently at Marlo. Only years when all 10 sites were surveyed are shown.</w:t>
        </w:r>
        <w:r>
          <w:rPr>
            <w:noProof/>
            <w:webHidden/>
          </w:rPr>
          <w:tab/>
        </w:r>
        <w:r>
          <w:rPr>
            <w:noProof/>
            <w:webHidden/>
          </w:rPr>
          <w:fldChar w:fldCharType="begin"/>
        </w:r>
        <w:r>
          <w:rPr>
            <w:noProof/>
            <w:webHidden/>
          </w:rPr>
          <w:instrText xml:space="preserve"> PAGEREF _Toc182219808 \h </w:instrText>
        </w:r>
        <w:r>
          <w:rPr>
            <w:noProof/>
            <w:webHidden/>
          </w:rPr>
        </w:r>
        <w:r>
          <w:rPr>
            <w:noProof/>
            <w:webHidden/>
          </w:rPr>
          <w:fldChar w:fldCharType="separate"/>
        </w:r>
        <w:r w:rsidR="00F61DCE">
          <w:rPr>
            <w:noProof/>
            <w:webHidden/>
          </w:rPr>
          <w:t>19</w:t>
        </w:r>
        <w:r>
          <w:rPr>
            <w:noProof/>
            <w:webHidden/>
          </w:rPr>
          <w:fldChar w:fldCharType="end"/>
        </w:r>
      </w:hyperlink>
    </w:p>
    <w:p w14:paraId="78C9AA0D" w14:textId="4AF2ACD5"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09" w:history="1">
        <w:r w:rsidRPr="007549EE">
          <w:rPr>
            <w:rStyle w:val="Hyperlink"/>
            <w:noProof/>
          </w:rPr>
          <w:t>Figure 8: Relative distribution of catch at each SMU in the Eastern Zone by quota year.</w:t>
        </w:r>
        <w:r>
          <w:rPr>
            <w:noProof/>
            <w:webHidden/>
          </w:rPr>
          <w:tab/>
        </w:r>
        <w:r>
          <w:rPr>
            <w:noProof/>
            <w:webHidden/>
          </w:rPr>
          <w:fldChar w:fldCharType="begin"/>
        </w:r>
        <w:r>
          <w:rPr>
            <w:noProof/>
            <w:webHidden/>
          </w:rPr>
          <w:instrText xml:space="preserve"> PAGEREF _Toc182219809 \h </w:instrText>
        </w:r>
        <w:r>
          <w:rPr>
            <w:noProof/>
            <w:webHidden/>
          </w:rPr>
        </w:r>
        <w:r>
          <w:rPr>
            <w:noProof/>
            <w:webHidden/>
          </w:rPr>
          <w:fldChar w:fldCharType="separate"/>
        </w:r>
        <w:r w:rsidR="00F61DCE">
          <w:rPr>
            <w:noProof/>
            <w:webHidden/>
          </w:rPr>
          <w:t>21</w:t>
        </w:r>
        <w:r>
          <w:rPr>
            <w:noProof/>
            <w:webHidden/>
          </w:rPr>
          <w:fldChar w:fldCharType="end"/>
        </w:r>
      </w:hyperlink>
    </w:p>
    <w:p w14:paraId="6B8DBD9D" w14:textId="7466BB29"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0" w:history="1">
        <w:r w:rsidRPr="007549EE">
          <w:rPr>
            <w:rStyle w:val="Hyperlink"/>
            <w:noProof/>
          </w:rPr>
          <w:t>Figure 9: Total catch and mean daily catch for the Airport SMU from 1979 to 2023.</w:t>
        </w:r>
        <w:r>
          <w:rPr>
            <w:noProof/>
            <w:webHidden/>
          </w:rPr>
          <w:tab/>
        </w:r>
        <w:r>
          <w:rPr>
            <w:noProof/>
            <w:webHidden/>
          </w:rPr>
          <w:fldChar w:fldCharType="begin"/>
        </w:r>
        <w:r>
          <w:rPr>
            <w:noProof/>
            <w:webHidden/>
          </w:rPr>
          <w:instrText xml:space="preserve"> PAGEREF _Toc182219810 \h </w:instrText>
        </w:r>
        <w:r>
          <w:rPr>
            <w:noProof/>
            <w:webHidden/>
          </w:rPr>
        </w:r>
        <w:r>
          <w:rPr>
            <w:noProof/>
            <w:webHidden/>
          </w:rPr>
          <w:fldChar w:fldCharType="separate"/>
        </w:r>
        <w:r w:rsidR="00F61DCE">
          <w:rPr>
            <w:noProof/>
            <w:webHidden/>
          </w:rPr>
          <w:t>23</w:t>
        </w:r>
        <w:r>
          <w:rPr>
            <w:noProof/>
            <w:webHidden/>
          </w:rPr>
          <w:fldChar w:fldCharType="end"/>
        </w:r>
      </w:hyperlink>
    </w:p>
    <w:p w14:paraId="37B02AD8" w14:textId="08D38513"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1" w:history="1">
        <w:r w:rsidRPr="007549EE">
          <w:rPr>
            <w:rStyle w:val="Hyperlink"/>
            <w:noProof/>
          </w:rPr>
          <w:t>Figure 10: Airport SMU catch, and CPUE (nominal and standardised) from 1992/93 – 2023/24.  Catch = bars, nominal CPUE = grey series (+/- SE), unadjusted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_Toc182219811 \h </w:instrText>
        </w:r>
        <w:r>
          <w:rPr>
            <w:noProof/>
            <w:webHidden/>
          </w:rPr>
        </w:r>
        <w:r>
          <w:rPr>
            <w:noProof/>
            <w:webHidden/>
          </w:rPr>
          <w:fldChar w:fldCharType="separate"/>
        </w:r>
        <w:r w:rsidR="00F61DCE">
          <w:rPr>
            <w:noProof/>
            <w:webHidden/>
          </w:rPr>
          <w:t>24</w:t>
        </w:r>
        <w:r>
          <w:rPr>
            <w:noProof/>
            <w:webHidden/>
          </w:rPr>
          <w:fldChar w:fldCharType="end"/>
        </w:r>
      </w:hyperlink>
    </w:p>
    <w:p w14:paraId="7C686F37" w14:textId="0F88D287"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2" w:history="1">
        <w:r w:rsidRPr="007549EE">
          <w:rPr>
            <w:rStyle w:val="Hyperlink"/>
            <w:noProof/>
          </w:rPr>
          <w:t>Figure 11: Recruit abundance and catch from 1992/93 – 2022/23 for the Airport SMU. Grey dashed series = nominal abundance across all FIS sites (+/-SE). Black series = nominal (dotted line) and standardised (solid line and dot point in 2023) abundance at the two Top 15 sites located within the Airport SMU.</w:t>
        </w:r>
        <w:r>
          <w:rPr>
            <w:noProof/>
            <w:webHidden/>
          </w:rPr>
          <w:tab/>
        </w:r>
        <w:r>
          <w:rPr>
            <w:noProof/>
            <w:webHidden/>
          </w:rPr>
          <w:fldChar w:fldCharType="begin"/>
        </w:r>
        <w:r>
          <w:rPr>
            <w:noProof/>
            <w:webHidden/>
          </w:rPr>
          <w:instrText xml:space="preserve"> PAGEREF _Toc182219812 \h </w:instrText>
        </w:r>
        <w:r>
          <w:rPr>
            <w:noProof/>
            <w:webHidden/>
          </w:rPr>
        </w:r>
        <w:r>
          <w:rPr>
            <w:noProof/>
            <w:webHidden/>
          </w:rPr>
          <w:fldChar w:fldCharType="separate"/>
        </w:r>
        <w:r w:rsidR="00F61DCE">
          <w:rPr>
            <w:noProof/>
            <w:webHidden/>
          </w:rPr>
          <w:t>25</w:t>
        </w:r>
        <w:r>
          <w:rPr>
            <w:noProof/>
            <w:webHidden/>
          </w:rPr>
          <w:fldChar w:fldCharType="end"/>
        </w:r>
      </w:hyperlink>
    </w:p>
    <w:p w14:paraId="4D7F8D83" w14:textId="3D9CEF95"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3" w:history="1">
        <w:r w:rsidRPr="007549EE">
          <w:rPr>
            <w:rStyle w:val="Hyperlink"/>
            <w:noProof/>
          </w:rPr>
          <w:t>Figure 12: Pre-recruit abundance and catch from 1992/93 – 2022/23 for the Airport SMU. Grey dashed series = nominal abundance across all FIS sites (+/-SE). Black series = nominal (dotted line) and standardised (solid line and dot point in 2023) abundance at the two Top 15 sites located within the Airport SMU.</w:t>
        </w:r>
        <w:r>
          <w:rPr>
            <w:noProof/>
            <w:webHidden/>
          </w:rPr>
          <w:tab/>
        </w:r>
        <w:r>
          <w:rPr>
            <w:noProof/>
            <w:webHidden/>
          </w:rPr>
          <w:fldChar w:fldCharType="begin"/>
        </w:r>
        <w:r>
          <w:rPr>
            <w:noProof/>
            <w:webHidden/>
          </w:rPr>
          <w:instrText xml:space="preserve"> PAGEREF _Toc182219813 \h </w:instrText>
        </w:r>
        <w:r>
          <w:rPr>
            <w:noProof/>
            <w:webHidden/>
          </w:rPr>
        </w:r>
        <w:r>
          <w:rPr>
            <w:noProof/>
            <w:webHidden/>
          </w:rPr>
          <w:fldChar w:fldCharType="separate"/>
        </w:r>
        <w:r w:rsidR="00F61DCE">
          <w:rPr>
            <w:noProof/>
            <w:webHidden/>
          </w:rPr>
          <w:t>25</w:t>
        </w:r>
        <w:r>
          <w:rPr>
            <w:noProof/>
            <w:webHidden/>
          </w:rPr>
          <w:fldChar w:fldCharType="end"/>
        </w:r>
      </w:hyperlink>
    </w:p>
    <w:p w14:paraId="3164B03C" w14:textId="3D5A9B61"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4" w:history="1">
        <w:r w:rsidRPr="007549EE">
          <w:rPr>
            <w:rStyle w:val="Hyperlink"/>
            <w:noProof/>
          </w:rPr>
          <w:t>Figure 13: Total catch and mean daily catch for the Mallacoota Central SMU from 1979 to 2023.</w:t>
        </w:r>
        <w:r>
          <w:rPr>
            <w:noProof/>
            <w:webHidden/>
          </w:rPr>
          <w:tab/>
        </w:r>
        <w:r>
          <w:rPr>
            <w:noProof/>
            <w:webHidden/>
          </w:rPr>
          <w:fldChar w:fldCharType="begin"/>
        </w:r>
        <w:r>
          <w:rPr>
            <w:noProof/>
            <w:webHidden/>
          </w:rPr>
          <w:instrText xml:space="preserve"> PAGEREF _Toc182219814 \h </w:instrText>
        </w:r>
        <w:r>
          <w:rPr>
            <w:noProof/>
            <w:webHidden/>
          </w:rPr>
        </w:r>
        <w:r>
          <w:rPr>
            <w:noProof/>
            <w:webHidden/>
          </w:rPr>
          <w:fldChar w:fldCharType="separate"/>
        </w:r>
        <w:r w:rsidR="00F61DCE">
          <w:rPr>
            <w:noProof/>
            <w:webHidden/>
          </w:rPr>
          <w:t>27</w:t>
        </w:r>
        <w:r>
          <w:rPr>
            <w:noProof/>
            <w:webHidden/>
          </w:rPr>
          <w:fldChar w:fldCharType="end"/>
        </w:r>
      </w:hyperlink>
    </w:p>
    <w:p w14:paraId="7EC9B8DF" w14:textId="385BF10E"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5" w:history="1">
        <w:r w:rsidRPr="007549EE">
          <w:rPr>
            <w:rStyle w:val="Hyperlink"/>
            <w:noProof/>
          </w:rPr>
          <w:t>Figure 14: Mallacoota Central SMU catch, and CPUE (nominal and standardised) from 1992/93 – 2023/24.  Catch = bars, nominal CPUE = grey series (+/- SE),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_Toc182219815 \h </w:instrText>
        </w:r>
        <w:r>
          <w:rPr>
            <w:noProof/>
            <w:webHidden/>
          </w:rPr>
        </w:r>
        <w:r>
          <w:rPr>
            <w:noProof/>
            <w:webHidden/>
          </w:rPr>
          <w:fldChar w:fldCharType="separate"/>
        </w:r>
        <w:r w:rsidR="00F61DCE">
          <w:rPr>
            <w:noProof/>
            <w:webHidden/>
          </w:rPr>
          <w:t>28</w:t>
        </w:r>
        <w:r>
          <w:rPr>
            <w:noProof/>
            <w:webHidden/>
          </w:rPr>
          <w:fldChar w:fldCharType="end"/>
        </w:r>
      </w:hyperlink>
    </w:p>
    <w:p w14:paraId="1BC6435E" w14:textId="13F5C352"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6" w:history="1">
        <w:r w:rsidRPr="007549EE">
          <w:rPr>
            <w:rStyle w:val="Hyperlink"/>
            <w:noProof/>
          </w:rPr>
          <w:t>Figure 15: Recruit abundance and catch from 1992/93 – 2022/23 for the Mallacoota Central SMU. Grey dashed series = nominal abundance across all FIS sites (+/-SE). Black series = nominal (dotted line) and standardised (solid line and dot point in 2023) abundance at the three Top 15 sites located within the Mallacoota Central SMU.</w:t>
        </w:r>
        <w:r>
          <w:rPr>
            <w:noProof/>
            <w:webHidden/>
          </w:rPr>
          <w:tab/>
        </w:r>
        <w:r>
          <w:rPr>
            <w:noProof/>
            <w:webHidden/>
          </w:rPr>
          <w:fldChar w:fldCharType="begin"/>
        </w:r>
        <w:r>
          <w:rPr>
            <w:noProof/>
            <w:webHidden/>
          </w:rPr>
          <w:instrText xml:space="preserve"> PAGEREF _Toc182219816 \h </w:instrText>
        </w:r>
        <w:r>
          <w:rPr>
            <w:noProof/>
            <w:webHidden/>
          </w:rPr>
        </w:r>
        <w:r>
          <w:rPr>
            <w:noProof/>
            <w:webHidden/>
          </w:rPr>
          <w:fldChar w:fldCharType="separate"/>
        </w:r>
        <w:r w:rsidR="00F61DCE">
          <w:rPr>
            <w:noProof/>
            <w:webHidden/>
          </w:rPr>
          <w:t>29</w:t>
        </w:r>
        <w:r>
          <w:rPr>
            <w:noProof/>
            <w:webHidden/>
          </w:rPr>
          <w:fldChar w:fldCharType="end"/>
        </w:r>
      </w:hyperlink>
    </w:p>
    <w:p w14:paraId="20132679" w14:textId="448BD085"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7" w:history="1">
        <w:r w:rsidRPr="007549EE">
          <w:rPr>
            <w:rStyle w:val="Hyperlink"/>
            <w:noProof/>
          </w:rPr>
          <w:t>Figure 16: Pre-recruit abundance and catch from 1992/93 – 2022/23 for the Mallacoota Central SMU. Grey dashed series = nominal abundance across all FIS sites (+/-SE). Black series = nominal (dotted line) and standardised (solid line and dot point in 2023) abundance at the three Top 15 sites located within the Mallacoota Central SMU.</w:t>
        </w:r>
        <w:r>
          <w:rPr>
            <w:noProof/>
            <w:webHidden/>
          </w:rPr>
          <w:tab/>
        </w:r>
        <w:r>
          <w:rPr>
            <w:noProof/>
            <w:webHidden/>
          </w:rPr>
          <w:fldChar w:fldCharType="begin"/>
        </w:r>
        <w:r>
          <w:rPr>
            <w:noProof/>
            <w:webHidden/>
          </w:rPr>
          <w:instrText xml:space="preserve"> PAGEREF _Toc182219817 \h </w:instrText>
        </w:r>
        <w:r>
          <w:rPr>
            <w:noProof/>
            <w:webHidden/>
          </w:rPr>
        </w:r>
        <w:r>
          <w:rPr>
            <w:noProof/>
            <w:webHidden/>
          </w:rPr>
          <w:fldChar w:fldCharType="separate"/>
        </w:r>
        <w:r w:rsidR="00F61DCE">
          <w:rPr>
            <w:noProof/>
            <w:webHidden/>
          </w:rPr>
          <w:t>29</w:t>
        </w:r>
        <w:r>
          <w:rPr>
            <w:noProof/>
            <w:webHidden/>
          </w:rPr>
          <w:fldChar w:fldCharType="end"/>
        </w:r>
      </w:hyperlink>
    </w:p>
    <w:p w14:paraId="19B7A1B6" w14:textId="0D0D7333"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8" w:history="1">
        <w:r w:rsidRPr="007549EE">
          <w:rPr>
            <w:rStyle w:val="Hyperlink"/>
            <w:noProof/>
          </w:rPr>
          <w:t>Figure 17: Total catch and mean daily catch for the Marlo SMU from 1979 to 2023.</w:t>
        </w:r>
        <w:r>
          <w:rPr>
            <w:noProof/>
            <w:webHidden/>
          </w:rPr>
          <w:tab/>
        </w:r>
        <w:r>
          <w:rPr>
            <w:noProof/>
            <w:webHidden/>
          </w:rPr>
          <w:fldChar w:fldCharType="begin"/>
        </w:r>
        <w:r>
          <w:rPr>
            <w:noProof/>
            <w:webHidden/>
          </w:rPr>
          <w:instrText xml:space="preserve"> PAGEREF _Toc182219818 \h </w:instrText>
        </w:r>
        <w:r>
          <w:rPr>
            <w:noProof/>
            <w:webHidden/>
          </w:rPr>
        </w:r>
        <w:r>
          <w:rPr>
            <w:noProof/>
            <w:webHidden/>
          </w:rPr>
          <w:fldChar w:fldCharType="separate"/>
        </w:r>
        <w:r w:rsidR="00F61DCE">
          <w:rPr>
            <w:noProof/>
            <w:webHidden/>
          </w:rPr>
          <w:t>31</w:t>
        </w:r>
        <w:r>
          <w:rPr>
            <w:noProof/>
            <w:webHidden/>
          </w:rPr>
          <w:fldChar w:fldCharType="end"/>
        </w:r>
      </w:hyperlink>
    </w:p>
    <w:p w14:paraId="34C38DF9" w14:textId="71A69325"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19" w:history="1">
        <w:r w:rsidRPr="007549EE">
          <w:rPr>
            <w:rStyle w:val="Hyperlink"/>
            <w:noProof/>
          </w:rPr>
          <w:t>Figure 18: Marlo SMU catch, and CPUE (nominal and standardised) from 1992/93 – 2023/24.  Catch = bars, nominal CPUE = grey series (+/- SE),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_Toc182219819 \h </w:instrText>
        </w:r>
        <w:r>
          <w:rPr>
            <w:noProof/>
            <w:webHidden/>
          </w:rPr>
        </w:r>
        <w:r>
          <w:rPr>
            <w:noProof/>
            <w:webHidden/>
          </w:rPr>
          <w:fldChar w:fldCharType="separate"/>
        </w:r>
        <w:r w:rsidR="00F61DCE">
          <w:rPr>
            <w:noProof/>
            <w:webHidden/>
          </w:rPr>
          <w:t>32</w:t>
        </w:r>
        <w:r>
          <w:rPr>
            <w:noProof/>
            <w:webHidden/>
          </w:rPr>
          <w:fldChar w:fldCharType="end"/>
        </w:r>
      </w:hyperlink>
    </w:p>
    <w:p w14:paraId="4D2A4E8A" w14:textId="1195BB24"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0" w:history="1">
        <w:r w:rsidRPr="007549EE">
          <w:rPr>
            <w:rStyle w:val="Hyperlink"/>
            <w:noProof/>
          </w:rPr>
          <w:t>Figure 19: Recruit abundance and catch from 1992/93 – 2022/23 for the Marlo SMU. Grey dashed series = nominal abundance across all FIS sites (+/-SE). Black series = nominal (dotted line) and standardised (solid line and dot point in 2023) abundance at the four Top 15 sites located within the Marlo SMU.</w:t>
        </w:r>
        <w:r>
          <w:rPr>
            <w:noProof/>
            <w:webHidden/>
          </w:rPr>
          <w:tab/>
        </w:r>
        <w:r>
          <w:rPr>
            <w:noProof/>
            <w:webHidden/>
          </w:rPr>
          <w:fldChar w:fldCharType="begin"/>
        </w:r>
        <w:r>
          <w:rPr>
            <w:noProof/>
            <w:webHidden/>
          </w:rPr>
          <w:instrText xml:space="preserve"> PAGEREF _Toc182219820 \h </w:instrText>
        </w:r>
        <w:r>
          <w:rPr>
            <w:noProof/>
            <w:webHidden/>
          </w:rPr>
        </w:r>
        <w:r>
          <w:rPr>
            <w:noProof/>
            <w:webHidden/>
          </w:rPr>
          <w:fldChar w:fldCharType="separate"/>
        </w:r>
        <w:r w:rsidR="00F61DCE">
          <w:rPr>
            <w:noProof/>
            <w:webHidden/>
          </w:rPr>
          <w:t>33</w:t>
        </w:r>
        <w:r>
          <w:rPr>
            <w:noProof/>
            <w:webHidden/>
          </w:rPr>
          <w:fldChar w:fldCharType="end"/>
        </w:r>
      </w:hyperlink>
    </w:p>
    <w:p w14:paraId="6B13F01A" w14:textId="012B2A02"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1" w:history="1">
        <w:r w:rsidRPr="007549EE">
          <w:rPr>
            <w:rStyle w:val="Hyperlink"/>
            <w:noProof/>
          </w:rPr>
          <w:t>Figure 20: Pre-recruit abundance and catch from 1992/93 – 2022/23 for the Marlo SMU. Grey dashed series = nominal abundance across all FIS sites (+/-SE). Black series = nominal (dotted line) and standardised (solid line and dot point in 2023) abundance at the four Top 15 sites located within the Marlo SMU.</w:t>
        </w:r>
        <w:r>
          <w:rPr>
            <w:noProof/>
            <w:webHidden/>
          </w:rPr>
          <w:tab/>
        </w:r>
        <w:r>
          <w:rPr>
            <w:noProof/>
            <w:webHidden/>
          </w:rPr>
          <w:fldChar w:fldCharType="begin"/>
        </w:r>
        <w:r>
          <w:rPr>
            <w:noProof/>
            <w:webHidden/>
          </w:rPr>
          <w:instrText xml:space="preserve"> PAGEREF _Toc182219821 \h </w:instrText>
        </w:r>
        <w:r>
          <w:rPr>
            <w:noProof/>
            <w:webHidden/>
          </w:rPr>
        </w:r>
        <w:r>
          <w:rPr>
            <w:noProof/>
            <w:webHidden/>
          </w:rPr>
          <w:fldChar w:fldCharType="separate"/>
        </w:r>
        <w:r w:rsidR="00F61DCE">
          <w:rPr>
            <w:noProof/>
            <w:webHidden/>
          </w:rPr>
          <w:t>33</w:t>
        </w:r>
        <w:r>
          <w:rPr>
            <w:noProof/>
            <w:webHidden/>
          </w:rPr>
          <w:fldChar w:fldCharType="end"/>
        </w:r>
      </w:hyperlink>
    </w:p>
    <w:p w14:paraId="76EF0BD4" w14:textId="7CBEEA88"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2" w:history="1">
        <w:r w:rsidRPr="007549EE">
          <w:rPr>
            <w:rStyle w:val="Hyperlink"/>
            <w:noProof/>
          </w:rPr>
          <w:t>Figure 21: Total catch and mean daily catch for the Mallacoota East SMU from 1979 to 2023.</w:t>
        </w:r>
        <w:r>
          <w:rPr>
            <w:noProof/>
            <w:webHidden/>
          </w:rPr>
          <w:tab/>
        </w:r>
        <w:r>
          <w:rPr>
            <w:noProof/>
            <w:webHidden/>
          </w:rPr>
          <w:fldChar w:fldCharType="begin"/>
        </w:r>
        <w:r>
          <w:rPr>
            <w:noProof/>
            <w:webHidden/>
          </w:rPr>
          <w:instrText xml:space="preserve"> PAGEREF _Toc182219822 \h </w:instrText>
        </w:r>
        <w:r>
          <w:rPr>
            <w:noProof/>
            <w:webHidden/>
          </w:rPr>
        </w:r>
        <w:r>
          <w:rPr>
            <w:noProof/>
            <w:webHidden/>
          </w:rPr>
          <w:fldChar w:fldCharType="separate"/>
        </w:r>
        <w:r w:rsidR="00F61DCE">
          <w:rPr>
            <w:noProof/>
            <w:webHidden/>
          </w:rPr>
          <w:t>35</w:t>
        </w:r>
        <w:r>
          <w:rPr>
            <w:noProof/>
            <w:webHidden/>
          </w:rPr>
          <w:fldChar w:fldCharType="end"/>
        </w:r>
      </w:hyperlink>
    </w:p>
    <w:p w14:paraId="4BA5C3EB" w14:textId="670CD580"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3" w:history="1">
        <w:r w:rsidRPr="007549EE">
          <w:rPr>
            <w:rStyle w:val="Hyperlink"/>
            <w:noProof/>
          </w:rPr>
          <w:t>Figure 22: Mallacoota East SMU catch, and CPUE (nominal and standardised) from 1992/93 – 2023/24.  Catch = bars, nominal CPUE = grey series (+/- SE),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_Toc182219823 \h </w:instrText>
        </w:r>
        <w:r>
          <w:rPr>
            <w:noProof/>
            <w:webHidden/>
          </w:rPr>
        </w:r>
        <w:r>
          <w:rPr>
            <w:noProof/>
            <w:webHidden/>
          </w:rPr>
          <w:fldChar w:fldCharType="separate"/>
        </w:r>
        <w:r w:rsidR="00F61DCE">
          <w:rPr>
            <w:noProof/>
            <w:webHidden/>
          </w:rPr>
          <w:t>36</w:t>
        </w:r>
        <w:r>
          <w:rPr>
            <w:noProof/>
            <w:webHidden/>
          </w:rPr>
          <w:fldChar w:fldCharType="end"/>
        </w:r>
      </w:hyperlink>
    </w:p>
    <w:p w14:paraId="3159EA9C" w14:textId="07DBB6C4"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4" w:history="1">
        <w:r w:rsidRPr="007549EE">
          <w:rPr>
            <w:rStyle w:val="Hyperlink"/>
            <w:noProof/>
          </w:rPr>
          <w:t>Figure 23: Recruit abundance and catch from 1992/93 – 2022/23 for the Mallacoota East SMU. Grey dashed series = nominal abundance across all FIS sites (+/-SE). Black series = nominal (dotted line) and standardised (solid line and dot point in 2023) abundance at the two Top 15 sites located within the Mallacoota East SMU.</w:t>
        </w:r>
        <w:r>
          <w:rPr>
            <w:noProof/>
            <w:webHidden/>
          </w:rPr>
          <w:tab/>
        </w:r>
        <w:r>
          <w:rPr>
            <w:noProof/>
            <w:webHidden/>
          </w:rPr>
          <w:fldChar w:fldCharType="begin"/>
        </w:r>
        <w:r>
          <w:rPr>
            <w:noProof/>
            <w:webHidden/>
          </w:rPr>
          <w:instrText xml:space="preserve"> PAGEREF _Toc182219824 \h </w:instrText>
        </w:r>
        <w:r>
          <w:rPr>
            <w:noProof/>
            <w:webHidden/>
          </w:rPr>
        </w:r>
        <w:r>
          <w:rPr>
            <w:noProof/>
            <w:webHidden/>
          </w:rPr>
          <w:fldChar w:fldCharType="separate"/>
        </w:r>
        <w:r w:rsidR="00F61DCE">
          <w:rPr>
            <w:noProof/>
            <w:webHidden/>
          </w:rPr>
          <w:t>37</w:t>
        </w:r>
        <w:r>
          <w:rPr>
            <w:noProof/>
            <w:webHidden/>
          </w:rPr>
          <w:fldChar w:fldCharType="end"/>
        </w:r>
      </w:hyperlink>
    </w:p>
    <w:p w14:paraId="618A2D26" w14:textId="65E6B342"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5" w:history="1">
        <w:r w:rsidRPr="007549EE">
          <w:rPr>
            <w:rStyle w:val="Hyperlink"/>
            <w:noProof/>
          </w:rPr>
          <w:t>Figure 24: Pre-recruit abundance and catch from 1992/93 – 2022/23 for the Mallacoota East SMU. Grey dashed series = nominal abundance across all FIS sites (+/-SE). Black series = nominal (dotted line) and standardised (solid line and dot point in 2023) abundance at the two Top 15 sites located within the Mallacoota East SMU.</w:t>
        </w:r>
        <w:r>
          <w:rPr>
            <w:noProof/>
            <w:webHidden/>
          </w:rPr>
          <w:tab/>
        </w:r>
        <w:r>
          <w:rPr>
            <w:noProof/>
            <w:webHidden/>
          </w:rPr>
          <w:fldChar w:fldCharType="begin"/>
        </w:r>
        <w:r>
          <w:rPr>
            <w:noProof/>
            <w:webHidden/>
          </w:rPr>
          <w:instrText xml:space="preserve"> PAGEREF _Toc182219825 \h </w:instrText>
        </w:r>
        <w:r>
          <w:rPr>
            <w:noProof/>
            <w:webHidden/>
          </w:rPr>
        </w:r>
        <w:r>
          <w:rPr>
            <w:noProof/>
            <w:webHidden/>
          </w:rPr>
          <w:fldChar w:fldCharType="separate"/>
        </w:r>
        <w:r w:rsidR="00F61DCE">
          <w:rPr>
            <w:noProof/>
            <w:webHidden/>
          </w:rPr>
          <w:t>37</w:t>
        </w:r>
        <w:r>
          <w:rPr>
            <w:noProof/>
            <w:webHidden/>
          </w:rPr>
          <w:fldChar w:fldCharType="end"/>
        </w:r>
      </w:hyperlink>
    </w:p>
    <w:p w14:paraId="0CF2F9C7" w14:textId="341C93B8"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6" w:history="1">
        <w:r w:rsidRPr="007549EE">
          <w:rPr>
            <w:rStyle w:val="Hyperlink"/>
            <w:noProof/>
          </w:rPr>
          <w:t>Figure 25: Total catch and mean daily catch for the Mallacoota Large SMU from 1979 to 2023.</w:t>
        </w:r>
        <w:r>
          <w:rPr>
            <w:noProof/>
            <w:webHidden/>
          </w:rPr>
          <w:tab/>
        </w:r>
        <w:r>
          <w:rPr>
            <w:noProof/>
            <w:webHidden/>
          </w:rPr>
          <w:fldChar w:fldCharType="begin"/>
        </w:r>
        <w:r>
          <w:rPr>
            <w:noProof/>
            <w:webHidden/>
          </w:rPr>
          <w:instrText xml:space="preserve"> PAGEREF _Toc182219826 \h </w:instrText>
        </w:r>
        <w:r>
          <w:rPr>
            <w:noProof/>
            <w:webHidden/>
          </w:rPr>
        </w:r>
        <w:r>
          <w:rPr>
            <w:noProof/>
            <w:webHidden/>
          </w:rPr>
          <w:fldChar w:fldCharType="separate"/>
        </w:r>
        <w:r w:rsidR="00F61DCE">
          <w:rPr>
            <w:noProof/>
            <w:webHidden/>
          </w:rPr>
          <w:t>39</w:t>
        </w:r>
        <w:r>
          <w:rPr>
            <w:noProof/>
            <w:webHidden/>
          </w:rPr>
          <w:fldChar w:fldCharType="end"/>
        </w:r>
      </w:hyperlink>
    </w:p>
    <w:p w14:paraId="6064FB24" w14:textId="277BC1C4"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7" w:history="1">
        <w:r w:rsidRPr="007549EE">
          <w:rPr>
            <w:rStyle w:val="Hyperlink"/>
            <w:noProof/>
          </w:rPr>
          <w:t>Figure 26: Mallacoota Large SMU catch, and CPUE (nominal and standardised) from 1992/93 – 2023/24.  Catch = bars, nominal CPUE = grey series (+/- SE),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_Toc182219827 \h </w:instrText>
        </w:r>
        <w:r>
          <w:rPr>
            <w:noProof/>
            <w:webHidden/>
          </w:rPr>
        </w:r>
        <w:r>
          <w:rPr>
            <w:noProof/>
            <w:webHidden/>
          </w:rPr>
          <w:fldChar w:fldCharType="separate"/>
        </w:r>
        <w:r w:rsidR="00F61DCE">
          <w:rPr>
            <w:noProof/>
            <w:webHidden/>
          </w:rPr>
          <w:t>40</w:t>
        </w:r>
        <w:r>
          <w:rPr>
            <w:noProof/>
            <w:webHidden/>
          </w:rPr>
          <w:fldChar w:fldCharType="end"/>
        </w:r>
      </w:hyperlink>
    </w:p>
    <w:p w14:paraId="1D038898" w14:textId="19D07DB0"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8" w:history="1">
        <w:r w:rsidRPr="007549EE">
          <w:rPr>
            <w:rStyle w:val="Hyperlink"/>
            <w:noProof/>
          </w:rPr>
          <w:t>Figure 27: Recruit abundance (nominal grey dashed line) and catch (bars) from 1992/93 – 2022/23 for the Mallacoota Large SMU. There are no Top 15 sites in the Mallacoota Large SMU.</w:t>
        </w:r>
        <w:r>
          <w:rPr>
            <w:noProof/>
            <w:webHidden/>
          </w:rPr>
          <w:tab/>
        </w:r>
        <w:r>
          <w:rPr>
            <w:noProof/>
            <w:webHidden/>
          </w:rPr>
          <w:fldChar w:fldCharType="begin"/>
        </w:r>
        <w:r>
          <w:rPr>
            <w:noProof/>
            <w:webHidden/>
          </w:rPr>
          <w:instrText xml:space="preserve"> PAGEREF _Toc182219828 \h </w:instrText>
        </w:r>
        <w:r>
          <w:rPr>
            <w:noProof/>
            <w:webHidden/>
          </w:rPr>
        </w:r>
        <w:r>
          <w:rPr>
            <w:noProof/>
            <w:webHidden/>
          </w:rPr>
          <w:fldChar w:fldCharType="separate"/>
        </w:r>
        <w:r w:rsidR="00F61DCE">
          <w:rPr>
            <w:noProof/>
            <w:webHidden/>
          </w:rPr>
          <w:t>41</w:t>
        </w:r>
        <w:r>
          <w:rPr>
            <w:noProof/>
            <w:webHidden/>
          </w:rPr>
          <w:fldChar w:fldCharType="end"/>
        </w:r>
      </w:hyperlink>
    </w:p>
    <w:p w14:paraId="2B9BF401" w14:textId="3CD6153E"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29" w:history="1">
        <w:r w:rsidRPr="007549EE">
          <w:rPr>
            <w:rStyle w:val="Hyperlink"/>
            <w:noProof/>
          </w:rPr>
          <w:t>Figure 28: Pre-recruit abundance (nominal grey dashed line) and catch (bars) from 1992/93 – 2022/23 for the Mallacoota Large SMU. There are no Top 15 sites in the Mallacoota Large SMU.</w:t>
        </w:r>
        <w:r>
          <w:rPr>
            <w:noProof/>
            <w:webHidden/>
          </w:rPr>
          <w:tab/>
        </w:r>
        <w:r>
          <w:rPr>
            <w:noProof/>
            <w:webHidden/>
          </w:rPr>
          <w:fldChar w:fldCharType="begin"/>
        </w:r>
        <w:r>
          <w:rPr>
            <w:noProof/>
            <w:webHidden/>
          </w:rPr>
          <w:instrText xml:space="preserve"> PAGEREF _Toc182219829 \h </w:instrText>
        </w:r>
        <w:r>
          <w:rPr>
            <w:noProof/>
            <w:webHidden/>
          </w:rPr>
        </w:r>
        <w:r>
          <w:rPr>
            <w:noProof/>
            <w:webHidden/>
          </w:rPr>
          <w:fldChar w:fldCharType="separate"/>
        </w:r>
        <w:r w:rsidR="00F61DCE">
          <w:rPr>
            <w:noProof/>
            <w:webHidden/>
          </w:rPr>
          <w:t>41</w:t>
        </w:r>
        <w:r>
          <w:rPr>
            <w:noProof/>
            <w:webHidden/>
          </w:rPr>
          <w:fldChar w:fldCharType="end"/>
        </w:r>
      </w:hyperlink>
    </w:p>
    <w:p w14:paraId="18EC9A77" w14:textId="39F83CBB"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0" w:history="1">
        <w:r w:rsidRPr="007549EE">
          <w:rPr>
            <w:rStyle w:val="Hyperlink"/>
            <w:noProof/>
          </w:rPr>
          <w:t>Figure 29: Total catch and mean daily catch for the Mallacoota West SMU from 1979 to 2023.</w:t>
        </w:r>
        <w:r>
          <w:rPr>
            <w:noProof/>
            <w:webHidden/>
          </w:rPr>
          <w:tab/>
        </w:r>
        <w:r>
          <w:rPr>
            <w:noProof/>
            <w:webHidden/>
          </w:rPr>
          <w:fldChar w:fldCharType="begin"/>
        </w:r>
        <w:r>
          <w:rPr>
            <w:noProof/>
            <w:webHidden/>
          </w:rPr>
          <w:instrText xml:space="preserve"> PAGEREF _Toc182219830 \h </w:instrText>
        </w:r>
        <w:r>
          <w:rPr>
            <w:noProof/>
            <w:webHidden/>
          </w:rPr>
        </w:r>
        <w:r>
          <w:rPr>
            <w:noProof/>
            <w:webHidden/>
          </w:rPr>
          <w:fldChar w:fldCharType="separate"/>
        </w:r>
        <w:r w:rsidR="00F61DCE">
          <w:rPr>
            <w:noProof/>
            <w:webHidden/>
          </w:rPr>
          <w:t>43</w:t>
        </w:r>
        <w:r>
          <w:rPr>
            <w:noProof/>
            <w:webHidden/>
          </w:rPr>
          <w:fldChar w:fldCharType="end"/>
        </w:r>
      </w:hyperlink>
    </w:p>
    <w:p w14:paraId="47EE8160" w14:textId="1600203A"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1" w:history="1">
        <w:r w:rsidRPr="007549EE">
          <w:rPr>
            <w:rStyle w:val="Hyperlink"/>
            <w:noProof/>
          </w:rPr>
          <w:t>Figure 30: Mallacoota West SMU catch, and CPUE (nominal and standardised) from 1992/93 – 2023/24.  Catch = bars, nominal CPUE = grey series (+/- SE),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_Toc182219831 \h </w:instrText>
        </w:r>
        <w:r>
          <w:rPr>
            <w:noProof/>
            <w:webHidden/>
          </w:rPr>
        </w:r>
        <w:r>
          <w:rPr>
            <w:noProof/>
            <w:webHidden/>
          </w:rPr>
          <w:fldChar w:fldCharType="separate"/>
        </w:r>
        <w:r w:rsidR="00F61DCE">
          <w:rPr>
            <w:noProof/>
            <w:webHidden/>
          </w:rPr>
          <w:t>44</w:t>
        </w:r>
        <w:r>
          <w:rPr>
            <w:noProof/>
            <w:webHidden/>
          </w:rPr>
          <w:fldChar w:fldCharType="end"/>
        </w:r>
      </w:hyperlink>
    </w:p>
    <w:p w14:paraId="23E617EB" w14:textId="5C7297CB"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2" w:history="1">
        <w:r w:rsidRPr="007549EE">
          <w:rPr>
            <w:rStyle w:val="Hyperlink"/>
            <w:noProof/>
          </w:rPr>
          <w:t>Figure 31: Recruit abundance and catch from 1992/93 – 2022/23 for the Mallacoota West SMU. Grey dashed series = nominal abundance across all FIS sites (+/-SE). Black series = nominal (dotted line) and standardised (solid line and dot point in 2023) abundance at the two Top 15 sites located within the Mallacoota West SMU.</w:t>
        </w:r>
        <w:r>
          <w:rPr>
            <w:noProof/>
            <w:webHidden/>
          </w:rPr>
          <w:tab/>
        </w:r>
        <w:r>
          <w:rPr>
            <w:noProof/>
            <w:webHidden/>
          </w:rPr>
          <w:fldChar w:fldCharType="begin"/>
        </w:r>
        <w:r>
          <w:rPr>
            <w:noProof/>
            <w:webHidden/>
          </w:rPr>
          <w:instrText xml:space="preserve"> PAGEREF _Toc182219832 \h </w:instrText>
        </w:r>
        <w:r>
          <w:rPr>
            <w:noProof/>
            <w:webHidden/>
          </w:rPr>
        </w:r>
        <w:r>
          <w:rPr>
            <w:noProof/>
            <w:webHidden/>
          </w:rPr>
          <w:fldChar w:fldCharType="separate"/>
        </w:r>
        <w:r w:rsidR="00F61DCE">
          <w:rPr>
            <w:noProof/>
            <w:webHidden/>
          </w:rPr>
          <w:t>45</w:t>
        </w:r>
        <w:r>
          <w:rPr>
            <w:noProof/>
            <w:webHidden/>
          </w:rPr>
          <w:fldChar w:fldCharType="end"/>
        </w:r>
      </w:hyperlink>
    </w:p>
    <w:p w14:paraId="4D305641" w14:textId="3E5C0E5D"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3" w:history="1">
        <w:r w:rsidRPr="007549EE">
          <w:rPr>
            <w:rStyle w:val="Hyperlink"/>
            <w:noProof/>
          </w:rPr>
          <w:t>Figure 32: Pre-recruit abundance and catch from 1992/93 – 2022/23 for the Mallacoota West SMU. Grey dashed series = nominal abundance across all FIS sites (+/-SE). Black series = nominal (dotted line) and standardised (solid line and dot point in 2023) abundance at the two Top 15 sites located within the Mallacoota West SMU.</w:t>
        </w:r>
        <w:r>
          <w:rPr>
            <w:noProof/>
            <w:webHidden/>
          </w:rPr>
          <w:tab/>
        </w:r>
        <w:r>
          <w:rPr>
            <w:noProof/>
            <w:webHidden/>
          </w:rPr>
          <w:fldChar w:fldCharType="begin"/>
        </w:r>
        <w:r>
          <w:rPr>
            <w:noProof/>
            <w:webHidden/>
          </w:rPr>
          <w:instrText xml:space="preserve"> PAGEREF _Toc182219833 \h </w:instrText>
        </w:r>
        <w:r>
          <w:rPr>
            <w:noProof/>
            <w:webHidden/>
          </w:rPr>
        </w:r>
        <w:r>
          <w:rPr>
            <w:noProof/>
            <w:webHidden/>
          </w:rPr>
          <w:fldChar w:fldCharType="separate"/>
        </w:r>
        <w:r w:rsidR="00F61DCE">
          <w:rPr>
            <w:noProof/>
            <w:webHidden/>
          </w:rPr>
          <w:t>45</w:t>
        </w:r>
        <w:r>
          <w:rPr>
            <w:noProof/>
            <w:webHidden/>
          </w:rPr>
          <w:fldChar w:fldCharType="end"/>
        </w:r>
      </w:hyperlink>
    </w:p>
    <w:p w14:paraId="5269EB2E" w14:textId="4B41BB15"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4" w:history="1">
        <w:r w:rsidRPr="007549EE">
          <w:rPr>
            <w:rStyle w:val="Hyperlink"/>
            <w:noProof/>
          </w:rPr>
          <w:t>Figure 33: Total catch and mean daily catch for the Mallacoota Small SMU from 1979 to 2023.</w:t>
        </w:r>
        <w:r>
          <w:rPr>
            <w:noProof/>
            <w:webHidden/>
          </w:rPr>
          <w:tab/>
        </w:r>
        <w:r>
          <w:rPr>
            <w:noProof/>
            <w:webHidden/>
          </w:rPr>
          <w:fldChar w:fldCharType="begin"/>
        </w:r>
        <w:r>
          <w:rPr>
            <w:noProof/>
            <w:webHidden/>
          </w:rPr>
          <w:instrText xml:space="preserve"> PAGEREF _Toc182219834 \h </w:instrText>
        </w:r>
        <w:r>
          <w:rPr>
            <w:noProof/>
            <w:webHidden/>
          </w:rPr>
        </w:r>
        <w:r>
          <w:rPr>
            <w:noProof/>
            <w:webHidden/>
          </w:rPr>
          <w:fldChar w:fldCharType="separate"/>
        </w:r>
        <w:r w:rsidR="00F61DCE">
          <w:rPr>
            <w:noProof/>
            <w:webHidden/>
          </w:rPr>
          <w:t>47</w:t>
        </w:r>
        <w:r>
          <w:rPr>
            <w:noProof/>
            <w:webHidden/>
          </w:rPr>
          <w:fldChar w:fldCharType="end"/>
        </w:r>
      </w:hyperlink>
    </w:p>
    <w:p w14:paraId="44702F4F" w14:textId="7392B655"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5" w:history="1">
        <w:r w:rsidRPr="007549EE">
          <w:rPr>
            <w:rStyle w:val="Hyperlink"/>
            <w:noProof/>
          </w:rPr>
          <w:t>Figure 34: Mallacoota Small SMU catch, and CPUE (nominal and standardised) from 1992/93 – 2023/24.  Catch = bars, nominal CPUE = grey series (+/- SE), standardised series = black. Numbers in bars indicate changes to LMLs. MPs = introduction of Marine Parks.</w:t>
        </w:r>
        <w:r>
          <w:rPr>
            <w:noProof/>
            <w:webHidden/>
          </w:rPr>
          <w:tab/>
        </w:r>
        <w:r>
          <w:rPr>
            <w:noProof/>
            <w:webHidden/>
          </w:rPr>
          <w:fldChar w:fldCharType="begin"/>
        </w:r>
        <w:r>
          <w:rPr>
            <w:noProof/>
            <w:webHidden/>
          </w:rPr>
          <w:instrText xml:space="preserve"> PAGEREF _Toc182219835 \h </w:instrText>
        </w:r>
        <w:r>
          <w:rPr>
            <w:noProof/>
            <w:webHidden/>
          </w:rPr>
        </w:r>
        <w:r>
          <w:rPr>
            <w:noProof/>
            <w:webHidden/>
          </w:rPr>
          <w:fldChar w:fldCharType="separate"/>
        </w:r>
        <w:r w:rsidR="00F61DCE">
          <w:rPr>
            <w:noProof/>
            <w:webHidden/>
          </w:rPr>
          <w:t>48</w:t>
        </w:r>
        <w:r>
          <w:rPr>
            <w:noProof/>
            <w:webHidden/>
          </w:rPr>
          <w:fldChar w:fldCharType="end"/>
        </w:r>
      </w:hyperlink>
    </w:p>
    <w:p w14:paraId="1ED3BD3F" w14:textId="19B0F84C"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6" w:history="1">
        <w:r w:rsidRPr="007549EE">
          <w:rPr>
            <w:rStyle w:val="Hyperlink"/>
            <w:noProof/>
          </w:rPr>
          <w:t>Figure 35: Recruit abundance and catch from 1992/93 – 2022/23 for the Mallacoota Small SMU. Grey dashed series = nominal abundance across all FIS sites (+/-SE). Black series = nominal (dotted line) and standardised (solid line and dot point in 2023) abundance at the one Top 15 site located within the Mallacoota Small SMU.</w:t>
        </w:r>
        <w:r>
          <w:rPr>
            <w:noProof/>
            <w:webHidden/>
          </w:rPr>
          <w:tab/>
        </w:r>
        <w:r>
          <w:rPr>
            <w:noProof/>
            <w:webHidden/>
          </w:rPr>
          <w:fldChar w:fldCharType="begin"/>
        </w:r>
        <w:r>
          <w:rPr>
            <w:noProof/>
            <w:webHidden/>
          </w:rPr>
          <w:instrText xml:space="preserve"> PAGEREF _Toc182219836 \h </w:instrText>
        </w:r>
        <w:r>
          <w:rPr>
            <w:noProof/>
            <w:webHidden/>
          </w:rPr>
        </w:r>
        <w:r>
          <w:rPr>
            <w:noProof/>
            <w:webHidden/>
          </w:rPr>
          <w:fldChar w:fldCharType="separate"/>
        </w:r>
        <w:r w:rsidR="00F61DCE">
          <w:rPr>
            <w:noProof/>
            <w:webHidden/>
          </w:rPr>
          <w:t>49</w:t>
        </w:r>
        <w:r>
          <w:rPr>
            <w:noProof/>
            <w:webHidden/>
          </w:rPr>
          <w:fldChar w:fldCharType="end"/>
        </w:r>
      </w:hyperlink>
    </w:p>
    <w:p w14:paraId="3C0FE1AB" w14:textId="64EB66A2"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37" w:history="1">
        <w:r w:rsidRPr="007549EE">
          <w:rPr>
            <w:rStyle w:val="Hyperlink"/>
            <w:noProof/>
          </w:rPr>
          <w:t>Figure 36: Pre-recruit abundance and catch from 1992/93 – 2022/23 for the Mallacoota Small SMU. Grey dashed series = nominal abundance across all FIS sites (+/-SE). Black series = nominal (dotted line) and standardised (solid line and dot point in 2023) abundance at the one Top 15 site located within the Mallacoota Small SMU.</w:t>
        </w:r>
        <w:r>
          <w:rPr>
            <w:noProof/>
            <w:webHidden/>
          </w:rPr>
          <w:tab/>
        </w:r>
        <w:r>
          <w:rPr>
            <w:noProof/>
            <w:webHidden/>
          </w:rPr>
          <w:fldChar w:fldCharType="begin"/>
        </w:r>
        <w:r>
          <w:rPr>
            <w:noProof/>
            <w:webHidden/>
          </w:rPr>
          <w:instrText xml:space="preserve"> PAGEREF _Toc182219837 \h </w:instrText>
        </w:r>
        <w:r>
          <w:rPr>
            <w:noProof/>
            <w:webHidden/>
          </w:rPr>
        </w:r>
        <w:r>
          <w:rPr>
            <w:noProof/>
            <w:webHidden/>
          </w:rPr>
          <w:fldChar w:fldCharType="separate"/>
        </w:r>
        <w:r w:rsidR="00F61DCE">
          <w:rPr>
            <w:noProof/>
            <w:webHidden/>
          </w:rPr>
          <w:t>49</w:t>
        </w:r>
        <w:r>
          <w:rPr>
            <w:noProof/>
            <w:webHidden/>
          </w:rPr>
          <w:fldChar w:fldCharType="end"/>
        </w:r>
      </w:hyperlink>
    </w:p>
    <w:p w14:paraId="2C3B17F9" w14:textId="210B2DF2"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p>
    <w:p w14:paraId="0A5A502B" w14:textId="721382F8" w:rsidR="00D80EF6" w:rsidRDefault="002D4EA4" w:rsidP="00392198">
      <w:pPr>
        <w:spacing w:before="0" w:after="160" w:line="259" w:lineRule="auto"/>
      </w:pPr>
      <w:r>
        <w:fldChar w:fldCharType="end"/>
      </w:r>
    </w:p>
    <w:p w14:paraId="5D6B31C5" w14:textId="45C23C71" w:rsidR="00144128" w:rsidRPr="00144128" w:rsidRDefault="00144128" w:rsidP="00392198">
      <w:pPr>
        <w:spacing w:before="0" w:after="160" w:line="259" w:lineRule="auto"/>
        <w:rPr>
          <w:rFonts w:asciiTheme="majorHAnsi" w:hAnsiTheme="majorHAnsi" w:cstheme="majorHAnsi"/>
          <w:color w:val="2E74B5" w:themeColor="accent1" w:themeShade="BF"/>
          <w:sz w:val="32"/>
          <w:szCs w:val="32"/>
        </w:rPr>
      </w:pPr>
      <w:r w:rsidRPr="00144128">
        <w:rPr>
          <w:rFonts w:asciiTheme="majorHAnsi" w:hAnsiTheme="majorHAnsi" w:cstheme="majorHAnsi"/>
          <w:color w:val="2E74B5" w:themeColor="accent1" w:themeShade="BF"/>
          <w:sz w:val="32"/>
          <w:szCs w:val="32"/>
        </w:rPr>
        <w:lastRenderedPageBreak/>
        <w:t xml:space="preserve">List of </w:t>
      </w:r>
      <w:r>
        <w:rPr>
          <w:rFonts w:asciiTheme="majorHAnsi" w:hAnsiTheme="majorHAnsi" w:cstheme="majorHAnsi"/>
          <w:color w:val="2E74B5" w:themeColor="accent1" w:themeShade="BF"/>
          <w:sz w:val="32"/>
          <w:szCs w:val="32"/>
        </w:rPr>
        <w:t>tables</w:t>
      </w:r>
    </w:p>
    <w:p w14:paraId="16ECAD7C" w14:textId="1BF528EE" w:rsidR="009D3256" w:rsidRDefault="002D4EA4">
      <w:pPr>
        <w:pStyle w:val="TableofFigures"/>
        <w:tabs>
          <w:tab w:val="right" w:leader="dot" w:pos="9016"/>
        </w:tabs>
        <w:rPr>
          <w:rFonts w:eastAsiaTheme="minorEastAsia"/>
          <w:smallCaps w:val="0"/>
          <w:noProof/>
          <w:kern w:val="2"/>
          <w:sz w:val="24"/>
          <w:szCs w:val="24"/>
          <w:lang w:eastAsia="en-AU"/>
          <w14:ligatures w14:val="standardContextual"/>
        </w:rPr>
      </w:pPr>
      <w:r>
        <w:fldChar w:fldCharType="begin"/>
      </w:r>
      <w:r>
        <w:instrText xml:space="preserve"> TOC \h \z \t "Table Caption" \c </w:instrText>
      </w:r>
      <w:r>
        <w:fldChar w:fldCharType="separate"/>
      </w:r>
      <w:hyperlink w:anchor="_Toc182219861" w:history="1">
        <w:r w:rsidR="009D3256" w:rsidRPr="00FC3EED">
          <w:rPr>
            <w:rStyle w:val="Hyperlink"/>
            <w:noProof/>
          </w:rPr>
          <w:t>Table 1: Performance indicators used in the assessment of the Eastern Zone abalone fishery. LML = Legal Minimum Length.</w:t>
        </w:r>
        <w:r w:rsidR="009D3256">
          <w:rPr>
            <w:noProof/>
            <w:webHidden/>
          </w:rPr>
          <w:tab/>
        </w:r>
        <w:r w:rsidR="009D3256">
          <w:rPr>
            <w:noProof/>
            <w:webHidden/>
          </w:rPr>
          <w:fldChar w:fldCharType="begin"/>
        </w:r>
        <w:r w:rsidR="009D3256">
          <w:rPr>
            <w:noProof/>
            <w:webHidden/>
          </w:rPr>
          <w:instrText xml:space="preserve"> PAGEREF _Toc182219861 \h </w:instrText>
        </w:r>
        <w:r w:rsidR="009D3256">
          <w:rPr>
            <w:noProof/>
            <w:webHidden/>
          </w:rPr>
        </w:r>
        <w:r w:rsidR="009D3256">
          <w:rPr>
            <w:noProof/>
            <w:webHidden/>
          </w:rPr>
          <w:fldChar w:fldCharType="separate"/>
        </w:r>
        <w:r w:rsidR="00F61DCE">
          <w:rPr>
            <w:noProof/>
            <w:webHidden/>
          </w:rPr>
          <w:t>14</w:t>
        </w:r>
        <w:r w:rsidR="009D3256">
          <w:rPr>
            <w:noProof/>
            <w:webHidden/>
          </w:rPr>
          <w:fldChar w:fldCharType="end"/>
        </w:r>
      </w:hyperlink>
    </w:p>
    <w:p w14:paraId="10C82160" w14:textId="782CA4F6"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2" w:history="1">
        <w:r w:rsidRPr="00FC3EED">
          <w:rPr>
            <w:rStyle w:val="Hyperlink"/>
            <w:noProof/>
          </w:rPr>
          <w:t>Table 2: Performance measures used in the assessment of the Eastern Zone abalone fishery. * FIS data from 2022/23.</w:t>
        </w:r>
        <w:r>
          <w:rPr>
            <w:noProof/>
            <w:webHidden/>
          </w:rPr>
          <w:tab/>
        </w:r>
        <w:r>
          <w:rPr>
            <w:noProof/>
            <w:webHidden/>
          </w:rPr>
          <w:fldChar w:fldCharType="begin"/>
        </w:r>
        <w:r>
          <w:rPr>
            <w:noProof/>
            <w:webHidden/>
          </w:rPr>
          <w:instrText xml:space="preserve"> PAGEREF _Toc182219862 \h </w:instrText>
        </w:r>
        <w:r>
          <w:rPr>
            <w:noProof/>
            <w:webHidden/>
          </w:rPr>
        </w:r>
        <w:r>
          <w:rPr>
            <w:noProof/>
            <w:webHidden/>
          </w:rPr>
          <w:fldChar w:fldCharType="separate"/>
        </w:r>
        <w:r w:rsidR="00F61DCE">
          <w:rPr>
            <w:noProof/>
            <w:webHidden/>
          </w:rPr>
          <w:t>20</w:t>
        </w:r>
        <w:r>
          <w:rPr>
            <w:noProof/>
            <w:webHidden/>
          </w:rPr>
          <w:fldChar w:fldCharType="end"/>
        </w:r>
      </w:hyperlink>
    </w:p>
    <w:p w14:paraId="68B5239C" w14:textId="0F7C5C5F"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3" w:history="1">
        <w:r w:rsidRPr="00FC3EED">
          <w:rPr>
            <w:rStyle w:val="Hyperlink"/>
            <w:noProof/>
          </w:rPr>
          <w:t>Table 3: Performance measures used in the assessment of the Eastern Zone abalone fishery at the SMU scale (Zone totals repeated for reference).</w:t>
        </w:r>
        <w:r>
          <w:rPr>
            <w:noProof/>
            <w:webHidden/>
          </w:rPr>
          <w:tab/>
        </w:r>
        <w:r>
          <w:rPr>
            <w:noProof/>
            <w:webHidden/>
          </w:rPr>
          <w:fldChar w:fldCharType="begin"/>
        </w:r>
        <w:r>
          <w:rPr>
            <w:noProof/>
            <w:webHidden/>
          </w:rPr>
          <w:instrText xml:space="preserve"> PAGEREF _Toc182219863 \h </w:instrText>
        </w:r>
        <w:r>
          <w:rPr>
            <w:noProof/>
            <w:webHidden/>
          </w:rPr>
        </w:r>
        <w:r>
          <w:rPr>
            <w:noProof/>
            <w:webHidden/>
          </w:rPr>
          <w:fldChar w:fldCharType="separate"/>
        </w:r>
        <w:r w:rsidR="00F61DCE">
          <w:rPr>
            <w:noProof/>
            <w:webHidden/>
          </w:rPr>
          <w:t>21</w:t>
        </w:r>
        <w:r>
          <w:rPr>
            <w:noProof/>
            <w:webHidden/>
          </w:rPr>
          <w:fldChar w:fldCharType="end"/>
        </w:r>
      </w:hyperlink>
    </w:p>
    <w:p w14:paraId="0823F94F" w14:textId="129DCCB6"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4" w:history="1">
        <w:r w:rsidRPr="00FC3EED">
          <w:rPr>
            <w:rStyle w:val="Hyperlink"/>
            <w:noProof/>
          </w:rPr>
          <w:t>Table 4: Reference points for Eastern Zone SMUs, mean annual CPUE from 2018 - 2023 and applicable catch control rules (CCR).</w:t>
        </w:r>
        <w:r>
          <w:rPr>
            <w:noProof/>
            <w:webHidden/>
          </w:rPr>
          <w:tab/>
        </w:r>
        <w:r>
          <w:rPr>
            <w:noProof/>
            <w:webHidden/>
          </w:rPr>
          <w:fldChar w:fldCharType="begin"/>
        </w:r>
        <w:r>
          <w:rPr>
            <w:noProof/>
            <w:webHidden/>
          </w:rPr>
          <w:instrText xml:space="preserve"> PAGEREF _Toc182219864 \h </w:instrText>
        </w:r>
        <w:r>
          <w:rPr>
            <w:noProof/>
            <w:webHidden/>
          </w:rPr>
        </w:r>
        <w:r>
          <w:rPr>
            <w:noProof/>
            <w:webHidden/>
          </w:rPr>
          <w:fldChar w:fldCharType="separate"/>
        </w:r>
        <w:r w:rsidR="00F61DCE">
          <w:rPr>
            <w:noProof/>
            <w:webHidden/>
          </w:rPr>
          <w:t>22</w:t>
        </w:r>
        <w:r>
          <w:rPr>
            <w:noProof/>
            <w:webHidden/>
          </w:rPr>
          <w:fldChar w:fldCharType="end"/>
        </w:r>
      </w:hyperlink>
    </w:p>
    <w:p w14:paraId="671FF2CF" w14:textId="3A200E62"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5" w:history="1">
        <w:r w:rsidRPr="00FC3EED">
          <w:rPr>
            <w:rStyle w:val="Hyperlink"/>
            <w:noProof/>
          </w:rPr>
          <w:t>Table 5: Harvest Strategy results for Eastern Zone SMUs, with suggested target catch ranges.</w:t>
        </w:r>
        <w:r>
          <w:rPr>
            <w:noProof/>
            <w:webHidden/>
          </w:rPr>
          <w:tab/>
        </w:r>
        <w:r>
          <w:rPr>
            <w:noProof/>
            <w:webHidden/>
          </w:rPr>
          <w:fldChar w:fldCharType="begin"/>
        </w:r>
        <w:r>
          <w:rPr>
            <w:noProof/>
            <w:webHidden/>
          </w:rPr>
          <w:instrText xml:space="preserve"> PAGEREF _Toc182219865 \h </w:instrText>
        </w:r>
        <w:r>
          <w:rPr>
            <w:noProof/>
            <w:webHidden/>
          </w:rPr>
        </w:r>
        <w:r>
          <w:rPr>
            <w:noProof/>
            <w:webHidden/>
          </w:rPr>
          <w:fldChar w:fldCharType="separate"/>
        </w:r>
        <w:r w:rsidR="00F61DCE">
          <w:rPr>
            <w:noProof/>
            <w:webHidden/>
          </w:rPr>
          <w:t>22</w:t>
        </w:r>
        <w:r>
          <w:rPr>
            <w:noProof/>
            <w:webHidden/>
          </w:rPr>
          <w:fldChar w:fldCharType="end"/>
        </w:r>
      </w:hyperlink>
    </w:p>
    <w:p w14:paraId="4FB2E85C" w14:textId="46AB499D"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6" w:history="1">
        <w:r w:rsidRPr="00FC3EED">
          <w:rPr>
            <w:rStyle w:val="Hyperlink"/>
            <w:noProof/>
          </w:rPr>
          <w:t>Table 6: Summary of Catch, Optimum Targets and Performance Indicators for the Airport SMU.</w:t>
        </w:r>
        <w:r>
          <w:rPr>
            <w:noProof/>
            <w:webHidden/>
          </w:rPr>
          <w:tab/>
        </w:r>
        <w:r>
          <w:rPr>
            <w:noProof/>
            <w:webHidden/>
          </w:rPr>
          <w:fldChar w:fldCharType="begin"/>
        </w:r>
        <w:r>
          <w:rPr>
            <w:noProof/>
            <w:webHidden/>
          </w:rPr>
          <w:instrText xml:space="preserve"> PAGEREF _Toc182219866 \h </w:instrText>
        </w:r>
        <w:r>
          <w:rPr>
            <w:noProof/>
            <w:webHidden/>
          </w:rPr>
        </w:r>
        <w:r>
          <w:rPr>
            <w:noProof/>
            <w:webHidden/>
          </w:rPr>
          <w:fldChar w:fldCharType="separate"/>
        </w:r>
        <w:r w:rsidR="00F61DCE">
          <w:rPr>
            <w:noProof/>
            <w:webHidden/>
          </w:rPr>
          <w:t>23</w:t>
        </w:r>
        <w:r>
          <w:rPr>
            <w:noProof/>
            <w:webHidden/>
          </w:rPr>
          <w:fldChar w:fldCharType="end"/>
        </w:r>
      </w:hyperlink>
    </w:p>
    <w:p w14:paraId="1D88E040" w14:textId="48B2B544"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7" w:history="1">
        <w:r w:rsidRPr="00FC3EED">
          <w:rPr>
            <w:rStyle w:val="Hyperlink"/>
            <w:noProof/>
          </w:rPr>
          <w:t>Table 7: Catches (kg) by reefcode for the Airport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_Toc182219867 \h </w:instrText>
        </w:r>
        <w:r>
          <w:rPr>
            <w:noProof/>
            <w:webHidden/>
          </w:rPr>
        </w:r>
        <w:r>
          <w:rPr>
            <w:noProof/>
            <w:webHidden/>
          </w:rPr>
          <w:fldChar w:fldCharType="separate"/>
        </w:r>
        <w:r w:rsidR="00F61DCE">
          <w:rPr>
            <w:noProof/>
            <w:webHidden/>
          </w:rPr>
          <w:t>24</w:t>
        </w:r>
        <w:r>
          <w:rPr>
            <w:noProof/>
            <w:webHidden/>
          </w:rPr>
          <w:fldChar w:fldCharType="end"/>
        </w:r>
      </w:hyperlink>
    </w:p>
    <w:p w14:paraId="270FAE06" w14:textId="6F5A493B"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8" w:history="1">
        <w:r w:rsidRPr="00FC3EED">
          <w:rPr>
            <w:rStyle w:val="Hyperlink"/>
            <w:noProof/>
          </w:rPr>
          <w:t>Table 8: Summary of Catch, Optimum Targets and Performance Indicators for the Mallacoota Central SMU.</w:t>
        </w:r>
        <w:r>
          <w:rPr>
            <w:noProof/>
            <w:webHidden/>
          </w:rPr>
          <w:tab/>
        </w:r>
        <w:r>
          <w:rPr>
            <w:noProof/>
            <w:webHidden/>
          </w:rPr>
          <w:fldChar w:fldCharType="begin"/>
        </w:r>
        <w:r>
          <w:rPr>
            <w:noProof/>
            <w:webHidden/>
          </w:rPr>
          <w:instrText xml:space="preserve"> PAGEREF _Toc182219868 \h </w:instrText>
        </w:r>
        <w:r>
          <w:rPr>
            <w:noProof/>
            <w:webHidden/>
          </w:rPr>
        </w:r>
        <w:r>
          <w:rPr>
            <w:noProof/>
            <w:webHidden/>
          </w:rPr>
          <w:fldChar w:fldCharType="separate"/>
        </w:r>
        <w:r w:rsidR="00F61DCE">
          <w:rPr>
            <w:noProof/>
            <w:webHidden/>
          </w:rPr>
          <w:t>27</w:t>
        </w:r>
        <w:r>
          <w:rPr>
            <w:noProof/>
            <w:webHidden/>
          </w:rPr>
          <w:fldChar w:fldCharType="end"/>
        </w:r>
      </w:hyperlink>
    </w:p>
    <w:p w14:paraId="1F93ED8E" w14:textId="3B8A7930"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69" w:history="1">
        <w:r w:rsidRPr="00FC3EED">
          <w:rPr>
            <w:rStyle w:val="Hyperlink"/>
            <w:noProof/>
          </w:rPr>
          <w:t>Table 9: Catches by reefcode for the Mallacoota Central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_Toc182219869 \h </w:instrText>
        </w:r>
        <w:r>
          <w:rPr>
            <w:noProof/>
            <w:webHidden/>
          </w:rPr>
        </w:r>
        <w:r>
          <w:rPr>
            <w:noProof/>
            <w:webHidden/>
          </w:rPr>
          <w:fldChar w:fldCharType="separate"/>
        </w:r>
        <w:r w:rsidR="00F61DCE">
          <w:rPr>
            <w:noProof/>
            <w:webHidden/>
          </w:rPr>
          <w:t>28</w:t>
        </w:r>
        <w:r>
          <w:rPr>
            <w:noProof/>
            <w:webHidden/>
          </w:rPr>
          <w:fldChar w:fldCharType="end"/>
        </w:r>
      </w:hyperlink>
    </w:p>
    <w:p w14:paraId="090D1E1B" w14:textId="2CFE363E"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0" w:history="1">
        <w:r w:rsidRPr="00FC3EED">
          <w:rPr>
            <w:rStyle w:val="Hyperlink"/>
            <w:noProof/>
          </w:rPr>
          <w:t>Table 10: Summary of Catch, Optimum Targets and Performance Indicators for the Marlo SMU.</w:t>
        </w:r>
        <w:r>
          <w:rPr>
            <w:noProof/>
            <w:webHidden/>
          </w:rPr>
          <w:tab/>
        </w:r>
        <w:r>
          <w:rPr>
            <w:noProof/>
            <w:webHidden/>
          </w:rPr>
          <w:fldChar w:fldCharType="begin"/>
        </w:r>
        <w:r>
          <w:rPr>
            <w:noProof/>
            <w:webHidden/>
          </w:rPr>
          <w:instrText xml:space="preserve"> PAGEREF _Toc182219870 \h </w:instrText>
        </w:r>
        <w:r>
          <w:rPr>
            <w:noProof/>
            <w:webHidden/>
          </w:rPr>
        </w:r>
        <w:r>
          <w:rPr>
            <w:noProof/>
            <w:webHidden/>
          </w:rPr>
          <w:fldChar w:fldCharType="separate"/>
        </w:r>
        <w:r w:rsidR="00F61DCE">
          <w:rPr>
            <w:noProof/>
            <w:webHidden/>
          </w:rPr>
          <w:t>31</w:t>
        </w:r>
        <w:r>
          <w:rPr>
            <w:noProof/>
            <w:webHidden/>
          </w:rPr>
          <w:fldChar w:fldCharType="end"/>
        </w:r>
      </w:hyperlink>
    </w:p>
    <w:p w14:paraId="5748AA27" w14:textId="04D7D3C6"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1" w:history="1">
        <w:r w:rsidRPr="00FC3EED">
          <w:rPr>
            <w:rStyle w:val="Hyperlink"/>
            <w:noProof/>
          </w:rPr>
          <w:t>Table 11: Catches by reefcode for the Marlo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_Toc182219871 \h </w:instrText>
        </w:r>
        <w:r>
          <w:rPr>
            <w:noProof/>
            <w:webHidden/>
          </w:rPr>
        </w:r>
        <w:r>
          <w:rPr>
            <w:noProof/>
            <w:webHidden/>
          </w:rPr>
          <w:fldChar w:fldCharType="separate"/>
        </w:r>
        <w:r w:rsidR="00F61DCE">
          <w:rPr>
            <w:noProof/>
            <w:webHidden/>
          </w:rPr>
          <w:t>32</w:t>
        </w:r>
        <w:r>
          <w:rPr>
            <w:noProof/>
            <w:webHidden/>
          </w:rPr>
          <w:fldChar w:fldCharType="end"/>
        </w:r>
      </w:hyperlink>
    </w:p>
    <w:p w14:paraId="19B48ACA" w14:textId="55E4C94C"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2" w:history="1">
        <w:r w:rsidRPr="00FC3EED">
          <w:rPr>
            <w:rStyle w:val="Hyperlink"/>
            <w:noProof/>
          </w:rPr>
          <w:t>Table 12: Summary of Catch, Optimum Targets and Performance Indicators for the Mallacoota East SMU.</w:t>
        </w:r>
        <w:r>
          <w:rPr>
            <w:noProof/>
            <w:webHidden/>
          </w:rPr>
          <w:tab/>
        </w:r>
        <w:r>
          <w:rPr>
            <w:noProof/>
            <w:webHidden/>
          </w:rPr>
          <w:fldChar w:fldCharType="begin"/>
        </w:r>
        <w:r>
          <w:rPr>
            <w:noProof/>
            <w:webHidden/>
          </w:rPr>
          <w:instrText xml:space="preserve"> PAGEREF _Toc182219872 \h </w:instrText>
        </w:r>
        <w:r>
          <w:rPr>
            <w:noProof/>
            <w:webHidden/>
          </w:rPr>
        </w:r>
        <w:r>
          <w:rPr>
            <w:noProof/>
            <w:webHidden/>
          </w:rPr>
          <w:fldChar w:fldCharType="separate"/>
        </w:r>
        <w:r w:rsidR="00F61DCE">
          <w:rPr>
            <w:noProof/>
            <w:webHidden/>
          </w:rPr>
          <w:t>35</w:t>
        </w:r>
        <w:r>
          <w:rPr>
            <w:noProof/>
            <w:webHidden/>
          </w:rPr>
          <w:fldChar w:fldCharType="end"/>
        </w:r>
      </w:hyperlink>
    </w:p>
    <w:p w14:paraId="3E3D1B15" w14:textId="5B600EB1"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3" w:history="1">
        <w:r w:rsidRPr="00FC3EED">
          <w:rPr>
            <w:rStyle w:val="Hyperlink"/>
            <w:noProof/>
          </w:rPr>
          <w:t>Table 13: Catches by reefcode for the Mallacoota East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_Toc182219873 \h </w:instrText>
        </w:r>
        <w:r>
          <w:rPr>
            <w:noProof/>
            <w:webHidden/>
          </w:rPr>
        </w:r>
        <w:r>
          <w:rPr>
            <w:noProof/>
            <w:webHidden/>
          </w:rPr>
          <w:fldChar w:fldCharType="separate"/>
        </w:r>
        <w:r w:rsidR="00F61DCE">
          <w:rPr>
            <w:noProof/>
            <w:webHidden/>
          </w:rPr>
          <w:t>36</w:t>
        </w:r>
        <w:r>
          <w:rPr>
            <w:noProof/>
            <w:webHidden/>
          </w:rPr>
          <w:fldChar w:fldCharType="end"/>
        </w:r>
      </w:hyperlink>
    </w:p>
    <w:p w14:paraId="4944DB35" w14:textId="6B66D47D"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4" w:history="1">
        <w:r w:rsidRPr="00FC3EED">
          <w:rPr>
            <w:rStyle w:val="Hyperlink"/>
            <w:noProof/>
          </w:rPr>
          <w:t>Table 14: Summary of Catch, Optimum Targets and Performance Indicators for the Mallacoota Large SMU.</w:t>
        </w:r>
        <w:r>
          <w:rPr>
            <w:noProof/>
            <w:webHidden/>
          </w:rPr>
          <w:tab/>
        </w:r>
        <w:r>
          <w:rPr>
            <w:noProof/>
            <w:webHidden/>
          </w:rPr>
          <w:fldChar w:fldCharType="begin"/>
        </w:r>
        <w:r>
          <w:rPr>
            <w:noProof/>
            <w:webHidden/>
          </w:rPr>
          <w:instrText xml:space="preserve"> PAGEREF _Toc182219874 \h </w:instrText>
        </w:r>
        <w:r>
          <w:rPr>
            <w:noProof/>
            <w:webHidden/>
          </w:rPr>
        </w:r>
        <w:r>
          <w:rPr>
            <w:noProof/>
            <w:webHidden/>
          </w:rPr>
          <w:fldChar w:fldCharType="separate"/>
        </w:r>
        <w:r w:rsidR="00F61DCE">
          <w:rPr>
            <w:noProof/>
            <w:webHidden/>
          </w:rPr>
          <w:t>39</w:t>
        </w:r>
        <w:r>
          <w:rPr>
            <w:noProof/>
            <w:webHidden/>
          </w:rPr>
          <w:fldChar w:fldCharType="end"/>
        </w:r>
      </w:hyperlink>
    </w:p>
    <w:p w14:paraId="719A4D47" w14:textId="14604AC9"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5" w:history="1">
        <w:r w:rsidRPr="00FC3EED">
          <w:rPr>
            <w:rStyle w:val="Hyperlink"/>
            <w:noProof/>
          </w:rPr>
          <w:t>Table 15: Catches by reefcode for the Mallacoota Large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_Toc182219875 \h </w:instrText>
        </w:r>
        <w:r>
          <w:rPr>
            <w:noProof/>
            <w:webHidden/>
          </w:rPr>
        </w:r>
        <w:r>
          <w:rPr>
            <w:noProof/>
            <w:webHidden/>
          </w:rPr>
          <w:fldChar w:fldCharType="separate"/>
        </w:r>
        <w:r w:rsidR="00F61DCE">
          <w:rPr>
            <w:noProof/>
            <w:webHidden/>
          </w:rPr>
          <w:t>40</w:t>
        </w:r>
        <w:r>
          <w:rPr>
            <w:noProof/>
            <w:webHidden/>
          </w:rPr>
          <w:fldChar w:fldCharType="end"/>
        </w:r>
      </w:hyperlink>
    </w:p>
    <w:p w14:paraId="47939281" w14:textId="24B6B40A"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6" w:history="1">
        <w:r w:rsidRPr="00FC3EED">
          <w:rPr>
            <w:rStyle w:val="Hyperlink"/>
            <w:noProof/>
          </w:rPr>
          <w:t>Table 16: Summary of Catch, Optimum Targets and Performance Indicators for the Mallacoota West SMU.</w:t>
        </w:r>
        <w:r>
          <w:rPr>
            <w:noProof/>
            <w:webHidden/>
          </w:rPr>
          <w:tab/>
        </w:r>
        <w:r>
          <w:rPr>
            <w:noProof/>
            <w:webHidden/>
          </w:rPr>
          <w:fldChar w:fldCharType="begin"/>
        </w:r>
        <w:r>
          <w:rPr>
            <w:noProof/>
            <w:webHidden/>
          </w:rPr>
          <w:instrText xml:space="preserve"> PAGEREF _Toc182219876 \h </w:instrText>
        </w:r>
        <w:r>
          <w:rPr>
            <w:noProof/>
            <w:webHidden/>
          </w:rPr>
        </w:r>
        <w:r>
          <w:rPr>
            <w:noProof/>
            <w:webHidden/>
          </w:rPr>
          <w:fldChar w:fldCharType="separate"/>
        </w:r>
        <w:r w:rsidR="00F61DCE">
          <w:rPr>
            <w:noProof/>
            <w:webHidden/>
          </w:rPr>
          <w:t>43</w:t>
        </w:r>
        <w:r>
          <w:rPr>
            <w:noProof/>
            <w:webHidden/>
          </w:rPr>
          <w:fldChar w:fldCharType="end"/>
        </w:r>
      </w:hyperlink>
    </w:p>
    <w:p w14:paraId="0368467E" w14:textId="0ECF2B94"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7" w:history="1">
        <w:r w:rsidRPr="00FC3EED">
          <w:rPr>
            <w:rStyle w:val="Hyperlink"/>
            <w:noProof/>
          </w:rPr>
          <w:t>Table 17: Catches by reefcode for the Mallacoota West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_Toc182219877 \h </w:instrText>
        </w:r>
        <w:r>
          <w:rPr>
            <w:noProof/>
            <w:webHidden/>
          </w:rPr>
        </w:r>
        <w:r>
          <w:rPr>
            <w:noProof/>
            <w:webHidden/>
          </w:rPr>
          <w:fldChar w:fldCharType="separate"/>
        </w:r>
        <w:r w:rsidR="00F61DCE">
          <w:rPr>
            <w:noProof/>
            <w:webHidden/>
          </w:rPr>
          <w:t>44</w:t>
        </w:r>
        <w:r>
          <w:rPr>
            <w:noProof/>
            <w:webHidden/>
          </w:rPr>
          <w:fldChar w:fldCharType="end"/>
        </w:r>
      </w:hyperlink>
    </w:p>
    <w:p w14:paraId="52650B44" w14:textId="4C75BD5C"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8" w:history="1">
        <w:r w:rsidRPr="00FC3EED">
          <w:rPr>
            <w:rStyle w:val="Hyperlink"/>
            <w:noProof/>
          </w:rPr>
          <w:t>Table 18: Summary of Catch, Optimum Targets and Performance Indicators for the Mallacoota Small SMU.</w:t>
        </w:r>
        <w:r>
          <w:rPr>
            <w:noProof/>
            <w:webHidden/>
          </w:rPr>
          <w:tab/>
        </w:r>
        <w:r>
          <w:rPr>
            <w:noProof/>
            <w:webHidden/>
          </w:rPr>
          <w:fldChar w:fldCharType="begin"/>
        </w:r>
        <w:r>
          <w:rPr>
            <w:noProof/>
            <w:webHidden/>
          </w:rPr>
          <w:instrText xml:space="preserve"> PAGEREF _Toc182219878 \h </w:instrText>
        </w:r>
        <w:r>
          <w:rPr>
            <w:noProof/>
            <w:webHidden/>
          </w:rPr>
        </w:r>
        <w:r>
          <w:rPr>
            <w:noProof/>
            <w:webHidden/>
          </w:rPr>
          <w:fldChar w:fldCharType="separate"/>
        </w:r>
        <w:r w:rsidR="00F61DCE">
          <w:rPr>
            <w:noProof/>
            <w:webHidden/>
          </w:rPr>
          <w:t>47</w:t>
        </w:r>
        <w:r>
          <w:rPr>
            <w:noProof/>
            <w:webHidden/>
          </w:rPr>
          <w:fldChar w:fldCharType="end"/>
        </w:r>
      </w:hyperlink>
    </w:p>
    <w:p w14:paraId="096E1216" w14:textId="5FAE5AFC" w:rsidR="009D3256" w:rsidRDefault="009D3256">
      <w:pPr>
        <w:pStyle w:val="TableofFigures"/>
        <w:tabs>
          <w:tab w:val="right" w:leader="dot" w:pos="9016"/>
        </w:tabs>
        <w:rPr>
          <w:rFonts w:eastAsiaTheme="minorEastAsia"/>
          <w:smallCaps w:val="0"/>
          <w:noProof/>
          <w:kern w:val="2"/>
          <w:sz w:val="24"/>
          <w:szCs w:val="24"/>
          <w:lang w:eastAsia="en-AU"/>
          <w14:ligatures w14:val="standardContextual"/>
        </w:rPr>
      </w:pPr>
      <w:hyperlink w:anchor="_Toc182219879" w:history="1">
        <w:r w:rsidRPr="00FC3EED">
          <w:rPr>
            <w:rStyle w:val="Hyperlink"/>
            <w:noProof/>
          </w:rPr>
          <w:t>Table 19: Catches by reefcode for the Mallacoota Small SMU from 2018/19 to 2023/24, the five-year average catch from 2018/19 to 2022/23, and the OT for 2023/24.</w:t>
        </w:r>
        <w:r>
          <w:rPr>
            <w:noProof/>
            <w:webHidden/>
          </w:rPr>
          <w:tab/>
        </w:r>
        <w:r>
          <w:rPr>
            <w:noProof/>
            <w:webHidden/>
          </w:rPr>
          <w:fldChar w:fldCharType="begin"/>
        </w:r>
        <w:r>
          <w:rPr>
            <w:noProof/>
            <w:webHidden/>
          </w:rPr>
          <w:instrText xml:space="preserve"> PAGEREF _Toc182219879 \h </w:instrText>
        </w:r>
        <w:r>
          <w:rPr>
            <w:noProof/>
            <w:webHidden/>
          </w:rPr>
        </w:r>
        <w:r>
          <w:rPr>
            <w:noProof/>
            <w:webHidden/>
          </w:rPr>
          <w:fldChar w:fldCharType="separate"/>
        </w:r>
        <w:r w:rsidR="00F61DCE">
          <w:rPr>
            <w:noProof/>
            <w:webHidden/>
          </w:rPr>
          <w:t>48</w:t>
        </w:r>
        <w:r>
          <w:rPr>
            <w:noProof/>
            <w:webHidden/>
          </w:rPr>
          <w:fldChar w:fldCharType="end"/>
        </w:r>
      </w:hyperlink>
    </w:p>
    <w:p w14:paraId="74240891" w14:textId="5EB89C6C" w:rsidR="00050FFE" w:rsidRDefault="002D4EA4">
      <w:pPr>
        <w:spacing w:before="0" w:after="160" w:line="259" w:lineRule="auto"/>
        <w:sectPr w:rsidR="00050FFE" w:rsidSect="00050FF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fmt="lowerRoman"/>
          <w:cols w:space="708"/>
          <w:docGrid w:linePitch="360"/>
        </w:sectPr>
      </w:pPr>
      <w:r>
        <w:fldChar w:fldCharType="end"/>
      </w:r>
    </w:p>
    <w:p w14:paraId="39BBABA2" w14:textId="4432235A" w:rsidR="00C70DC4" w:rsidRPr="00C70DC4" w:rsidRDefault="00C70DC4" w:rsidP="00A02DC6">
      <w:pPr>
        <w:pStyle w:val="Heading1"/>
        <w:numPr>
          <w:ilvl w:val="0"/>
          <w:numId w:val="0"/>
        </w:numPr>
      </w:pPr>
      <w:bookmarkStart w:id="1" w:name="_Toc182219880"/>
      <w:r w:rsidRPr="003920C2">
        <w:t>Executive Summary</w:t>
      </w:r>
      <w:bookmarkEnd w:id="1"/>
    </w:p>
    <w:p w14:paraId="419655AD" w14:textId="77CF6AE0" w:rsidR="00DE7DEE" w:rsidRDefault="00431D1C" w:rsidP="00911600">
      <w:r>
        <w:t>This report sets out the 202</w:t>
      </w:r>
      <w:r w:rsidR="005E093B">
        <w:t>4</w:t>
      </w:r>
      <w:r>
        <w:t xml:space="preserve"> stock assessment </w:t>
      </w:r>
      <w:r w:rsidR="00A71AFB">
        <w:t>for</w:t>
      </w:r>
      <w:r>
        <w:t xml:space="preserve"> the Victorian Eastern Zone Abalone Fishery.  </w:t>
      </w:r>
      <w:bookmarkStart w:id="2" w:name="_Hlk150265920"/>
      <w:r>
        <w:t>T</w:t>
      </w:r>
      <w:r w:rsidR="00911600">
        <w:t xml:space="preserve">hree primary analytical </w:t>
      </w:r>
      <w:r w:rsidR="003E759F">
        <w:t xml:space="preserve">frameworks </w:t>
      </w:r>
      <w:r>
        <w:t xml:space="preserve">are </w:t>
      </w:r>
      <w:r w:rsidR="00911600">
        <w:t>used in th</w:t>
      </w:r>
      <w:r w:rsidR="00DE7DEE">
        <w:t>is</w:t>
      </w:r>
      <w:r w:rsidR="00911600">
        <w:t xml:space="preserve"> assessment of stock status to inform TACC decision making;</w:t>
      </w:r>
      <w:r w:rsidR="00A71AFB">
        <w:t xml:space="preserve"> (i) a</w:t>
      </w:r>
      <w:r w:rsidR="00911600">
        <w:t xml:space="preserve"> weight of evidence assessment, </w:t>
      </w:r>
      <w:r w:rsidR="00A71AFB">
        <w:t xml:space="preserve">(ii) </w:t>
      </w:r>
      <w:r>
        <w:t xml:space="preserve">analysis of trends against </w:t>
      </w:r>
      <w:r w:rsidR="00911600">
        <w:t xml:space="preserve">Performance Indicators </w:t>
      </w:r>
      <w:r w:rsidR="00A71AFB">
        <w:t xml:space="preserve">set out in the in the Victorian Wild Harvest Abalone Fishery Management Plan </w:t>
      </w:r>
      <w:r w:rsidR="00911600">
        <w:t xml:space="preserve">and </w:t>
      </w:r>
      <w:r w:rsidR="00A71AFB">
        <w:t xml:space="preserve">(iii) performance of the fishery against </w:t>
      </w:r>
      <w:r w:rsidR="00911600">
        <w:t xml:space="preserve">the Draft Harvest Strategy. </w:t>
      </w:r>
      <w:r w:rsidR="00855A4A">
        <w:t>Divers’</w:t>
      </w:r>
      <w:r w:rsidR="00DE7DEE">
        <w:t xml:space="preserve"> observations </w:t>
      </w:r>
      <w:r w:rsidR="00D14A29">
        <w:t xml:space="preserve">and select data from the current season </w:t>
      </w:r>
      <w:r w:rsidR="00DE7DEE">
        <w:t>are presented at the T</w:t>
      </w:r>
      <w:r w:rsidR="00E924E9">
        <w:t>otal Allowable Commercial Catch (T</w:t>
      </w:r>
      <w:r w:rsidR="00DE7DEE">
        <w:t>ACC</w:t>
      </w:r>
      <w:r w:rsidR="00E924E9">
        <w:t>)</w:t>
      </w:r>
      <w:r w:rsidR="00DE7DEE">
        <w:t xml:space="preserve"> setting meeting and approaches to incorporating these data into the formal stock assessment should be considered for future reports.</w:t>
      </w:r>
    </w:p>
    <w:p w14:paraId="19B7547B" w14:textId="0E6F7232" w:rsidR="00CA33E0" w:rsidRDefault="00DE7DEE" w:rsidP="00911600">
      <w:r>
        <w:t xml:space="preserve">As </w:t>
      </w:r>
      <w:r w:rsidR="00AF4020">
        <w:t xml:space="preserve">discussed </w:t>
      </w:r>
      <w:r>
        <w:t>in recent Stock Assessment Reports and review documents, t</w:t>
      </w:r>
      <w:r w:rsidR="00911600">
        <w:t xml:space="preserve">here are substantial </w:t>
      </w:r>
      <w:r w:rsidR="00F25804">
        <w:t>limitations</w:t>
      </w:r>
      <w:r>
        <w:t xml:space="preserve"> </w:t>
      </w:r>
      <w:r w:rsidR="00911600">
        <w:t>associated with the two primary sources of data</w:t>
      </w:r>
      <w:r>
        <w:t xml:space="preserve">. </w:t>
      </w:r>
      <w:r w:rsidR="00E924E9">
        <w:t>Catch per unit effort (</w:t>
      </w:r>
      <w:r>
        <w:t>CPUE</w:t>
      </w:r>
      <w:r w:rsidR="00E924E9">
        <w:t>)</w:t>
      </w:r>
      <w:r>
        <w:t xml:space="preserve"> is positively biased due to hyperstability, while </w:t>
      </w:r>
      <w:r w:rsidR="00E924E9">
        <w:t>Fishery Independent Survey (</w:t>
      </w:r>
      <w:r>
        <w:t>FIS</w:t>
      </w:r>
      <w:r w:rsidR="00E924E9">
        <w:t>)</w:t>
      </w:r>
      <w:r>
        <w:t xml:space="preserve"> data are negatively biased because FIS site locations are not representative of the entire stock, </w:t>
      </w:r>
      <w:r w:rsidR="00285C9B">
        <w:t xml:space="preserve">and in </w:t>
      </w:r>
      <w:r>
        <w:t xml:space="preserve">particular the current fished stock. </w:t>
      </w:r>
      <w:r w:rsidR="00911600">
        <w:t xml:space="preserve">As a result, the research and management framework for the fishery is currently </w:t>
      </w:r>
      <w:r w:rsidR="00206B1B">
        <w:t>undergoing</w:t>
      </w:r>
      <w:r w:rsidR="00911600">
        <w:t xml:space="preserve"> review</w:t>
      </w:r>
      <w:r w:rsidR="00A15441">
        <w:t xml:space="preserve"> and further refinement</w:t>
      </w:r>
      <w:r w:rsidR="00911600">
        <w:t>.</w:t>
      </w:r>
      <w:r w:rsidR="00B108F8">
        <w:t xml:space="preserve"> </w:t>
      </w:r>
    </w:p>
    <w:p w14:paraId="71F59E85" w14:textId="0ACB92A7" w:rsidR="00C6412C" w:rsidRDefault="00CA33E0" w:rsidP="00911600">
      <w:r>
        <w:t>In this context, last year’s report stated, “</w:t>
      </w:r>
      <w:r w:rsidRPr="00CA33E0">
        <w:rPr>
          <w:i/>
          <w:iCs/>
        </w:rPr>
        <w:t>industry’s role as stewards of the resource and VFA’s obligation to act precautionarily in the face of uncertainty is particularly important until a more robust assessment framework is in place</w:t>
      </w:r>
      <w:r>
        <w:t xml:space="preserve">”. Importantly, during the December </w:t>
      </w:r>
      <w:r w:rsidR="00CE213D">
        <w:t xml:space="preserve">2023 </w:t>
      </w:r>
      <w:r>
        <w:t>TACC setting process, industry voluntarily reduced the TACC from 284</w:t>
      </w:r>
      <w:r w:rsidR="002B62D4">
        <w:t>.5</w:t>
      </w:r>
      <w:r>
        <w:t xml:space="preserve"> t to 208</w:t>
      </w:r>
      <w:r w:rsidR="002B62D4">
        <w:t>.6</w:t>
      </w:r>
      <w:r>
        <w:t xml:space="preserve"> t, which was supported by </w:t>
      </w:r>
      <w:r w:rsidR="00E924E9">
        <w:t>the Victorian Fisheries Authority (</w:t>
      </w:r>
      <w:r>
        <w:t>VFA</w:t>
      </w:r>
      <w:r w:rsidR="00E924E9">
        <w:t>)</w:t>
      </w:r>
      <w:r>
        <w:t>. While it is too soon to determine whether these reductions have been sufficient to slow the declin</w:t>
      </w:r>
      <w:r w:rsidR="00F25804">
        <w:t>e in</w:t>
      </w:r>
      <w:r>
        <w:t xml:space="preserve"> biomass, the </w:t>
      </w:r>
      <w:r w:rsidR="00E924E9">
        <w:t>Eastern Zone Abalone Industry Association (</w:t>
      </w:r>
      <w:r>
        <w:t>EZAIA</w:t>
      </w:r>
      <w:r w:rsidR="00E924E9">
        <w:t>)</w:t>
      </w:r>
      <w:r>
        <w:t xml:space="preserve"> and VFA should be commended for this decision.</w:t>
      </w:r>
    </w:p>
    <w:p w14:paraId="0EEF0AEC" w14:textId="618F885F" w:rsidR="00C6412C" w:rsidRDefault="00C6412C" w:rsidP="00911600">
      <w:r>
        <w:t xml:space="preserve">In February 2024, </w:t>
      </w:r>
      <w:r w:rsidR="00CA33E0">
        <w:t xml:space="preserve">an </w:t>
      </w:r>
      <w:r>
        <w:t xml:space="preserve">Abalone Scientific Working Group (ASWG) was </w:t>
      </w:r>
      <w:r w:rsidR="00CA33E0">
        <w:t xml:space="preserve">formed to utilise the experience and expertise of independent scientific personnel, fishery managers and abalone industry members to provide recommendations on how best to assess and monitor the Victorian Abalone Fishery across all three zones. The short-term priorities included changes to the stock assessment reporting framework, and these changes have been included in this report.  </w:t>
      </w:r>
    </w:p>
    <w:p w14:paraId="67466020" w14:textId="64383F35" w:rsidR="00911600" w:rsidRDefault="00911600" w:rsidP="00911600">
      <w:r>
        <w:t xml:space="preserve">The FIS review provided evidence that the decline in abundance </w:t>
      </w:r>
      <w:r w:rsidR="00E924E9">
        <w:t xml:space="preserve">at FIS sites </w:t>
      </w:r>
      <w:r>
        <w:t>from 2003 to around 2010 represents serial depletion of the stocks in the offshore and mid depth reefs. Currently</w:t>
      </w:r>
      <w:r w:rsidR="00284D76">
        <w:t>,</w:t>
      </w:r>
      <w:r>
        <w:t xml:space="preserve"> the fishery is reliant primarily on shallow water reefs that are not surveyed</w:t>
      </w:r>
      <w:r w:rsidR="00AF4020">
        <w:t xml:space="preserve">, </w:t>
      </w:r>
      <w:r w:rsidR="009329A1">
        <w:t xml:space="preserve">and </w:t>
      </w:r>
      <w:r w:rsidR="00F25804">
        <w:t>accordingly</w:t>
      </w:r>
      <w:r w:rsidR="009329A1">
        <w:t xml:space="preserve"> t</w:t>
      </w:r>
      <w:r>
        <w:t xml:space="preserve">here </w:t>
      </w:r>
      <w:r w:rsidR="00F25804">
        <w:t xml:space="preserve">are </w:t>
      </w:r>
      <w:r>
        <w:t xml:space="preserve">no </w:t>
      </w:r>
      <w:r w:rsidR="00AF4020">
        <w:t xml:space="preserve">data to assess </w:t>
      </w:r>
      <w:r>
        <w:t>total or relative biomass for the entire stock.</w:t>
      </w:r>
      <w:r w:rsidR="008979D8">
        <w:t xml:space="preserve"> </w:t>
      </w:r>
      <w:r w:rsidR="00717BD5">
        <w:t xml:space="preserve">Work has commenced to establish new </w:t>
      </w:r>
      <w:r w:rsidR="008979D8">
        <w:t xml:space="preserve">FIS sites in shallow grounds </w:t>
      </w:r>
      <w:r w:rsidR="009329A1">
        <w:t>representative of the fishery</w:t>
      </w:r>
      <w:r w:rsidR="00717BD5">
        <w:t>, and surveys will begin</w:t>
      </w:r>
      <w:r w:rsidR="00E9281F">
        <w:t xml:space="preserve"> </w:t>
      </w:r>
      <w:r w:rsidR="00717BD5">
        <w:t xml:space="preserve">in </w:t>
      </w:r>
      <w:r w:rsidR="008979D8">
        <w:t xml:space="preserve">2025. </w:t>
      </w:r>
    </w:p>
    <w:p w14:paraId="03AB02C1" w14:textId="5A858FDE" w:rsidR="00E924E9" w:rsidRDefault="00717BD5" w:rsidP="00911600">
      <w:r>
        <w:t xml:space="preserve">The available data for the weight of evidence assessment continues to </w:t>
      </w:r>
      <w:r w:rsidR="00F25804">
        <w:t xml:space="preserve">be </w:t>
      </w:r>
      <w:r>
        <w:t xml:space="preserve">pessimistic. The total catch of 284.5 t </w:t>
      </w:r>
      <w:r w:rsidR="00F25804">
        <w:t xml:space="preserve">in 2023/24 </w:t>
      </w:r>
      <w:r>
        <w:t xml:space="preserve">was close to 100% of the TACC (284.6 t), however it is currently around 60% of the peak historic catch </w:t>
      </w:r>
      <w:r w:rsidR="00F25804" w:rsidRPr="00F25804">
        <w:t>following the introduction of</w:t>
      </w:r>
      <w:r w:rsidR="00F25804">
        <w:t xml:space="preserve"> quota in 1988</w:t>
      </w:r>
      <w:r>
        <w:t xml:space="preserve">. Standardised CPUE has declined by around 20% since 2019. Mean daily catches are at low levels from an historic perspective, however this appears to have been affected by individual daily catch limits applied by the processor. </w:t>
      </w:r>
    </w:p>
    <w:p w14:paraId="7EA0EDD3" w14:textId="5EF5B0FF" w:rsidR="00C70DC4" w:rsidRDefault="00911600" w:rsidP="00911600">
      <w:r>
        <w:t xml:space="preserve">In summary, </w:t>
      </w:r>
      <w:r w:rsidR="008979D8">
        <w:t>recent trends in available data clearly indicate that the stock has been in decline in recent years</w:t>
      </w:r>
      <w:r w:rsidR="00D45F01">
        <w:t xml:space="preserve"> and the status of the Eastern Zone stock remains ‘declining’. It is not possible to determine how close the stock is to a point where future recruitment may be impaired, however the risk is not negligible</w:t>
      </w:r>
      <w:r w:rsidR="008979D8">
        <w:t xml:space="preserve">. Importantly, industry recommended large reductions in the TACC for the 2024/25 season, </w:t>
      </w:r>
      <w:r w:rsidR="00F25804">
        <w:t xml:space="preserve">which </w:t>
      </w:r>
      <w:r w:rsidR="008979D8">
        <w:t xml:space="preserve">were implemented by VFA. </w:t>
      </w:r>
      <w:r w:rsidR="00F25804">
        <w:t xml:space="preserve">It is too early for any response to </w:t>
      </w:r>
      <w:r w:rsidR="008979D8">
        <w:t xml:space="preserve">be observed in the available data. On this basis, it is recommended that the current </w:t>
      </w:r>
      <w:r w:rsidR="00CE213D">
        <w:t xml:space="preserve">TACC and </w:t>
      </w:r>
      <w:r w:rsidR="00E924E9">
        <w:t>Optimal Targets (</w:t>
      </w:r>
      <w:r w:rsidR="008979D8">
        <w:t>O</w:t>
      </w:r>
      <w:r w:rsidR="00E924E9">
        <w:t>t</w:t>
      </w:r>
      <w:r w:rsidR="008979D8">
        <w:t>s</w:t>
      </w:r>
      <w:r w:rsidR="00E924E9">
        <w:t>)</w:t>
      </w:r>
      <w:r w:rsidR="008979D8">
        <w:t xml:space="preserve"> remain stable in the short-term, unless individual diver observations suggest that further reductions in OT are required at some </w:t>
      </w:r>
      <w:r w:rsidR="00E924E9">
        <w:t>Spatial Management Units (</w:t>
      </w:r>
      <w:r w:rsidR="008979D8">
        <w:t>SMUs</w:t>
      </w:r>
      <w:r w:rsidR="00E924E9">
        <w:t>)</w:t>
      </w:r>
      <w:r w:rsidR="008979D8">
        <w:t xml:space="preserve">. Increases in TACC should not be considered until clear evidence of stock recovery over several years is apparent. </w:t>
      </w:r>
      <w:bookmarkEnd w:id="2"/>
    </w:p>
    <w:p w14:paraId="7ED0BE38" w14:textId="1B112522" w:rsidR="00C70DC4" w:rsidRDefault="00C70DC4" w:rsidP="006561A1">
      <w:pPr>
        <w:pStyle w:val="Heading1"/>
        <w:numPr>
          <w:ilvl w:val="0"/>
          <w:numId w:val="7"/>
        </w:numPr>
        <w:ind w:left="0" w:firstLine="0"/>
      </w:pPr>
      <w:bookmarkStart w:id="3" w:name="_Toc182219881"/>
      <w:bookmarkStart w:id="4" w:name="general-introduction"/>
      <w:bookmarkEnd w:id="0"/>
      <w:r>
        <w:t>General Introduction</w:t>
      </w:r>
      <w:bookmarkEnd w:id="3"/>
    </w:p>
    <w:p w14:paraId="291E733D" w14:textId="77777777" w:rsidR="00C70DC4" w:rsidRDefault="00C70DC4" w:rsidP="006561A1">
      <w:pPr>
        <w:pStyle w:val="Heading2"/>
        <w:numPr>
          <w:ilvl w:val="1"/>
          <w:numId w:val="7"/>
        </w:numPr>
        <w:ind w:left="709" w:hanging="709"/>
      </w:pPr>
      <w:bookmarkStart w:id="5" w:name="_Toc182219882"/>
      <w:bookmarkStart w:id="6" w:name="overview"/>
      <w:r>
        <w:t>Overview</w:t>
      </w:r>
      <w:bookmarkEnd w:id="5"/>
    </w:p>
    <w:p w14:paraId="1037BF9C" w14:textId="44FCBD94" w:rsidR="00C70DC4" w:rsidRDefault="00C70DC4" w:rsidP="00C70DC4">
      <w:r>
        <w:t xml:space="preserve">This Stock Assessment Report builds on previous reports for the Eastern Zone Abalone Fishery (e.g. VFA 2018; Dixon and Dichmont 2019; </w:t>
      </w:r>
      <w:r w:rsidRPr="0058153F">
        <w:t>Dixon, Potts and Dichmont</w:t>
      </w:r>
      <w:r>
        <w:t xml:space="preserve"> 2020</w:t>
      </w:r>
      <w:r w:rsidR="00BC4ED4">
        <w:t>;</w:t>
      </w:r>
      <w:r w:rsidR="00BC4ED4" w:rsidRPr="00BC4ED4">
        <w:t xml:space="preserve"> </w:t>
      </w:r>
      <w:r w:rsidR="00BC4ED4" w:rsidRPr="0058153F">
        <w:t>Dixon, Potts and Dichmont</w:t>
      </w:r>
      <w:r w:rsidR="00BC4ED4">
        <w:t xml:space="preserve"> 2021</w:t>
      </w:r>
      <w:r w:rsidR="0042593C">
        <w:t>, Dixon, Lowe and Potts 2022</w:t>
      </w:r>
      <w:r w:rsidR="00C439AD">
        <w:t>, Dixon and Lowe 2023</w:t>
      </w:r>
      <w:r>
        <w:t xml:space="preserve">). </w:t>
      </w:r>
      <w:r w:rsidRPr="006D0861">
        <w:t xml:space="preserve">It is the </w:t>
      </w:r>
      <w:r w:rsidR="00B30B49">
        <w:t>sixth</w:t>
      </w:r>
      <w:r w:rsidR="00BC4ED4">
        <w:t xml:space="preserve"> </w:t>
      </w:r>
      <w:r w:rsidRPr="006D0861">
        <w:t xml:space="preserve">Eastern Zone Stock Assessment Report </w:t>
      </w:r>
      <w:r w:rsidR="00BC4ED4">
        <w:t>prepared by</w:t>
      </w:r>
      <w:r>
        <w:t xml:space="preserve"> </w:t>
      </w:r>
      <w:r w:rsidRPr="006D0861">
        <w:t xml:space="preserve">MRAG Asia Pacific. </w:t>
      </w:r>
      <w:r>
        <w:t>The report analyses fishery-dependent catch and effort data (up to 31 March 202</w:t>
      </w:r>
      <w:r w:rsidR="00B30B49">
        <w:t>4</w:t>
      </w:r>
      <w:r>
        <w:t>) to assess the blacklip fishery against performance indicators.</w:t>
      </w:r>
      <w:r w:rsidR="00976B3F">
        <w:t xml:space="preserve"> FIS data </w:t>
      </w:r>
      <w:r w:rsidR="0042593C">
        <w:t xml:space="preserve">were collected from </w:t>
      </w:r>
      <w:r w:rsidR="009329A1" w:rsidRPr="009329A1">
        <w:t xml:space="preserve">only </w:t>
      </w:r>
      <w:r w:rsidR="0042593C" w:rsidRPr="009329A1">
        <w:t>1</w:t>
      </w:r>
      <w:r w:rsidR="009329A1" w:rsidRPr="009329A1">
        <w:t>0</w:t>
      </w:r>
      <w:r w:rsidR="0042593C" w:rsidRPr="009329A1">
        <w:t xml:space="preserve"> sites </w:t>
      </w:r>
      <w:r w:rsidR="00976B3F" w:rsidRPr="009329A1">
        <w:t xml:space="preserve">in </w:t>
      </w:r>
      <w:r w:rsidR="009329A1" w:rsidRPr="009329A1">
        <w:t xml:space="preserve">2024, and therefore FIS data are not assessed </w:t>
      </w:r>
      <w:r w:rsidR="00976B3F" w:rsidRPr="009329A1">
        <w:t>against the Performance Indicators.</w:t>
      </w:r>
      <w:r w:rsidR="00976B3F">
        <w:t xml:space="preserve"> </w:t>
      </w:r>
      <w:r w:rsidR="0042593C">
        <w:t xml:space="preserve">Catch, effort, CPUE and </w:t>
      </w:r>
      <w:r w:rsidR="00976B3F">
        <w:t xml:space="preserve">FIS data are presented </w:t>
      </w:r>
      <w:r w:rsidR="0042593C">
        <w:t xml:space="preserve">in various manners for assessment of stock status in a </w:t>
      </w:r>
      <w:r>
        <w:t xml:space="preserve">multiple lines of evidence </w:t>
      </w:r>
      <w:r w:rsidR="0042593C">
        <w:t xml:space="preserve">approach </w:t>
      </w:r>
      <w:r>
        <w:t>at the Zone level and for each Spatial Management Unit (SMU). Summary results from the Eastern Zone Draft Harvest Strategy 202</w:t>
      </w:r>
      <w:r w:rsidR="00B30B49">
        <w:t>4</w:t>
      </w:r>
      <w:r>
        <w:t xml:space="preserve"> are provided </w:t>
      </w:r>
      <w:r w:rsidR="0042593C">
        <w:t>and discussed for each SMU</w:t>
      </w:r>
      <w:r>
        <w:t xml:space="preserve">. </w:t>
      </w:r>
    </w:p>
    <w:p w14:paraId="45BE6BFC" w14:textId="77777777" w:rsidR="00C70DC4" w:rsidRDefault="00C70DC4" w:rsidP="006561A1">
      <w:pPr>
        <w:pStyle w:val="Heading2"/>
        <w:numPr>
          <w:ilvl w:val="1"/>
          <w:numId w:val="7"/>
        </w:numPr>
        <w:ind w:left="709" w:hanging="709"/>
      </w:pPr>
      <w:bookmarkStart w:id="7" w:name="_Toc182219883"/>
      <w:bookmarkStart w:id="8" w:name="Xe0833354504e9f85dcb8a3b657c81d3356c21f4"/>
      <w:bookmarkEnd w:id="6"/>
      <w:r>
        <w:t>Description of the Eastern Zone Abalone Fishery</w:t>
      </w:r>
      <w:bookmarkEnd w:id="7"/>
    </w:p>
    <w:p w14:paraId="354171BF" w14:textId="77777777" w:rsidR="00C70DC4" w:rsidRDefault="00C70DC4" w:rsidP="00C70DC4">
      <w:r>
        <w:t>The Eastern Zone Abalone Fishery extends along the coast of Victoria from Lakes Entrance to the Victorian / New South Wales border (Figure 1). The fishery is limited entry and the primary method for managing commercial abalone fishing is to set an annual Total Allowable Commercial Catch (TACC) for each management Zone. There are 23 Abalone Fishery Access Licences (AFALs) and 460 quota units in the Eastern Zone fishery. Licences and quota units are transferable (i.e. they can be leased or sold) amongst licence and non-licence holders. A minimum of five quota units must be attached to each AFAL. Fishers may be owner-operators or contract divers.</w:t>
      </w:r>
    </w:p>
    <w:p w14:paraId="2AB58601" w14:textId="77777777" w:rsidR="00C70DC4" w:rsidRDefault="00C70DC4" w:rsidP="00F311D6">
      <w:pPr>
        <w:jc w:val="center"/>
      </w:pPr>
      <w:r>
        <w:rPr>
          <w:noProof/>
        </w:rPr>
        <w:drawing>
          <wp:inline distT="0" distB="0" distL="0" distR="0" wp14:anchorId="5F33BE08" wp14:editId="00114580">
            <wp:extent cx="5120640" cy="258698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161827" cy="2607793"/>
                    </a:xfrm>
                    <a:prstGeom prst="rect">
                      <a:avLst/>
                    </a:prstGeom>
                  </pic:spPr>
                </pic:pic>
              </a:graphicData>
            </a:graphic>
          </wp:inline>
        </w:drawing>
      </w:r>
    </w:p>
    <w:p w14:paraId="10E29122" w14:textId="77777777" w:rsidR="00C70DC4" w:rsidRDefault="00C70DC4" w:rsidP="005C49F6">
      <w:pPr>
        <w:pStyle w:val="Caption"/>
      </w:pPr>
      <w:bookmarkStart w:id="9" w:name="_Toc182219802"/>
      <w:r>
        <w:t>Figure 1: Map of the Eastern Zone Abalone Fishery showing the Spatial Management Units and Marine Protected Areas.</w:t>
      </w:r>
      <w:bookmarkEnd w:id="9"/>
    </w:p>
    <w:p w14:paraId="4C7F3A20" w14:textId="428A09AD" w:rsidR="00C70DC4" w:rsidRDefault="00C70DC4" w:rsidP="00C70DC4">
      <w:r>
        <w:t xml:space="preserve">The TACC for the Eastern Zone fishery is set at a Zonal scale, but management of the fishery occurs at a finer spatial scale defined by the seven SMUs (Figure 1). An Optimum Target (OT) catch is set for each SMU based on current quota reference points, catch history and stock assessment outputs. The combined value of all OTs represents the TACC. Total catches for each SMU for the following fishing season are intended to meet the OT for that SMU. </w:t>
      </w:r>
      <w:r w:rsidR="00F311D6" w:rsidRPr="00F311D6">
        <w:t>During the 202</w:t>
      </w:r>
      <w:r w:rsidR="00B30B49">
        <w:t>3</w:t>
      </w:r>
      <w:r w:rsidR="00F311D6" w:rsidRPr="00F311D6">
        <w:t>/2</w:t>
      </w:r>
      <w:r w:rsidR="00D45F01">
        <w:t>4</w:t>
      </w:r>
      <w:r w:rsidR="00F311D6" w:rsidRPr="00F311D6">
        <w:t xml:space="preserve"> season</w:t>
      </w:r>
      <w:r w:rsidR="00F311D6">
        <w:t>,</w:t>
      </w:r>
      <w:r w:rsidR="00F311D6" w:rsidRPr="00F311D6">
        <w:t xml:space="preserve"> SMUs were closed via a Fisheries Notice once the </w:t>
      </w:r>
      <w:r w:rsidR="00F311D6">
        <w:t>OT</w:t>
      </w:r>
      <w:r w:rsidR="00F311D6" w:rsidRPr="00F311D6">
        <w:t xml:space="preserve"> </w:t>
      </w:r>
      <w:r w:rsidR="00E35D6B">
        <w:t>upper limit</w:t>
      </w:r>
      <w:r w:rsidR="00F311D6">
        <w:t xml:space="preserve"> </w:t>
      </w:r>
      <w:r w:rsidR="00F311D6" w:rsidRPr="00F311D6">
        <w:t>ha</w:t>
      </w:r>
      <w:r w:rsidR="00F311D6">
        <w:t>d</w:t>
      </w:r>
      <w:r w:rsidR="00F311D6" w:rsidRPr="00F311D6">
        <w:t xml:space="preserve"> been reached or exceeded, and reef codes were closed when the specified upper limit had been reached.</w:t>
      </w:r>
      <w:r w:rsidR="00F311D6">
        <w:t xml:space="preserve"> </w:t>
      </w:r>
      <w:r>
        <w:t>Further details regarding the history of the fishery and current management goals and arrangements are described</w:t>
      </w:r>
      <w:r w:rsidRPr="00E35D6B">
        <w:rPr>
          <w:i/>
        </w:rPr>
        <w:t xml:space="preserve"> </w:t>
      </w:r>
      <w:r>
        <w:t>in</w:t>
      </w:r>
      <w:r w:rsidRPr="00E35D6B">
        <w:rPr>
          <w:i/>
        </w:rPr>
        <w:t xml:space="preserve"> </w:t>
      </w:r>
      <w:r>
        <w:t>the</w:t>
      </w:r>
      <w:r w:rsidRPr="00E35D6B">
        <w:rPr>
          <w:i/>
        </w:rPr>
        <w:t xml:space="preserve"> Victorian Wild Harvest Abalone Fishery Management Plan</w:t>
      </w:r>
      <w:r>
        <w:t xml:space="preserve"> (DEDJTR 2015)</w:t>
      </w:r>
      <w:r w:rsidR="00D75922">
        <w:t xml:space="preserve"> (the Management Plan</w:t>
      </w:r>
      <w:r>
        <w:t>).</w:t>
      </w:r>
    </w:p>
    <w:p w14:paraId="47E5B3F1" w14:textId="77777777" w:rsidR="00C70DC4" w:rsidRDefault="00C70DC4" w:rsidP="006561A1">
      <w:pPr>
        <w:pStyle w:val="Heading2"/>
        <w:numPr>
          <w:ilvl w:val="1"/>
          <w:numId w:val="7"/>
        </w:numPr>
        <w:ind w:left="709" w:hanging="709"/>
      </w:pPr>
      <w:bookmarkStart w:id="10" w:name="_Toc182219884"/>
      <w:bookmarkStart w:id="11" w:name="objectives"/>
      <w:bookmarkEnd w:id="8"/>
      <w:r>
        <w:t>Objectives</w:t>
      </w:r>
      <w:bookmarkEnd w:id="10"/>
    </w:p>
    <w:p w14:paraId="523507FB" w14:textId="77777777" w:rsidR="00C70DC4" w:rsidRDefault="00C70DC4" w:rsidP="00C70DC4">
      <w:r>
        <w:t xml:space="preserve">The Victorian Government’s overarching policy objective is to optimise the commercial, social and cultural value to Victoria derived from the use of fisheries resources and associated ecosystems. This objective is pursued within the context of the broader policies and instruments applicable to fisheries including: the </w:t>
      </w:r>
      <w:r w:rsidRPr="00E35D6B">
        <w:rPr>
          <w:i/>
        </w:rPr>
        <w:t>Fisheries Act 1995</w:t>
      </w:r>
      <w:r>
        <w:t xml:space="preserve"> and subordinate legislation; Offshore Constitutional Settlements; commitments made by all Australian governments to manage fisheries according to the principles of ecologically sustainable development; and Victorian Government policies to facilitate economic productivity (including reducing regulatory burden) and to conserve environmental assets.</w:t>
      </w:r>
    </w:p>
    <w:p w14:paraId="57800372" w14:textId="557E7D9F" w:rsidR="00C70DC4" w:rsidRDefault="00C70DC4" w:rsidP="00C70DC4">
      <w:r>
        <w:t xml:space="preserve">A TACC is set for each management </w:t>
      </w:r>
      <w:r w:rsidR="00987E69">
        <w:t>Zone</w:t>
      </w:r>
      <w:r>
        <w:t xml:space="preserve"> which aims: </w:t>
      </w:r>
      <w:r>
        <w:rPr>
          <w:i/>
          <w:iCs/>
        </w:rPr>
        <w:t>“To obtain optimum harvests from the fishery, whilst conserving sufficient reproductive capacity to maintain or rebuild population recruitment and ensuring that sufficient aggregations remain on reefs to preclude habitat loss”</w:t>
      </w:r>
      <w:r>
        <w:t xml:space="preserve"> (DEDJTR 2015). A reference to habitat is included in the context of evidence indicating that the presence of abalone on reefs helps to ensure that the habitat remains suitable for post-larval settlement and survival, and this means that more abalone may need to be retained on reefs than the minimum required to maintain levels of reproduction (Miner et al. 2006; Mundy and Jones 2017).</w:t>
      </w:r>
    </w:p>
    <w:p w14:paraId="65110F64" w14:textId="027B9A95" w:rsidR="00C70DC4" w:rsidRDefault="00C70DC4" w:rsidP="00C70DC4">
      <w:r>
        <w:t>The Management Plan specifies the objectives, strategies and actions for managing the fishery for at least five years from the declaration of the plan. Objectives include:</w:t>
      </w:r>
    </w:p>
    <w:p w14:paraId="5A886D82" w14:textId="77777777" w:rsidR="00C70DC4" w:rsidRDefault="00C70DC4" w:rsidP="006561A1">
      <w:pPr>
        <w:numPr>
          <w:ilvl w:val="0"/>
          <w:numId w:val="4"/>
        </w:numPr>
        <w:tabs>
          <w:tab w:val="clear" w:pos="0"/>
        </w:tabs>
        <w:ind w:left="720"/>
      </w:pPr>
      <w:r>
        <w:t>Objective 1: Rebuild or maintain abalone stocks</w:t>
      </w:r>
    </w:p>
    <w:p w14:paraId="3EDDE992" w14:textId="77777777" w:rsidR="00C70DC4" w:rsidRDefault="00C70DC4" w:rsidP="006561A1">
      <w:pPr>
        <w:numPr>
          <w:ilvl w:val="0"/>
          <w:numId w:val="4"/>
        </w:numPr>
        <w:tabs>
          <w:tab w:val="clear" w:pos="0"/>
        </w:tabs>
        <w:ind w:left="720"/>
      </w:pPr>
      <w:r>
        <w:t>Objective 2: Secure access to the resource</w:t>
      </w:r>
    </w:p>
    <w:p w14:paraId="62565B9B" w14:textId="77777777" w:rsidR="00C70DC4" w:rsidRDefault="00C70DC4" w:rsidP="006561A1">
      <w:pPr>
        <w:numPr>
          <w:ilvl w:val="0"/>
          <w:numId w:val="4"/>
        </w:numPr>
        <w:tabs>
          <w:tab w:val="clear" w:pos="0"/>
        </w:tabs>
        <w:ind w:left="720"/>
      </w:pPr>
      <w:r>
        <w:t>Objective 3: Enable improvements in economic productivity</w:t>
      </w:r>
    </w:p>
    <w:p w14:paraId="260533C9" w14:textId="77777777" w:rsidR="00C70DC4" w:rsidRDefault="00C70DC4" w:rsidP="006561A1">
      <w:pPr>
        <w:numPr>
          <w:ilvl w:val="0"/>
          <w:numId w:val="4"/>
        </w:numPr>
        <w:tabs>
          <w:tab w:val="clear" w:pos="0"/>
        </w:tabs>
        <w:ind w:left="720"/>
      </w:pPr>
      <w:r>
        <w:t>Objective 4: Empower effective industry representation, organisation and funding</w:t>
      </w:r>
    </w:p>
    <w:p w14:paraId="30A05DC4" w14:textId="77777777" w:rsidR="00C70DC4" w:rsidRDefault="00C70DC4" w:rsidP="006561A1">
      <w:pPr>
        <w:numPr>
          <w:ilvl w:val="0"/>
          <w:numId w:val="4"/>
        </w:numPr>
        <w:tabs>
          <w:tab w:val="clear" w:pos="0"/>
        </w:tabs>
        <w:ind w:left="720"/>
      </w:pPr>
      <w:r>
        <w:t>Objective 5: Ensure fisheries compliance</w:t>
      </w:r>
    </w:p>
    <w:p w14:paraId="133A0771" w14:textId="77777777" w:rsidR="00C70DC4" w:rsidRDefault="00C70DC4" w:rsidP="006561A1">
      <w:pPr>
        <w:numPr>
          <w:ilvl w:val="0"/>
          <w:numId w:val="4"/>
        </w:numPr>
        <w:tabs>
          <w:tab w:val="clear" w:pos="0"/>
        </w:tabs>
        <w:ind w:left="720"/>
      </w:pPr>
      <w:r>
        <w:t>Objective 6: Ongoing monitoring and targeted research.</w:t>
      </w:r>
    </w:p>
    <w:p w14:paraId="02D7A9BB" w14:textId="5D72B4E4" w:rsidR="00B30B49" w:rsidRPr="00C03117" w:rsidRDefault="00B30B49" w:rsidP="00B30B49">
      <w:pPr>
        <w:pStyle w:val="Heading2"/>
        <w:numPr>
          <w:ilvl w:val="1"/>
          <w:numId w:val="7"/>
        </w:numPr>
        <w:ind w:left="709" w:hanging="709"/>
      </w:pPr>
      <w:bookmarkStart w:id="12" w:name="_Toc182219885"/>
      <w:r w:rsidRPr="00C03117">
        <w:t xml:space="preserve">Abalone </w:t>
      </w:r>
      <w:r w:rsidR="00C03117">
        <w:t xml:space="preserve">Fishery </w:t>
      </w:r>
      <w:r w:rsidRPr="00C03117">
        <w:t>Scientific Working Group</w:t>
      </w:r>
      <w:bookmarkEnd w:id="12"/>
    </w:p>
    <w:p w14:paraId="343C285C" w14:textId="6D57077E" w:rsidR="00C70DC4" w:rsidRDefault="00B30B49" w:rsidP="00C70DC4">
      <w:r w:rsidRPr="00C03117">
        <w:t>In February 2024,</w:t>
      </w:r>
      <w:r>
        <w:t xml:space="preserve"> an Abalone Scientific Working Group (ASWG) was established by VFA </w:t>
      </w:r>
      <w:r w:rsidR="00C03117">
        <w:t>to utilise the experience and expertise of independent scientific personnel, fishery managers and abalone industry members to provide recommendations on how best to assess and monitor the Victorian Abalone Fishery</w:t>
      </w:r>
      <w:r w:rsidR="009045A0">
        <w:t xml:space="preserve"> across all three zones</w:t>
      </w:r>
      <w:r w:rsidR="00C03117">
        <w:t xml:space="preserve">. </w:t>
      </w:r>
      <w:r w:rsidR="008C35A5">
        <w:t>The short-term priorities identified by the ASWG were focussed on improvements to the stock assessment process, specifically changes to the filters applied to the CPUE dataset, and changes to the CPUE standardisation modelling.</w:t>
      </w:r>
      <w:r w:rsidR="009045A0">
        <w:t xml:space="preserve"> The recommended changes have been applied to this report.</w:t>
      </w:r>
    </w:p>
    <w:p w14:paraId="02E50EA4" w14:textId="77777777" w:rsidR="00C70DC4" w:rsidRDefault="00C70DC4" w:rsidP="006561A1">
      <w:pPr>
        <w:pStyle w:val="Heading1"/>
        <w:numPr>
          <w:ilvl w:val="0"/>
          <w:numId w:val="7"/>
        </w:numPr>
        <w:ind w:left="0" w:firstLine="0"/>
      </w:pPr>
      <w:bookmarkStart w:id="13" w:name="_Toc182219886"/>
      <w:bookmarkStart w:id="14" w:name="methods"/>
      <w:bookmarkEnd w:id="4"/>
      <w:bookmarkEnd w:id="11"/>
      <w:r>
        <w:t>Methods</w:t>
      </w:r>
      <w:bookmarkEnd w:id="13"/>
    </w:p>
    <w:p w14:paraId="3F3DF294" w14:textId="7F5CCF8E" w:rsidR="00C70DC4" w:rsidRDefault="004D2B74" w:rsidP="006561A1">
      <w:pPr>
        <w:pStyle w:val="Heading2"/>
        <w:numPr>
          <w:ilvl w:val="1"/>
          <w:numId w:val="7"/>
        </w:numPr>
        <w:ind w:left="709" w:hanging="709"/>
      </w:pPr>
      <w:bookmarkStart w:id="15" w:name="_Toc182219887"/>
      <w:bookmarkStart w:id="16" w:name="quality-control"/>
      <w:r>
        <w:t>D</w:t>
      </w:r>
      <w:r w:rsidR="001F7553">
        <w:t xml:space="preserve">ata sources and </w:t>
      </w:r>
      <w:r>
        <w:t>uncertainties</w:t>
      </w:r>
      <w:r w:rsidR="006159D9">
        <w:t xml:space="preserve"> in the assessment</w:t>
      </w:r>
      <w:bookmarkEnd w:id="15"/>
    </w:p>
    <w:p w14:paraId="27BF318A" w14:textId="67A0F0B9" w:rsidR="001F7553" w:rsidRDefault="006F4CAA" w:rsidP="00A77A9D">
      <w:pPr>
        <w:pStyle w:val="Heading3"/>
      </w:pPr>
      <w:bookmarkStart w:id="17" w:name="_Toc150423160"/>
      <w:bookmarkStart w:id="18" w:name="_Toc182219888"/>
      <w:r>
        <w:t xml:space="preserve">Catch, effort, </w:t>
      </w:r>
      <w:r w:rsidR="00A074FC">
        <w:t xml:space="preserve">and </w:t>
      </w:r>
      <w:r w:rsidR="001F7553">
        <w:t>CPUE</w:t>
      </w:r>
      <w:bookmarkEnd w:id="17"/>
      <w:bookmarkEnd w:id="18"/>
      <w:r w:rsidR="001F7553">
        <w:t xml:space="preserve"> </w:t>
      </w:r>
    </w:p>
    <w:p w14:paraId="6CED397E" w14:textId="4776E10A" w:rsidR="006F4CAA" w:rsidRDefault="00023B85" w:rsidP="006F4CAA">
      <w:pPr>
        <w:spacing w:before="0" w:after="160" w:line="259" w:lineRule="auto"/>
      </w:pPr>
      <w:r>
        <w:t xml:space="preserve">The Eastern Zone fishery began around 1966, however commercial logbook data were only gathered from 1 January 1969. </w:t>
      </w:r>
      <w:r w:rsidR="006F4CAA">
        <w:t xml:space="preserve">Catch and effort </w:t>
      </w:r>
      <w:r>
        <w:t xml:space="preserve">logbook </w:t>
      </w:r>
      <w:r w:rsidR="006F4CAA">
        <w:t xml:space="preserve">data </w:t>
      </w:r>
      <w:r>
        <w:t>we</w:t>
      </w:r>
      <w:r w:rsidR="006F4CAA">
        <w:t>re sourced from three different datasets provided by VFA. These data were merged and validated, with the final dataset comprised of the following subsets of data:</w:t>
      </w:r>
    </w:p>
    <w:p w14:paraId="63C38C7C" w14:textId="77777777" w:rsidR="006F4CAA" w:rsidRDefault="006F4CAA" w:rsidP="006F4CAA">
      <w:pPr>
        <w:pStyle w:val="ListParagraph"/>
        <w:numPr>
          <w:ilvl w:val="0"/>
          <w:numId w:val="10"/>
        </w:numPr>
        <w:spacing w:before="0" w:after="160" w:line="259" w:lineRule="auto"/>
      </w:pPr>
      <w:r>
        <w:t>1 January 1969 to 31 May 1978</w:t>
      </w:r>
    </w:p>
    <w:p w14:paraId="1182A4AA" w14:textId="77777777" w:rsidR="006F4CAA" w:rsidRDefault="006F4CAA" w:rsidP="00E9281F">
      <w:pPr>
        <w:pStyle w:val="ListParagraph"/>
        <w:numPr>
          <w:ilvl w:val="0"/>
          <w:numId w:val="10"/>
        </w:numPr>
        <w:spacing w:before="0" w:after="160" w:line="259" w:lineRule="auto"/>
      </w:pPr>
      <w:r>
        <w:t>1 June 1978 to 31 March 2004</w:t>
      </w:r>
    </w:p>
    <w:p w14:paraId="2307F21A" w14:textId="38F646AA" w:rsidR="006F4CAA" w:rsidRDefault="006F4CAA" w:rsidP="00E9281F">
      <w:pPr>
        <w:pStyle w:val="ListParagraph"/>
        <w:numPr>
          <w:ilvl w:val="0"/>
          <w:numId w:val="10"/>
        </w:numPr>
        <w:spacing w:before="0" w:after="160" w:line="259" w:lineRule="auto"/>
      </w:pPr>
      <w:r>
        <w:t>1 April 2004 to 31 March 202</w:t>
      </w:r>
      <w:r w:rsidR="00B30B49">
        <w:t>4</w:t>
      </w:r>
    </w:p>
    <w:p w14:paraId="4CC49B7D" w14:textId="525F54AC" w:rsidR="006F703F" w:rsidRDefault="009B3DFC" w:rsidP="001F7553">
      <w:r>
        <w:t>Catch per unit effort, referred to as CPUE, is a commonly used index of abundance for fisheries stock assessment. However, r</w:t>
      </w:r>
      <w:r w:rsidR="001F7553">
        <w:t xml:space="preserve">ecent </w:t>
      </w:r>
      <w:r w:rsidR="00477721">
        <w:t>Stock Assessment Report</w:t>
      </w:r>
      <w:r w:rsidR="001F7553">
        <w:t>s (Dixon et al 2020, 2021, 2022</w:t>
      </w:r>
      <w:r w:rsidR="00B30B49">
        <w:t>; Dixon and Lowe 2023</w:t>
      </w:r>
      <w:r w:rsidR="001F7553">
        <w:t xml:space="preserve">) </w:t>
      </w:r>
      <w:r w:rsidR="006F703F">
        <w:t xml:space="preserve">and a review of the CPUE standardisation approach (Dichmont et al 2022) have discussed in detail the limitations of CPUE data as an index of abundance for the Eastern Zone abalone fishery. </w:t>
      </w:r>
      <w:r w:rsidR="00D53B8D">
        <w:t>T</w:t>
      </w:r>
      <w:r w:rsidR="006F703F">
        <w:t>he key issues include:</w:t>
      </w:r>
    </w:p>
    <w:p w14:paraId="390CFACB" w14:textId="1029B8AA" w:rsidR="006F703F" w:rsidRDefault="00D53B8D" w:rsidP="006F703F">
      <w:pPr>
        <w:pStyle w:val="ListParagraph"/>
        <w:numPr>
          <w:ilvl w:val="0"/>
          <w:numId w:val="8"/>
        </w:numPr>
      </w:pPr>
      <w:r>
        <w:t xml:space="preserve">hyperstability due to </w:t>
      </w:r>
      <w:r w:rsidR="006F703F">
        <w:t>the</w:t>
      </w:r>
      <w:r>
        <w:t>ir</w:t>
      </w:r>
      <w:r w:rsidR="006F703F">
        <w:t xml:space="preserve"> cryptic nature and aggregating behaviour</w:t>
      </w:r>
      <w:r>
        <w:t>,</w:t>
      </w:r>
    </w:p>
    <w:p w14:paraId="4E7FAD2B" w14:textId="51227F3E" w:rsidR="006F703F" w:rsidRDefault="006F703F" w:rsidP="006F703F">
      <w:pPr>
        <w:pStyle w:val="ListParagraph"/>
        <w:numPr>
          <w:ilvl w:val="0"/>
          <w:numId w:val="8"/>
        </w:numPr>
      </w:pPr>
      <w:r>
        <w:t>changes in the spatial or temporal distribution of the catch</w:t>
      </w:r>
      <w:r w:rsidR="00D53B8D">
        <w:t>,</w:t>
      </w:r>
    </w:p>
    <w:p w14:paraId="577CC3E5" w14:textId="33785AD8" w:rsidR="006F703F" w:rsidRDefault="006F703F" w:rsidP="006F703F">
      <w:pPr>
        <w:pStyle w:val="ListParagraph"/>
        <w:numPr>
          <w:ilvl w:val="0"/>
          <w:numId w:val="8"/>
        </w:numPr>
      </w:pPr>
      <w:r>
        <w:t>effort creep due to improvements in technology</w:t>
      </w:r>
      <w:r w:rsidR="00D53B8D">
        <w:t>,</w:t>
      </w:r>
    </w:p>
    <w:p w14:paraId="5ED4B79C" w14:textId="2B41EAD5" w:rsidR="006F703F" w:rsidRDefault="006F703F" w:rsidP="006F703F">
      <w:pPr>
        <w:pStyle w:val="ListParagraph"/>
        <w:numPr>
          <w:ilvl w:val="0"/>
          <w:numId w:val="8"/>
        </w:numPr>
      </w:pPr>
      <w:r>
        <w:t>reliability of reporting</w:t>
      </w:r>
      <w:r w:rsidR="00D53B8D">
        <w:t>,</w:t>
      </w:r>
    </w:p>
    <w:p w14:paraId="28359761" w14:textId="14414352" w:rsidR="006F703F" w:rsidRDefault="006F703F" w:rsidP="006F703F">
      <w:pPr>
        <w:pStyle w:val="ListParagraph"/>
        <w:numPr>
          <w:ilvl w:val="0"/>
          <w:numId w:val="8"/>
        </w:numPr>
      </w:pPr>
      <w:r>
        <w:t>environmental conditions</w:t>
      </w:r>
      <w:r w:rsidR="00E35D6B">
        <w:t>, market forces</w:t>
      </w:r>
      <w:r>
        <w:t>.</w:t>
      </w:r>
    </w:p>
    <w:p w14:paraId="6B7E8F3B" w14:textId="5F948A0F" w:rsidR="00D53B8D" w:rsidRDefault="001F7553" w:rsidP="001F7553">
      <w:r>
        <w:t xml:space="preserve">In </w:t>
      </w:r>
      <w:r w:rsidR="00D53B8D">
        <w:t>summary</w:t>
      </w:r>
      <w:r>
        <w:t xml:space="preserve">, because abalone aggregate and divers generally target the densest visible aggregations, CPUE can be maintained even if overall population abundance is declining. As a result of these circumstances, stable or increasing trends in CPUE may not be reflective of </w:t>
      </w:r>
      <w:r w:rsidR="009B3DFC">
        <w:t xml:space="preserve">trends in </w:t>
      </w:r>
      <w:r>
        <w:t xml:space="preserve">stock abundance. </w:t>
      </w:r>
      <w:r w:rsidR="00D53B8D">
        <w:t>D</w:t>
      </w:r>
      <w:r>
        <w:t>eclines in CPUE are generally considered to reflect declining abundance</w:t>
      </w:r>
      <w:r w:rsidR="00D53B8D">
        <w:t xml:space="preserve">, however they are also unlikely to be linear, with rates of decline potentially more severe than CPUE data would suggest. </w:t>
      </w:r>
      <w:r>
        <w:t xml:space="preserve">Complicating these issues, declines in CPUE in the short-term may also be attributed to other influencing factors such as an increase in size limit, or changes in market forces. </w:t>
      </w:r>
      <w:r w:rsidR="009B3DFC">
        <w:t>O</w:t>
      </w:r>
      <w:r>
        <w:t>ther factors such as diver experience can also affect abalone CPUE trends.</w:t>
      </w:r>
    </w:p>
    <w:p w14:paraId="2E01F33E" w14:textId="502BFA91" w:rsidR="00155DCA" w:rsidRDefault="003A70D9" w:rsidP="00155DCA">
      <w:r>
        <w:t xml:space="preserve">In addition to these factors, </w:t>
      </w:r>
      <w:r w:rsidR="00155DCA">
        <w:t xml:space="preserve">Dichmont et al (2022) </w:t>
      </w:r>
      <w:r>
        <w:t>identified that the quality of logbook data was poor, stating</w:t>
      </w:r>
      <w:r w:rsidR="00155DCA">
        <w:t xml:space="preserve"> “</w:t>
      </w:r>
      <w:r w:rsidR="00155DCA" w:rsidRPr="00155DCA">
        <w:rPr>
          <w:i/>
          <w:iCs/>
        </w:rPr>
        <w:t>There are many issues with the accuracy of the logbook data. The spatial location of divers at the local scale is missing and we were unable to untangle important small-scale changes over time such as moving inshore or discovering new reefs within a reefcode. Given the extent of outliers in the linear models, it is possible that the data may include periods where some divers may not have recorded catch, effort and location information with the accuracy needed to use this data as a reliable index of abundance</w:t>
      </w:r>
      <w:r w:rsidR="00155DCA">
        <w:t>”.</w:t>
      </w:r>
    </w:p>
    <w:p w14:paraId="0A3FF66E" w14:textId="301EE05A" w:rsidR="003A70D9" w:rsidRDefault="003A70D9" w:rsidP="001F7553">
      <w:r>
        <w:t>To partially address the issue of data outliers, the ASWG examined catch, effort and CPUE data in detail from 2003 onward to remove data that appeared unrealistic. As a result, the following set of filters were applied to the CPUE datasets before standardisation was undertaken:</w:t>
      </w:r>
    </w:p>
    <w:p w14:paraId="7A1F7347" w14:textId="72673F48" w:rsidR="003A70D9" w:rsidRDefault="00931594" w:rsidP="003A70D9">
      <w:pPr>
        <w:pStyle w:val="ListParagraph"/>
        <w:numPr>
          <w:ilvl w:val="0"/>
          <w:numId w:val="31"/>
        </w:numPr>
      </w:pPr>
      <w:r>
        <w:t>Removed CPUE &lt;25 kg/h and &gt;250 kg/h at the reefcode/day scale</w:t>
      </w:r>
    </w:p>
    <w:p w14:paraId="3E55C18E" w14:textId="2943CA8F" w:rsidR="00931594" w:rsidRDefault="00931594" w:rsidP="003A70D9">
      <w:pPr>
        <w:pStyle w:val="ListParagraph"/>
        <w:numPr>
          <w:ilvl w:val="0"/>
          <w:numId w:val="31"/>
        </w:numPr>
      </w:pPr>
      <w:r>
        <w:t>Removed daily catches &lt;20 kg/day</w:t>
      </w:r>
      <w:r w:rsidR="000D0124">
        <w:t xml:space="preserve"> and &gt;800 kg/day</w:t>
      </w:r>
    </w:p>
    <w:p w14:paraId="3200C489" w14:textId="2B7FEDCC" w:rsidR="000D0124" w:rsidRDefault="000D0124" w:rsidP="003A70D9">
      <w:pPr>
        <w:pStyle w:val="ListParagraph"/>
        <w:numPr>
          <w:ilvl w:val="0"/>
          <w:numId w:val="31"/>
        </w:numPr>
      </w:pPr>
      <w:r>
        <w:t>Removed daily effort &lt;20 minutes/day and &gt;9 hours/day</w:t>
      </w:r>
    </w:p>
    <w:p w14:paraId="40A13431" w14:textId="429D4943" w:rsidR="00931594" w:rsidRDefault="000D0124" w:rsidP="003A70D9">
      <w:pPr>
        <w:pStyle w:val="ListParagraph"/>
        <w:numPr>
          <w:ilvl w:val="0"/>
          <w:numId w:val="31"/>
        </w:numPr>
      </w:pPr>
      <w:r>
        <w:t xml:space="preserve">Removed the first 50 days of each divers records (learning period) </w:t>
      </w:r>
      <w:r w:rsidR="00931594">
        <w:t xml:space="preserve"> </w:t>
      </w:r>
    </w:p>
    <w:p w14:paraId="2E9C6603" w14:textId="016B9C4C" w:rsidR="00A074FC" w:rsidRDefault="00D53B8D" w:rsidP="001F7553">
      <w:r>
        <w:t>T</w:t>
      </w:r>
      <w:r w:rsidR="001F7553">
        <w:t xml:space="preserve">he CPUE data in </w:t>
      </w:r>
      <w:r w:rsidR="00B30B49">
        <w:t xml:space="preserve">previous </w:t>
      </w:r>
      <w:r w:rsidR="001F7553">
        <w:t>report</w:t>
      </w:r>
      <w:r w:rsidR="00B30B49">
        <w:t>s</w:t>
      </w:r>
      <w:r w:rsidR="001F7553">
        <w:t xml:space="preserve"> </w:t>
      </w:r>
      <w:r w:rsidR="00B30B49">
        <w:t>we</w:t>
      </w:r>
      <w:r w:rsidR="001F7553">
        <w:t xml:space="preserve">re standardised </w:t>
      </w:r>
      <w:r w:rsidR="00A074FC">
        <w:t xml:space="preserve">following </w:t>
      </w:r>
      <w:r w:rsidR="00F4266B">
        <w:t>Giri and Gorfine (2018</w:t>
      </w:r>
      <w:r w:rsidR="00A074FC">
        <w:t>)</w:t>
      </w:r>
      <w:r w:rsidR="00DC6DA8">
        <w:t xml:space="preserve">.  </w:t>
      </w:r>
      <w:r w:rsidR="00B30B49">
        <w:t>However</w:t>
      </w:r>
      <w:r w:rsidR="00DC6DA8">
        <w:t xml:space="preserve">, </w:t>
      </w:r>
      <w:r w:rsidR="001F7553">
        <w:t xml:space="preserve">the approach </w:t>
      </w:r>
      <w:r w:rsidR="00B30B49">
        <w:t xml:space="preserve">did </w:t>
      </w:r>
      <w:r>
        <w:t xml:space="preserve">little </w:t>
      </w:r>
      <w:r w:rsidR="001F7553">
        <w:t xml:space="preserve">to improve the </w:t>
      </w:r>
      <w:r>
        <w:t xml:space="preserve">index of abundance </w:t>
      </w:r>
      <w:r w:rsidR="001F7553">
        <w:t xml:space="preserve">as there </w:t>
      </w:r>
      <w:r w:rsidR="00B30B49">
        <w:t>wa</w:t>
      </w:r>
      <w:r w:rsidR="001F7553">
        <w:t>s little difference between nominal and standardised trends at all spatial and temporal scales.</w:t>
      </w:r>
      <w:r w:rsidR="009C1966">
        <w:t xml:space="preserve"> Several alternative standardisation models </w:t>
      </w:r>
      <w:r w:rsidR="009C1966" w:rsidRPr="00206E8A">
        <w:t>were tested</w:t>
      </w:r>
      <w:r w:rsidR="00B30B49" w:rsidRPr="00206E8A">
        <w:t xml:space="preserve"> by Dichmont et al (2022)</w:t>
      </w:r>
      <w:r w:rsidR="009C1966" w:rsidRPr="00206E8A">
        <w:t>,</w:t>
      </w:r>
      <w:r w:rsidR="00CD2573" w:rsidRPr="00206E8A">
        <w:t xml:space="preserve"> and during 2024 a revised standardisation model was agreed upon through the ASWG</w:t>
      </w:r>
      <w:r w:rsidR="00206E8A" w:rsidRPr="00206E8A">
        <w:t>. T</w:t>
      </w:r>
      <w:r w:rsidR="00CD2573" w:rsidRPr="00206E8A">
        <w:t xml:space="preserve">he revised model </w:t>
      </w:r>
      <w:r w:rsidR="00F4266B">
        <w:t xml:space="preserve">removed some of the </w:t>
      </w:r>
      <w:r w:rsidR="00206E8A" w:rsidRPr="00206E8A">
        <w:t>interaction terms</w:t>
      </w:r>
      <w:r w:rsidR="00F4266B">
        <w:t xml:space="preserve"> and included a </w:t>
      </w:r>
      <w:r w:rsidR="00206E8A">
        <w:t>“</w:t>
      </w:r>
      <w:r w:rsidR="00FD52A7">
        <w:t>quarter</w:t>
      </w:r>
      <w:r w:rsidR="00206E8A">
        <w:t xml:space="preserve">” </w:t>
      </w:r>
      <w:r w:rsidR="00F4266B">
        <w:t xml:space="preserve">term (Qtr) </w:t>
      </w:r>
      <w:r w:rsidR="00206E8A">
        <w:t xml:space="preserve">to replace the “month” term. </w:t>
      </w:r>
    </w:p>
    <w:p w14:paraId="4BD08381" w14:textId="77777777" w:rsidR="00F4266B" w:rsidRDefault="00F4266B" w:rsidP="00F4266B">
      <w:r>
        <w:t>The linear mixed-effects model at the Zone level was specified as follows:</w:t>
      </w:r>
    </w:p>
    <w:p w14:paraId="609FC05E" w14:textId="6A1C982C" w:rsidR="00F4266B" w:rsidRDefault="00F4266B" w:rsidP="00F4266B">
      <w:r>
        <w:t>log(Blacklip) = 0  +  offset(log(Effort)) +  QuotaYear +  (1|Diver) +  SMU + (1|SMU:Year.Qtr) +  ReefCode +  (1|ReefCode/QuotaYear) + (1|ReefCode:Year.Qtr)</w:t>
      </w:r>
    </w:p>
    <w:p w14:paraId="6BA3C377" w14:textId="77777777" w:rsidR="00F4266B" w:rsidRDefault="00F4266B" w:rsidP="00F4266B">
      <w:r>
        <w:t>The linear mixed-effects model at the SMU level was specified as follows:</w:t>
      </w:r>
    </w:p>
    <w:p w14:paraId="75EF1A7F" w14:textId="05FA0E57" w:rsidR="00F4266B" w:rsidRDefault="00F4266B" w:rsidP="00F4266B">
      <w:r>
        <w:t>(log(Blacklip) ~ 0  +  offset(log(Effort)) +   QuotaYear +  (1|Diver) + ReefCode + (1|ReefCode/QuotaYear) + (1|ReefCode:Year.Qtr)</w:t>
      </w:r>
    </w:p>
    <w:p w14:paraId="771D971D" w14:textId="1FF30450" w:rsidR="001F7553" w:rsidRDefault="00B25418" w:rsidP="001F7553">
      <w:r>
        <w:t>While approaches to improving the information base for the fishery continue to evolve, this</w:t>
      </w:r>
      <w:r w:rsidR="00CD2573">
        <w:t xml:space="preserve"> a</w:t>
      </w:r>
      <w:r w:rsidR="009C1966">
        <w:t xml:space="preserve">ssessment </w:t>
      </w:r>
      <w:r>
        <w:t xml:space="preserve">remains heavily reliant </w:t>
      </w:r>
      <w:r w:rsidR="009C1966">
        <w:t xml:space="preserve">on CPUE </w:t>
      </w:r>
      <w:r>
        <w:t xml:space="preserve">as its primary source of </w:t>
      </w:r>
      <w:r w:rsidR="00CA132B">
        <w:t>information</w:t>
      </w:r>
      <w:r>
        <w:t xml:space="preserve">. </w:t>
      </w:r>
      <w:r w:rsidR="002610BC">
        <w:t>T</w:t>
      </w:r>
      <w:r w:rsidR="009C1966">
        <w:t>hus</w:t>
      </w:r>
      <w:r w:rsidR="002610BC">
        <w:t>,</w:t>
      </w:r>
      <w:r w:rsidR="009C1966">
        <w:t xml:space="preserve"> there is substantial uncertainty in the interpretation of the data that drive the stock status assessment and </w:t>
      </w:r>
      <w:r w:rsidR="00CA132B">
        <w:t xml:space="preserve">Draft </w:t>
      </w:r>
      <w:r w:rsidR="009C1966">
        <w:t>Harvest Strategy outcomes.</w:t>
      </w:r>
      <w:r w:rsidR="000A05F4">
        <w:t xml:space="preserve"> </w:t>
      </w:r>
    </w:p>
    <w:p w14:paraId="5255085F" w14:textId="7D6A15FC" w:rsidR="00C67AAF" w:rsidRDefault="00C67AAF" w:rsidP="001F7553">
      <w:r>
        <w:t xml:space="preserve">In addition to catch, effort and CPUE trends, this report </w:t>
      </w:r>
      <w:r w:rsidR="00206E8A">
        <w:t xml:space="preserve">also </w:t>
      </w:r>
      <w:r>
        <w:t>examine</w:t>
      </w:r>
      <w:r w:rsidR="00206E8A">
        <w:t>s</w:t>
      </w:r>
      <w:r>
        <w:t xml:space="preserve"> trends in mean daily catch. This measure only includes days when </w:t>
      </w:r>
      <w:r w:rsidR="00206B1B">
        <w:t xml:space="preserve">divers fished a single SMU and </w:t>
      </w:r>
      <w:r>
        <w:t xml:space="preserve">more than 50 kg of abalone </w:t>
      </w:r>
      <w:r w:rsidR="00206B1B">
        <w:t>wa</w:t>
      </w:r>
      <w:r>
        <w:t>s recorded.</w:t>
      </w:r>
      <w:r w:rsidR="00206E8A">
        <w:t xml:space="preserve"> Currently these data are not standardised, however it is planned to develop a standardisation model for mean catch per day through the ASWG in 2025. </w:t>
      </w:r>
    </w:p>
    <w:p w14:paraId="0B0EAD7B" w14:textId="61F5826F" w:rsidR="001F7553" w:rsidRDefault="001F7553" w:rsidP="00A77A9D">
      <w:pPr>
        <w:pStyle w:val="Heading3"/>
      </w:pPr>
      <w:bookmarkStart w:id="19" w:name="_Toc150423161"/>
      <w:bookmarkStart w:id="20" w:name="_Toc182219889"/>
      <w:r>
        <w:t xml:space="preserve">Fishery-independent </w:t>
      </w:r>
      <w:r w:rsidR="005E313D">
        <w:t xml:space="preserve">survey </w:t>
      </w:r>
      <w:r>
        <w:t>abundance</w:t>
      </w:r>
      <w:bookmarkEnd w:id="19"/>
      <w:bookmarkEnd w:id="20"/>
    </w:p>
    <w:p w14:paraId="2F43BBC6" w14:textId="57A21398" w:rsidR="008D76F2" w:rsidRDefault="008D76F2" w:rsidP="001F7553">
      <w:r>
        <w:t>Several</w:t>
      </w:r>
      <w:r w:rsidR="001F7553">
        <w:t xml:space="preserve"> </w:t>
      </w:r>
      <w:r>
        <w:t>fishery-independent survey (</w:t>
      </w:r>
      <w:r w:rsidR="001F7553">
        <w:t>FIS</w:t>
      </w:r>
      <w:r>
        <w:t>)</w:t>
      </w:r>
      <w:r w:rsidR="001F7553">
        <w:t xml:space="preserve"> approaches have been developed for abalone fisheries</w:t>
      </w:r>
      <w:r>
        <w:t xml:space="preserve"> in Australia</w:t>
      </w:r>
      <w:r w:rsidR="001F7553">
        <w:t>. Commencing in 1992, the Victorian FIS provides a long-term, annual dataset measuring recruit and pre-recruit abundance</w:t>
      </w:r>
      <w:r w:rsidR="00A074FC">
        <w:t xml:space="preserve"> (standardised using GLMM following VFA 2019)</w:t>
      </w:r>
      <w:r w:rsidR="001F7553">
        <w:t xml:space="preserve">, along with size structure </w:t>
      </w:r>
      <w:r w:rsidR="00383388">
        <w:t>data</w:t>
      </w:r>
      <w:r w:rsidR="001F7553">
        <w:t>.</w:t>
      </w:r>
      <w:r>
        <w:t xml:space="preserve"> The Victorian FIS is currently </w:t>
      </w:r>
      <w:r w:rsidR="00E35D6B">
        <w:t>being improved, with new sites being established in shallow water reefs representative of the fishery from 2025.</w:t>
      </w:r>
      <w:r>
        <w:t xml:space="preserve"> </w:t>
      </w:r>
    </w:p>
    <w:p w14:paraId="183ACFD0" w14:textId="159410CA" w:rsidR="008D76F2" w:rsidRDefault="008D76F2" w:rsidP="001F7553">
      <w:r>
        <w:t xml:space="preserve">Of </w:t>
      </w:r>
      <w:r w:rsidR="00383388">
        <w:t xml:space="preserve">greatest </w:t>
      </w:r>
      <w:r>
        <w:t xml:space="preserve">importance, both commercial fishing effort and FIS locations were mapped using GIS software to obtain an understanding of how well (or otherwise) FIS sites represented the biomass upon which the </w:t>
      </w:r>
      <w:r w:rsidR="00383388">
        <w:t xml:space="preserve">Eastern Zone </w:t>
      </w:r>
      <w:r>
        <w:t xml:space="preserve">fishery is </w:t>
      </w:r>
      <w:r w:rsidR="00764094">
        <w:t xml:space="preserve">currently </w:t>
      </w:r>
      <w:r>
        <w:t xml:space="preserve">based. In general, the results of this analysis suggested that FIS sites are a very poor representation of the current fishing grounds. </w:t>
      </w:r>
      <w:r w:rsidR="00383388">
        <w:t xml:space="preserve">As hypothesized in previous </w:t>
      </w:r>
      <w:r w:rsidR="00477721">
        <w:t>Stock Assessment Report</w:t>
      </w:r>
      <w:r w:rsidR="00383388">
        <w:t xml:space="preserve">s, declines in FIS abundance observed over a decade from around 2003 represented declines in </w:t>
      </w:r>
      <w:r w:rsidR="00764094">
        <w:t xml:space="preserve">abundance on </w:t>
      </w:r>
      <w:r w:rsidR="00383388">
        <w:t xml:space="preserve">intermediate and deeper water reefs. During this period, CPUE actually increased as fishing became concentrated in the shallower, more productive reefs where FIS sites were not located (due to logistic reasons). On this basis, the declines in abundance during this period do reflect a reduction in </w:t>
      </w:r>
      <w:r w:rsidR="002610BC">
        <w:t>biomass from intermediate and deeper reefs</w:t>
      </w:r>
      <w:r w:rsidR="00383388">
        <w:t xml:space="preserve">, however the rate of decline in abundance is much greater than the </w:t>
      </w:r>
      <w:r w:rsidR="00764094">
        <w:t xml:space="preserve">rate of </w:t>
      </w:r>
      <w:r w:rsidR="00383388">
        <w:t>decline in total biomass</w:t>
      </w:r>
      <w:r w:rsidR="002610BC">
        <w:t xml:space="preserve"> because the FIS sites are negatively biased</w:t>
      </w:r>
      <w:r w:rsidR="00383388">
        <w:t xml:space="preserve">. </w:t>
      </w:r>
    </w:p>
    <w:p w14:paraId="57BCA985" w14:textId="607C6EE9" w:rsidR="00455591" w:rsidRDefault="00764094" w:rsidP="001F7553">
      <w:r>
        <w:t>With declines in FIS abundance providing overly pessimistic trends and CPUE providing overly optimistic trends, t</w:t>
      </w:r>
      <w:r w:rsidR="00383388">
        <w:t xml:space="preserve">he contrasting signals </w:t>
      </w:r>
      <w:r>
        <w:t xml:space="preserve">from these data sources have caused </w:t>
      </w:r>
      <w:r w:rsidR="00EC1DF8">
        <w:t>substantial uncertainty in the assessment of stock status</w:t>
      </w:r>
      <w:r>
        <w:t xml:space="preserve"> for many years</w:t>
      </w:r>
      <w:r w:rsidR="00EC1DF8">
        <w:t xml:space="preserve">. The relationship between these measures has been studied in detail in previous reports and has been included as an appendix in this report. To address these issues, the FIS review process identified an urgent need to establish new FIS locations in shallow reefs that are representative of the current fishing grounds. </w:t>
      </w:r>
      <w:r w:rsidR="00EF1BDB">
        <w:t>T</w:t>
      </w:r>
      <w:r w:rsidR="00EC1DF8">
        <w:t xml:space="preserve">he first of these sites will be in place </w:t>
      </w:r>
      <w:r w:rsidR="00EF1BDB">
        <w:t xml:space="preserve">during </w:t>
      </w:r>
      <w:r w:rsidR="00EC1DF8">
        <w:t>202</w:t>
      </w:r>
      <w:r w:rsidR="00EF1BDB">
        <w:t>5</w:t>
      </w:r>
      <w:r w:rsidR="00EC1DF8">
        <w:t xml:space="preserve">. </w:t>
      </w:r>
    </w:p>
    <w:p w14:paraId="3D76FB8E" w14:textId="36BCFCE5" w:rsidR="00EF1BDB" w:rsidRDefault="00EC1DF8" w:rsidP="001F7553">
      <w:r>
        <w:t xml:space="preserve">The FIS review process also </w:t>
      </w:r>
      <w:r w:rsidR="00455591">
        <w:t>resulted in a reduction in the number of historic FIS sites surveyed in the Eastern Zone. While no FIS was conducted in 2022, data were gathered from 15 old FIS sites referred to as the “Top 15”</w:t>
      </w:r>
      <w:r w:rsidR="005E313D">
        <w:t xml:space="preserve"> (Dixon 2023)</w:t>
      </w:r>
      <w:r w:rsidR="00455591">
        <w:t xml:space="preserve">. While these sites are not representative of the primary fishing grounds, they were selected as they maintained reasonable levels of abalone abundance, and they were generally adjacent to areas of more intense fishing effort. </w:t>
      </w:r>
      <w:r w:rsidR="00EF1BDB">
        <w:t xml:space="preserve">In 2024, only a subset of </w:t>
      </w:r>
      <w:r w:rsidR="006B1BCB">
        <w:t>ten</w:t>
      </w:r>
      <w:r w:rsidR="00EF1BDB">
        <w:t xml:space="preserve"> of the Top 15 sites were surveyed in the Eastern Zone, with new fixed transects established within the existing area of the radial transect area. This provides direct comparisons between survey types, however in 2024 this further diluted the strength of the survey data as a measure of annual abundance. </w:t>
      </w:r>
    </w:p>
    <w:p w14:paraId="181FBF62" w14:textId="5F7598E2" w:rsidR="00383388" w:rsidRDefault="00455591" w:rsidP="001F7553">
      <w:r>
        <w:t xml:space="preserve">While data from these </w:t>
      </w:r>
      <w:r w:rsidR="00EF1BDB">
        <w:t xml:space="preserve">Top 15 </w:t>
      </w:r>
      <w:r>
        <w:t xml:space="preserve">sites are not considered to be representative of trends in biomass for the fishery, they contribute some useful information </w:t>
      </w:r>
      <w:r w:rsidR="005E313D">
        <w:t xml:space="preserve">toward </w:t>
      </w:r>
      <w:r>
        <w:t xml:space="preserve">the assessment of stock status. Recruit and pre-recruit abundance as well as size frequency data are presented at the SMU scale, however the number of </w:t>
      </w:r>
      <w:r w:rsidR="00BE1AA3">
        <w:t xml:space="preserve">Top 15 FIS </w:t>
      </w:r>
      <w:r>
        <w:t xml:space="preserve">sites at this scale varies between 1 and 4 </w:t>
      </w:r>
      <w:r w:rsidR="00BE1AA3">
        <w:t>for 6 of the 7 SMUs, and there are no Top 15 sites for the Mallacoota Large SMU.</w:t>
      </w:r>
      <w:r>
        <w:t xml:space="preserve"> </w:t>
      </w:r>
      <w:r w:rsidR="00BE1AA3">
        <w:t>T</w:t>
      </w:r>
      <w:r>
        <w:t>hus</w:t>
      </w:r>
      <w:r w:rsidR="00BE1AA3">
        <w:t>,</w:t>
      </w:r>
      <w:r>
        <w:t xml:space="preserve"> interpretation of these trends</w:t>
      </w:r>
      <w:r w:rsidR="00656D26">
        <w:t xml:space="preserve"> should be treated with caution. Analyses from Dixon (2023) suggest that trends for the Top 15 sites at the zone scale are similarly precise to previous years when around 60 sites were surveyed.</w:t>
      </w:r>
    </w:p>
    <w:p w14:paraId="16DC4FD9" w14:textId="77777777" w:rsidR="001F7553" w:rsidRPr="00A12628" w:rsidRDefault="001F7553" w:rsidP="00A77A9D">
      <w:pPr>
        <w:pStyle w:val="Heading3"/>
      </w:pPr>
      <w:bookmarkStart w:id="21" w:name="_Toc150423162"/>
      <w:bookmarkStart w:id="22" w:name="_Toc182219890"/>
      <w:r>
        <w:t>Size structure data</w:t>
      </w:r>
      <w:bookmarkEnd w:id="21"/>
      <w:bookmarkEnd w:id="22"/>
    </w:p>
    <w:p w14:paraId="1CEFE624" w14:textId="77777777" w:rsidR="001F7553" w:rsidRPr="00A12628" w:rsidRDefault="001F7553" w:rsidP="001F7553">
      <w:pPr>
        <w:pStyle w:val="Heading4"/>
      </w:pPr>
      <w:bookmarkStart w:id="23" w:name="_Toc85716432"/>
      <w:bookmarkStart w:id="24" w:name="_Toc149152858"/>
      <w:bookmarkStart w:id="25" w:name="_Toc150423163"/>
      <w:bookmarkStart w:id="26" w:name="_Toc182219891"/>
      <w:r w:rsidRPr="00A12628">
        <w:t>Fishery-independent survey</w:t>
      </w:r>
      <w:bookmarkEnd w:id="23"/>
      <w:bookmarkEnd w:id="24"/>
      <w:bookmarkEnd w:id="25"/>
      <w:bookmarkEnd w:id="26"/>
    </w:p>
    <w:p w14:paraId="0FDDF873" w14:textId="7AB94FD0" w:rsidR="002529BB" w:rsidRDefault="002529BB" w:rsidP="00C12D1F">
      <w:pPr>
        <w:rPr>
          <w:lang w:val="en-US"/>
        </w:rPr>
      </w:pPr>
      <w:r>
        <w:rPr>
          <w:lang w:val="en-US"/>
        </w:rPr>
        <w:t xml:space="preserve">Size structure data from FIS </w:t>
      </w:r>
      <w:r w:rsidR="001F7553">
        <w:rPr>
          <w:lang w:val="en-US"/>
        </w:rPr>
        <w:t>are available from 1992</w:t>
      </w:r>
      <w:r w:rsidR="00B80674">
        <w:rPr>
          <w:lang w:val="en-US"/>
        </w:rPr>
        <w:t>. H</w:t>
      </w:r>
      <w:r w:rsidR="001F7553">
        <w:rPr>
          <w:lang w:val="en-US"/>
        </w:rPr>
        <w:t>owever</w:t>
      </w:r>
      <w:r w:rsidR="00B80674">
        <w:rPr>
          <w:lang w:val="en-US"/>
        </w:rPr>
        <w:t>,</w:t>
      </w:r>
      <w:r w:rsidR="001F7553">
        <w:rPr>
          <w:lang w:val="en-US"/>
        </w:rPr>
        <w:t xml:space="preserve"> the approach to </w:t>
      </w:r>
      <w:r>
        <w:rPr>
          <w:lang w:val="en-US"/>
        </w:rPr>
        <w:t xml:space="preserve">collecting </w:t>
      </w:r>
      <w:r w:rsidR="001F7553">
        <w:rPr>
          <w:lang w:val="en-US"/>
        </w:rPr>
        <w:t xml:space="preserve">length frequency data changed </w:t>
      </w:r>
      <w:r>
        <w:rPr>
          <w:lang w:val="en-US"/>
        </w:rPr>
        <w:t xml:space="preserve">in </w:t>
      </w:r>
      <w:r w:rsidR="001F7553">
        <w:rPr>
          <w:lang w:val="en-US"/>
        </w:rPr>
        <w:t>2003 when abalone were removed after the transect survey counts from areas immediately outside of the site radius</w:t>
      </w:r>
      <w:r w:rsidR="00C12D1F">
        <w:rPr>
          <w:lang w:val="en-US"/>
        </w:rPr>
        <w:t xml:space="preserve"> in a “timed swim” approach</w:t>
      </w:r>
      <w:r w:rsidR="001F7553">
        <w:rPr>
          <w:lang w:val="en-US"/>
        </w:rPr>
        <w:t xml:space="preserve">, rather than removing all abalone encountered on the transects themselves. </w:t>
      </w:r>
    </w:p>
    <w:p w14:paraId="70112C17" w14:textId="2834D092" w:rsidR="002529BB" w:rsidRPr="00E35D6B" w:rsidRDefault="002529BB" w:rsidP="002529BB">
      <w:r w:rsidRPr="00CC54F4">
        <w:t xml:space="preserve">Data are weighted by the </w:t>
      </w:r>
      <w:r w:rsidR="00444523" w:rsidRPr="00CC54F4">
        <w:t>standardised</w:t>
      </w:r>
      <w:r w:rsidRPr="00CC54F4">
        <w:t xml:space="preserve"> abundance at each site to ensure that the size distribution is representative of the sampled population, rather than the samples measured, which reduces bias. Length frequency samples from each site were converted from counts to percentage frequency and were then scaled by the total count at each site to determine the percentage length frequency at the SMU scale. The percent frequency was then multiplied by the standardi</w:t>
      </w:r>
      <w:r w:rsidR="00CC54F4" w:rsidRPr="00CC54F4">
        <w:t>s</w:t>
      </w:r>
      <w:r w:rsidRPr="00CC54F4">
        <w:t>ed total abundance (i.e. standardi</w:t>
      </w:r>
      <w:r w:rsidR="00CC54F4">
        <w:t>s</w:t>
      </w:r>
      <w:r w:rsidRPr="00E35D6B">
        <w:t>ed pre-recruit abundance + standardi</w:t>
      </w:r>
      <w:r w:rsidR="00CC54F4">
        <w:t>s</w:t>
      </w:r>
      <w:r w:rsidRPr="00E35D6B">
        <w:t xml:space="preserve">ed recruit abundance) for each year. These data are then presented graphically with associated statistics and reported in Appendix 3. Data from all FIS sites are presented at the SMU level from 2003 to 2021, and data from the Top 15 FIS sites are presented at the SMU level from 2003 to 2023, except for Mallacoota Large where there are no Top 15 sites. Interpretations of the data are included in the summary assessment for each SMU. </w:t>
      </w:r>
    </w:p>
    <w:p w14:paraId="5DD55A8D" w14:textId="7F57F038" w:rsidR="002529BB" w:rsidRDefault="002529BB" w:rsidP="002529BB">
      <w:pPr>
        <w:rPr>
          <w:lang w:val="en-US"/>
        </w:rPr>
      </w:pPr>
      <w:r>
        <w:rPr>
          <w:lang w:val="en-US"/>
        </w:rPr>
        <w:t xml:space="preserve">FIS </w:t>
      </w:r>
      <w:r w:rsidR="00C67AAF">
        <w:rPr>
          <w:lang w:val="en-US"/>
        </w:rPr>
        <w:t xml:space="preserve">length frequency data </w:t>
      </w:r>
      <w:r>
        <w:rPr>
          <w:lang w:val="en-US"/>
        </w:rPr>
        <w:t>also enable abundance measures to be split into pre-recruit indices for the harvest strategy. Interpretation of size data is difficult as small changes can be quite influential in size-structured models. Thus, only crude changes can be investigated with the broad statistics obtained from these data, so when there are clear trends these should be considered important.</w:t>
      </w:r>
    </w:p>
    <w:p w14:paraId="2E3036DA" w14:textId="77777777" w:rsidR="00332CCC" w:rsidRDefault="00C12D1F" w:rsidP="00C12D1F">
      <w:r w:rsidRPr="61196AEB">
        <w:t>To examine the effect of th</w:t>
      </w:r>
      <w:r w:rsidR="002529BB" w:rsidRPr="61196AEB">
        <w:t>e</w:t>
      </w:r>
      <w:r w:rsidRPr="61196AEB">
        <w:t xml:space="preserve"> change in the method of length-frequency data collection, Dixon (2023) compared the ratio of recruit to pre-recruit abundances on transects versus timed collections and found that length frequency gathered since 2003 was strongly biased toward the collection of larger abalone. </w:t>
      </w:r>
      <w:r w:rsidR="00C21A93" w:rsidRPr="61196AEB">
        <w:t xml:space="preserve">The results from this analysis are presented in Appendix </w:t>
      </w:r>
      <w:r w:rsidR="0015388B" w:rsidRPr="61196AEB">
        <w:t>3</w:t>
      </w:r>
      <w:r w:rsidR="00C21A93" w:rsidRPr="61196AEB">
        <w:t xml:space="preserve">. </w:t>
      </w:r>
      <w:r w:rsidRPr="61196AEB">
        <w:t xml:space="preserve">It is considered unlikely that bias in size structure would result from the in situ transect counts as abalone are encountered in a systematic manner. This </w:t>
      </w:r>
      <w:r w:rsidR="002529BB" w:rsidRPr="61196AEB">
        <w:t xml:space="preserve">view is </w:t>
      </w:r>
      <w:r w:rsidRPr="61196AEB">
        <w:t>supported by Gorfine (1998) who states “</w:t>
      </w:r>
      <w:r w:rsidRPr="61196AEB">
        <w:rPr>
          <w:i/>
        </w:rPr>
        <w:t>Because the application of radial transacts avoids targeting some emergent abalone to the exclusion of others, there is less potential for divers to bias their sample towards larger abalone as may occur with time searches…. Time searches do not necessarily permit this separation of pre recruits from post recruits because of the potential for divers to collect larger, more accessible abalone at the expense of smaller abalone</w:t>
      </w:r>
      <w:r w:rsidRPr="61196AEB">
        <w:t xml:space="preserve">”. </w:t>
      </w:r>
    </w:p>
    <w:p w14:paraId="015DE9C8" w14:textId="52869F60" w:rsidR="00C12D1F" w:rsidRDefault="00332CCC" w:rsidP="00C12D1F">
      <w:pPr>
        <w:rPr>
          <w:lang w:val="en-US"/>
        </w:rPr>
      </w:pPr>
      <w:r>
        <w:rPr>
          <w:lang w:val="en-US"/>
        </w:rPr>
        <w:t xml:space="preserve">Therefore, there are two sources of bias that have recently been identified in the FIS length-frequency data. Firstly, as previously described, FIS site locations are not representative of the entire stock. And secondly, changes in the approach to collecting length frequency data has biased the size data towards larger abalone. </w:t>
      </w:r>
      <w:r w:rsidR="00C12D1F">
        <w:rPr>
          <w:lang w:val="en-US"/>
        </w:rPr>
        <w:t xml:space="preserve">On this basis, </w:t>
      </w:r>
      <w:r w:rsidR="00C21A93">
        <w:rPr>
          <w:lang w:val="en-US"/>
        </w:rPr>
        <w:t xml:space="preserve">the </w:t>
      </w:r>
      <w:r w:rsidR="00C12D1F">
        <w:rPr>
          <w:lang w:val="en-US"/>
        </w:rPr>
        <w:t>length-frequency data presented in this report are not representative of the abalone</w:t>
      </w:r>
      <w:r w:rsidR="00C21A93">
        <w:rPr>
          <w:lang w:val="en-US"/>
        </w:rPr>
        <w:t xml:space="preserve"> population</w:t>
      </w:r>
      <w:r>
        <w:rPr>
          <w:lang w:val="en-US"/>
        </w:rPr>
        <w:t xml:space="preserve"> and trends in FIS length frequency should be given little weight in the assessment</w:t>
      </w:r>
      <w:r w:rsidR="00C12D1F">
        <w:rPr>
          <w:lang w:val="en-US"/>
        </w:rPr>
        <w:t>.</w:t>
      </w:r>
      <w:r w:rsidR="002529BB">
        <w:rPr>
          <w:lang w:val="en-US"/>
        </w:rPr>
        <w:t xml:space="preserve"> </w:t>
      </w:r>
      <w:r w:rsidR="00EF1BDB">
        <w:rPr>
          <w:lang w:val="en-US"/>
        </w:rPr>
        <w:t>All length-frequency data are presented in Appendices.</w:t>
      </w:r>
    </w:p>
    <w:p w14:paraId="10E41673" w14:textId="77777777" w:rsidR="001F7553" w:rsidRPr="00A12628" w:rsidRDefault="001F7553" w:rsidP="001F7553">
      <w:pPr>
        <w:pStyle w:val="Heading4"/>
      </w:pPr>
      <w:bookmarkStart w:id="27" w:name="_Toc85716433"/>
      <w:bookmarkStart w:id="28" w:name="_Toc149152859"/>
      <w:bookmarkStart w:id="29" w:name="_Toc150423164"/>
      <w:bookmarkStart w:id="30" w:name="_Toc182219892"/>
      <w:r w:rsidRPr="00A12628">
        <w:t>Commercial length frequency</w:t>
      </w:r>
      <w:bookmarkEnd w:id="27"/>
      <w:bookmarkEnd w:id="28"/>
      <w:bookmarkEnd w:id="29"/>
      <w:bookmarkEnd w:id="30"/>
    </w:p>
    <w:p w14:paraId="193DEE28" w14:textId="77777777" w:rsidR="001F7553" w:rsidRDefault="001F7553" w:rsidP="001F7553">
      <w:pPr>
        <w:rPr>
          <w:lang w:val="en-US"/>
        </w:rPr>
      </w:pPr>
      <w:r>
        <w:rPr>
          <w:lang w:val="en-US"/>
        </w:rPr>
        <w:t>Data on size structure of the commercial catch are a very important data source to monitor changes in the fished population. While interpretation of these data can be affected by changes in size limits or changes in market demands, a shift towards “knife-edge fishing”, where more abalone are being caught closer to the size limit, can reflect higher levels of fishing mortality on a stock.</w:t>
      </w:r>
    </w:p>
    <w:p w14:paraId="382F6C29" w14:textId="0AE52A69" w:rsidR="001B7AB6" w:rsidRDefault="001F7553" w:rsidP="001F7553">
      <w:pPr>
        <w:rPr>
          <w:lang w:val="en-US"/>
        </w:rPr>
      </w:pPr>
      <w:r>
        <w:rPr>
          <w:lang w:val="en-US"/>
        </w:rPr>
        <w:t xml:space="preserve">Commercial length frequency data were gathered by the Mallacoota Co-op from </w:t>
      </w:r>
      <w:r w:rsidR="00A074FC" w:rsidRPr="004937AD">
        <w:rPr>
          <w:lang w:val="en-US"/>
        </w:rPr>
        <w:t>2010/11 to 2013/14 and 2015/16 to 2018/19</w:t>
      </w:r>
      <w:r>
        <w:rPr>
          <w:lang w:val="en-US"/>
        </w:rPr>
        <w:t xml:space="preserve">, and these data are presented in this report. Unfortunately, the Mallacoota Co-op was lost in the 2020 bushfires and the sampling program was discontinued. The data that were gathered provided some useful insights into commercial size structure, however inconsistent sampling and low sample size </w:t>
      </w:r>
      <w:r w:rsidRPr="00EE4659">
        <w:rPr>
          <w:lang w:val="en-US"/>
        </w:rPr>
        <w:t xml:space="preserve">numbers in later years </w:t>
      </w:r>
      <w:r w:rsidRPr="00B4471F">
        <w:rPr>
          <w:lang w:val="en-US"/>
        </w:rPr>
        <w:t xml:space="preserve">complicate </w:t>
      </w:r>
      <w:r>
        <w:rPr>
          <w:lang w:val="en-US"/>
        </w:rPr>
        <w:t>their interpretation.</w:t>
      </w:r>
    </w:p>
    <w:p w14:paraId="7129E11E" w14:textId="0E96351D" w:rsidR="0021658E" w:rsidRDefault="0021658E" w:rsidP="001F7553">
      <w:pPr>
        <w:rPr>
          <w:lang w:val="en-US"/>
        </w:rPr>
      </w:pPr>
      <w:r>
        <w:rPr>
          <w:lang w:val="en-US"/>
        </w:rPr>
        <w:t xml:space="preserve">There </w:t>
      </w:r>
      <w:r w:rsidR="00EF1BDB">
        <w:rPr>
          <w:lang w:val="en-US"/>
        </w:rPr>
        <w:t xml:space="preserve">remains </w:t>
      </w:r>
      <w:r>
        <w:rPr>
          <w:lang w:val="en-US"/>
        </w:rPr>
        <w:t>an urgent need to gather size structure data that are representative of the commercial catch.</w:t>
      </w:r>
    </w:p>
    <w:p w14:paraId="4B0F83CE" w14:textId="77777777" w:rsidR="006159D9" w:rsidRDefault="006159D9" w:rsidP="00A77A9D">
      <w:pPr>
        <w:pStyle w:val="Heading3"/>
      </w:pPr>
      <w:bookmarkStart w:id="31" w:name="_Toc150423165"/>
      <w:bookmarkStart w:id="32" w:name="_Toc182219893"/>
      <w:r w:rsidRPr="006159D9">
        <w:t>Size limits</w:t>
      </w:r>
      <w:bookmarkEnd w:id="31"/>
      <w:bookmarkEnd w:id="32"/>
      <w:r>
        <w:t xml:space="preserve"> </w:t>
      </w:r>
    </w:p>
    <w:p w14:paraId="766F76A3" w14:textId="3EBA6CE8" w:rsidR="006159D9" w:rsidRDefault="006159D9" w:rsidP="006159D9">
      <w:r>
        <w:t xml:space="preserve">Spatial and temporal changes in size limits impacts fishing selectivity (availability) which makes it difficult to interpret </w:t>
      </w:r>
      <w:r w:rsidR="00BE1AA3">
        <w:t>temporal</w:t>
      </w:r>
      <w:r>
        <w:t xml:space="preserve"> trends in CPUE and the impact that changes in TACCs have on exploitable biomass. For example, a decrease in the LML generally allows access to a larger biomass of smaller abalone and may result in a consequent increase in fishery CPUE over a short time frame and a reduction in mean length of the catch. Changes in LML need to be factored into the interpretation of all data, particularly trends in CPUE over time. Examples of LML changes are the LML at the Mallacoota Large SMU which was progressively increased from 120 mm to 138 mm from 2009/10 to 2016/17 because of the exceptionally high growth and large size at maturity among many of its abalone populations (VFA 2018). The LML was reduced at Mallacoota Large to </w:t>
      </w:r>
      <w:bookmarkStart w:id="33" w:name="_Hlk83236597"/>
      <w:r>
        <w:t>135 mm for 2019/20.</w:t>
      </w:r>
      <w:bookmarkEnd w:id="33"/>
    </w:p>
    <w:p w14:paraId="2D2732B2" w14:textId="77777777" w:rsidR="006159D9" w:rsidRDefault="006159D9" w:rsidP="006159D9">
      <w:r>
        <w:t>While size limits have been stable since 2019/20, there were numerous size limit changes, regulated and voluntary, within the Eastern Zone during the previous decade. These changes were often applied at the reef code scale; however, more recently changes have been applied at SMU scale recognising the practical implications for enforcement and administrative burden. A table representing the history of LML changes is provided in Appendix 2. Compliance levels with voluntary size limit changes are relatively unknown.</w:t>
      </w:r>
    </w:p>
    <w:p w14:paraId="53D09B39" w14:textId="77777777" w:rsidR="006159D9" w:rsidRDefault="006159D9" w:rsidP="006159D9">
      <w:r>
        <w:t>The regulatory changes to LML have included both increases and decreases. Size limits have been increased due to stakeholder and government concern about the state of the resource, but they have also been decreased to manage fishing effort more sustainably across SMUs (VFA 2018).</w:t>
      </w:r>
    </w:p>
    <w:p w14:paraId="0E5528D4" w14:textId="341952E5" w:rsidR="001B7AB6" w:rsidRDefault="001B7AB6" w:rsidP="001B7AB6">
      <w:pPr>
        <w:pStyle w:val="Heading2"/>
        <w:numPr>
          <w:ilvl w:val="1"/>
          <w:numId w:val="7"/>
        </w:numPr>
        <w:ind w:left="709" w:hanging="709"/>
      </w:pPr>
      <w:bookmarkStart w:id="34" w:name="_Toc182219894"/>
      <w:bookmarkStart w:id="35" w:name="Xd45ce1317cfe9b4a2465d257bd1ed2d2901bc04"/>
      <w:r>
        <w:t>Approaches to assessment of stock status</w:t>
      </w:r>
      <w:bookmarkEnd w:id="34"/>
    </w:p>
    <w:p w14:paraId="7DABA162" w14:textId="77777777" w:rsidR="006159D9" w:rsidRDefault="006159D9" w:rsidP="006159D9">
      <w:pPr>
        <w:pStyle w:val="Heading4"/>
      </w:pPr>
      <w:bookmarkStart w:id="36" w:name="_Toc149152862"/>
      <w:bookmarkStart w:id="37" w:name="_Toc150423167"/>
      <w:bookmarkStart w:id="38" w:name="_Toc182219895"/>
      <w:r>
        <w:t>Performance Indicators</w:t>
      </w:r>
      <w:bookmarkEnd w:id="36"/>
      <w:bookmarkEnd w:id="37"/>
      <w:bookmarkEnd w:id="38"/>
    </w:p>
    <w:p w14:paraId="0D6651B6" w14:textId="15B0576C" w:rsidR="00A074FC" w:rsidRDefault="001B7AB6" w:rsidP="001B7AB6">
      <w:r>
        <w:t>The first</w:t>
      </w:r>
      <w:r w:rsidR="006159D9">
        <w:t xml:space="preserve"> approach for assessing stock status </w:t>
      </w:r>
      <w:r>
        <w:t xml:space="preserve">is assessment against the Performance Indicators (PIs) </w:t>
      </w:r>
      <w:r w:rsidR="00A71AFB">
        <w:t xml:space="preserve">and associated reference points described in the Management Plan (Table 1).  </w:t>
      </w:r>
      <w:r w:rsidR="006159D9">
        <w:t xml:space="preserve">The </w:t>
      </w:r>
      <w:r w:rsidR="004701BD">
        <w:t>p</w:t>
      </w:r>
      <w:r w:rsidR="006159D9">
        <w:t xml:space="preserve">rimary PIs are </w:t>
      </w:r>
      <w:r>
        <w:t>standardised CPUE and FIS recruit and pre-recruit abundance</w:t>
      </w:r>
      <w:r w:rsidR="00A71AFB">
        <w:t xml:space="preserve"> and </w:t>
      </w:r>
      <w:r>
        <w:t xml:space="preserve">are intended to be used as indicators of biomass and fishing mortality to infer stock status at Zone and SMU scales. The </w:t>
      </w:r>
      <w:r w:rsidRPr="00E35D6B">
        <w:rPr>
          <w:i/>
        </w:rPr>
        <w:t>2016 Victorian Abalone Science - Methods Used for Fishery Assessment</w:t>
      </w:r>
      <w:r>
        <w:t xml:space="preserve"> report (VFA 2019) describes how the different data types are acquired, processed, and analysed. </w:t>
      </w:r>
    </w:p>
    <w:p w14:paraId="740C0EE0" w14:textId="1C25AB41" w:rsidR="001B7AB6" w:rsidRDefault="00A074FC" w:rsidP="001B7AB6">
      <w:r>
        <w:t xml:space="preserve">The </w:t>
      </w:r>
      <w:r w:rsidR="004701BD">
        <w:t xml:space="preserve">primary </w:t>
      </w:r>
      <w:r>
        <w:t>PIs are assessed across two spatial scales (Zone and SMU) and two temporal scales (long-term</w:t>
      </w:r>
      <w:r w:rsidR="004701BD">
        <w:t>:</w:t>
      </w:r>
      <w:r>
        <w:t xml:space="preserve"> 2003/04 to current</w:t>
      </w:r>
      <w:r w:rsidR="004701BD">
        <w:t>,</w:t>
      </w:r>
      <w:r>
        <w:t xml:space="preserve"> and short-term</w:t>
      </w:r>
      <w:r w:rsidR="004701BD">
        <w:t>:</w:t>
      </w:r>
      <w:r>
        <w:t xml:space="preserve"> 2009/10 to current). </w:t>
      </w:r>
      <w:r w:rsidR="004701BD">
        <w:t>I</w:t>
      </w:r>
      <w:r>
        <w:t xml:space="preserve">n </w:t>
      </w:r>
      <w:r w:rsidR="00EF1BDB">
        <w:t>2023/24, there were no new data to inform the FIS PIs</w:t>
      </w:r>
      <w:r>
        <w:t xml:space="preserve">. </w:t>
      </w:r>
      <w:r w:rsidR="001B7AB6">
        <w:t xml:space="preserve">As described above, there are </w:t>
      </w:r>
      <w:r w:rsidR="004701BD">
        <w:t xml:space="preserve">many </w:t>
      </w:r>
      <w:r w:rsidR="001B7AB6">
        <w:t xml:space="preserve">issues with these measures that result in substantial uncertainty in the interpretation of the PIs. On this basis, recent </w:t>
      </w:r>
      <w:r w:rsidR="00477721">
        <w:t>Stock Assessment Report</w:t>
      </w:r>
      <w:r w:rsidR="001B7AB6">
        <w:t xml:space="preserve">s </w:t>
      </w:r>
      <w:r w:rsidR="00A71AFB">
        <w:t xml:space="preserve">have recommended </w:t>
      </w:r>
      <w:r w:rsidR="001B7AB6">
        <w:t xml:space="preserve">that the PIs </w:t>
      </w:r>
      <w:r w:rsidR="004701BD">
        <w:t xml:space="preserve">be </w:t>
      </w:r>
      <w:r w:rsidR="001B7AB6">
        <w:t>review</w:t>
      </w:r>
      <w:r w:rsidR="004701BD">
        <w:t>ed</w:t>
      </w:r>
      <w:r w:rsidR="001B7AB6">
        <w:t xml:space="preserve"> (Dixon et al 2021, 2022</w:t>
      </w:r>
      <w:r w:rsidR="00EF1BDB">
        <w:t>, 2023</w:t>
      </w:r>
      <w:r w:rsidR="001B7AB6">
        <w:t>).</w:t>
      </w:r>
    </w:p>
    <w:p w14:paraId="4BA61E15" w14:textId="746A808E" w:rsidR="006159D9" w:rsidRDefault="006159D9">
      <w:pPr>
        <w:spacing w:before="0" w:after="160" w:line="259" w:lineRule="auto"/>
        <w:rPr>
          <w:i/>
          <w:color w:val="44546A" w:themeColor="text2"/>
          <w:sz w:val="18"/>
        </w:rPr>
      </w:pPr>
    </w:p>
    <w:p w14:paraId="47BAF267" w14:textId="77777777" w:rsidR="00EF1BDB" w:rsidRDefault="00EF1BDB">
      <w:pPr>
        <w:spacing w:before="0" w:after="160" w:line="259" w:lineRule="auto"/>
        <w:rPr>
          <w:i/>
          <w:color w:val="44546A" w:themeColor="text2"/>
          <w:sz w:val="18"/>
        </w:rPr>
      </w:pPr>
      <w:r>
        <w:br w:type="page"/>
      </w:r>
    </w:p>
    <w:p w14:paraId="43E794BC" w14:textId="5053C02F" w:rsidR="001B7AB6" w:rsidRDefault="001B7AB6" w:rsidP="001B7AB6">
      <w:pPr>
        <w:pStyle w:val="TableCaption"/>
      </w:pPr>
      <w:bookmarkStart w:id="39" w:name="_Toc182219861"/>
      <w:r>
        <w:t xml:space="preserve">Table </w:t>
      </w:r>
      <w:r>
        <w:fldChar w:fldCharType="begin"/>
      </w:r>
      <w:r>
        <w:instrText>SEQ tab \* Arabic</w:instrText>
      </w:r>
      <w:r>
        <w:fldChar w:fldCharType="separate"/>
      </w:r>
      <w:r w:rsidR="00F61DCE">
        <w:rPr>
          <w:noProof/>
        </w:rPr>
        <w:t>1</w:t>
      </w:r>
      <w:r>
        <w:fldChar w:fldCharType="end"/>
      </w:r>
      <w:r>
        <w:t>: Performance indicators used in the assessment of the Eastern Zone abalone fishery. LML = Legal Minimum Length.</w:t>
      </w:r>
      <w:bookmarkEnd w:id="39"/>
    </w:p>
    <w:tbl>
      <w:tblPr>
        <w:tblW w:w="0" w:type="auto"/>
        <w:jc w:val="center"/>
        <w:tblLayout w:type="fixed"/>
        <w:tblLook w:val="0420" w:firstRow="1" w:lastRow="0" w:firstColumn="0" w:lastColumn="0" w:noHBand="0" w:noVBand="1"/>
      </w:tblPr>
      <w:tblGrid>
        <w:gridCol w:w="1512"/>
        <w:gridCol w:w="3744"/>
        <w:gridCol w:w="1872"/>
        <w:gridCol w:w="1728"/>
      </w:tblGrid>
      <w:tr w:rsidR="001B7AB6" w14:paraId="33A53D29" w14:textId="77777777" w:rsidTr="00E9281F">
        <w:trPr>
          <w:cantSplit/>
          <w:tblHeader/>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2641C232" w14:textId="77777777" w:rsidR="001B7AB6" w:rsidRDefault="001B7AB6" w:rsidP="00E9281F">
            <w:pPr>
              <w:spacing w:before="100" w:after="100"/>
              <w:ind w:left="100" w:right="100"/>
            </w:pPr>
            <w:r>
              <w:rPr>
                <w:rFonts w:ascii="Helvetica" w:eastAsia="Helvetica" w:hAnsi="Helvetica" w:cs="Helvetica"/>
                <w:color w:val="000000"/>
                <w:sz w:val="18"/>
                <w:szCs w:val="18"/>
              </w:rPr>
              <w:t>Performance Indicator</w:t>
            </w:r>
          </w:p>
        </w:tc>
        <w:tc>
          <w:tcPr>
            <w:tcW w:w="3744"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43C3C018" w14:textId="77777777" w:rsidR="001B7AB6" w:rsidRDefault="001B7AB6" w:rsidP="00E9281F">
            <w:pPr>
              <w:spacing w:before="100" w:after="100"/>
              <w:ind w:left="100" w:right="100"/>
            </w:pPr>
            <w:r>
              <w:rPr>
                <w:rFonts w:ascii="Helvetica" w:eastAsia="Helvetica" w:hAnsi="Helvetica" w:cs="Helvetica"/>
                <w:color w:val="000000"/>
                <w:sz w:val="18"/>
                <w:szCs w:val="18"/>
              </w:rPr>
              <w:t>Description</w:t>
            </w:r>
          </w:p>
        </w:tc>
        <w:tc>
          <w:tcPr>
            <w:tcW w:w="1872"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47AD40F2" w14:textId="77777777" w:rsidR="001B7AB6" w:rsidRDefault="001B7AB6" w:rsidP="00E9281F">
            <w:pPr>
              <w:spacing w:before="100" w:after="100"/>
              <w:ind w:left="100" w:right="100"/>
            </w:pPr>
            <w:r>
              <w:rPr>
                <w:rFonts w:ascii="Helvetica" w:eastAsia="Helvetica" w:hAnsi="Helvetica" w:cs="Helvetica"/>
                <w:color w:val="000000"/>
                <w:sz w:val="18"/>
                <w:szCs w:val="18"/>
              </w:rPr>
              <w:t>Units</w:t>
            </w:r>
          </w:p>
        </w:tc>
        <w:tc>
          <w:tcPr>
            <w:tcW w:w="1728" w:type="dxa"/>
            <w:tcBorders>
              <w:top w:val="single" w:sz="8" w:space="0" w:color="000000"/>
              <w:left w:val="single" w:sz="8" w:space="0" w:color="000000"/>
              <w:bottom w:val="single" w:sz="8" w:space="0" w:color="000000"/>
              <w:right w:val="single" w:sz="8" w:space="0" w:color="000000"/>
            </w:tcBorders>
            <w:shd w:val="clear" w:color="auto" w:fill="D3D3D3"/>
            <w:tcMar>
              <w:top w:w="0" w:type="dxa"/>
              <w:left w:w="0" w:type="dxa"/>
              <w:bottom w:w="0" w:type="dxa"/>
              <w:right w:w="0" w:type="dxa"/>
            </w:tcMar>
            <w:vAlign w:val="center"/>
          </w:tcPr>
          <w:p w14:paraId="5CA150CA" w14:textId="77777777" w:rsidR="001B7AB6" w:rsidRDefault="001B7AB6" w:rsidP="00E9281F">
            <w:pPr>
              <w:spacing w:before="100" w:after="100"/>
              <w:ind w:left="100" w:right="100"/>
            </w:pPr>
            <w:r>
              <w:rPr>
                <w:rFonts w:ascii="Helvetica" w:eastAsia="Helvetica" w:hAnsi="Helvetica" w:cs="Helvetica"/>
                <w:color w:val="000000"/>
                <w:sz w:val="18"/>
                <w:szCs w:val="18"/>
              </w:rPr>
              <w:t>Source and time series</w:t>
            </w:r>
          </w:p>
        </w:tc>
      </w:tr>
      <w:tr w:rsidR="001B7AB6" w14:paraId="28012560" w14:textId="77777777" w:rsidTr="00E9281F">
        <w:trPr>
          <w:cantSplit/>
          <w:jc w:val="center"/>
        </w:trPr>
        <w:tc>
          <w:tcPr>
            <w:tcW w:w="151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281753" w14:textId="77777777" w:rsidR="001B7AB6" w:rsidRDefault="001B7AB6" w:rsidP="00E9281F">
            <w:pPr>
              <w:spacing w:before="100" w:after="100"/>
              <w:ind w:left="100" w:right="100"/>
            </w:pPr>
            <w:r>
              <w:rPr>
                <w:rFonts w:ascii="Helvetica" w:eastAsia="Helvetica" w:hAnsi="Helvetica" w:cs="Helvetica"/>
                <w:color w:val="000000"/>
                <w:sz w:val="18"/>
                <w:szCs w:val="18"/>
              </w:rPr>
              <w:t>Catch</w:t>
            </w:r>
          </w:p>
        </w:tc>
        <w:tc>
          <w:tcPr>
            <w:tcW w:w="374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13A54A" w14:textId="77777777" w:rsidR="001B7AB6" w:rsidRDefault="001B7AB6" w:rsidP="00E9281F">
            <w:pPr>
              <w:spacing w:before="100" w:after="100"/>
              <w:ind w:left="100" w:right="100"/>
            </w:pPr>
            <w:r>
              <w:rPr>
                <w:rFonts w:ascii="Helvetica" w:eastAsia="Helvetica" w:hAnsi="Helvetica" w:cs="Helvetica"/>
                <w:color w:val="000000"/>
                <w:sz w:val="18"/>
                <w:szCs w:val="18"/>
              </w:rPr>
              <w:t>Commercial catch reported at Zonal and SMU scale</w:t>
            </w:r>
          </w:p>
        </w:tc>
        <w:tc>
          <w:tcPr>
            <w:tcW w:w="187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B8F56D" w14:textId="77777777" w:rsidR="001B7AB6" w:rsidRDefault="001B7AB6" w:rsidP="00E9281F">
            <w:pPr>
              <w:spacing w:before="100" w:after="100"/>
              <w:ind w:left="100" w:right="100"/>
            </w:pPr>
            <w:r>
              <w:rPr>
                <w:rFonts w:ascii="Helvetica" w:eastAsia="Helvetica" w:hAnsi="Helvetica" w:cs="Helvetica"/>
                <w:color w:val="000000"/>
                <w:sz w:val="18"/>
                <w:szCs w:val="18"/>
              </w:rPr>
              <w:t>Tonnes</w:t>
            </w:r>
          </w:p>
        </w:tc>
        <w:tc>
          <w:tcPr>
            <w:tcW w:w="172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AC45DD" w14:textId="77777777" w:rsidR="001B7AB6" w:rsidRDefault="001B7AB6" w:rsidP="00E9281F">
            <w:pPr>
              <w:spacing w:before="100" w:after="100"/>
              <w:ind w:left="100" w:right="100"/>
            </w:pPr>
            <w:r>
              <w:rPr>
                <w:rFonts w:ascii="Helvetica" w:eastAsia="Helvetica" w:hAnsi="Helvetica" w:cs="Helvetica"/>
                <w:color w:val="000000"/>
                <w:sz w:val="18"/>
                <w:szCs w:val="18"/>
              </w:rPr>
              <w:t>FA Commercial catch returns 1992 – current</w:t>
            </w:r>
          </w:p>
        </w:tc>
      </w:tr>
      <w:tr w:rsidR="001B7AB6" w14:paraId="1B5D6F5C" w14:textId="77777777" w:rsidTr="00E9281F">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F03918A" w14:textId="77777777" w:rsidR="001B7AB6" w:rsidRDefault="001B7AB6" w:rsidP="00E9281F">
            <w:pPr>
              <w:spacing w:before="100" w:after="100"/>
              <w:ind w:left="100" w:right="100"/>
            </w:pPr>
            <w:r>
              <w:rPr>
                <w:rFonts w:ascii="Helvetica" w:eastAsia="Helvetica" w:hAnsi="Helvetica" w:cs="Helvetica"/>
                <w:color w:val="000000"/>
                <w:sz w:val="18"/>
                <w:szCs w:val="18"/>
              </w:rPr>
              <w:t>Catch per unit effort (CPUE)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6F347C7" w14:textId="77777777" w:rsidR="001B7AB6" w:rsidRDefault="001B7AB6" w:rsidP="00E9281F">
            <w:pPr>
              <w:spacing w:before="100" w:after="100"/>
              <w:ind w:left="100" w:right="100"/>
            </w:pPr>
            <w:r>
              <w:rPr>
                <w:rFonts w:ascii="Helvetica" w:eastAsia="Helvetica" w:hAnsi="Helvetica" w:cs="Helvetica"/>
                <w:color w:val="000000"/>
                <w:sz w:val="18"/>
                <w:szCs w:val="18"/>
              </w:rPr>
              <w:t xml:space="preserve">Catch / Effort for individual fishers.  Average and standard error (nominal only) calculated at Zonal and SMU scale </w:t>
            </w:r>
            <w:r>
              <w:rPr>
                <w:rFonts w:ascii="Helvetica" w:eastAsia="Helvetica" w:hAnsi="Helvetica" w:cs="Helvetica"/>
                <w:color w:val="000000"/>
                <w:sz w:val="18"/>
                <w:szCs w:val="18"/>
              </w:rPr>
              <w:br/>
              <w:t>Used as a proxy indicator of legal biomass Primary and secondary indicator in draft HS</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1585AB" w14:textId="77777777" w:rsidR="001B7AB6" w:rsidRDefault="001B7AB6" w:rsidP="00E9281F">
            <w:pPr>
              <w:spacing w:before="100" w:after="100"/>
              <w:ind w:left="100" w:right="100"/>
            </w:pPr>
            <w:r>
              <w:rPr>
                <w:rFonts w:ascii="Helvetica" w:eastAsia="Helvetica" w:hAnsi="Helvetica" w:cs="Helvetica"/>
                <w:color w:val="000000"/>
                <w:sz w:val="18"/>
                <w:szCs w:val="18"/>
              </w:rPr>
              <w:t xml:space="preserve">Nominal kg/hr </w:t>
            </w:r>
            <w:r>
              <w:rPr>
                <w:rFonts w:ascii="Helvetica" w:eastAsia="Helvetica" w:hAnsi="Helvetica" w:cs="Helvetica"/>
                <w:color w:val="000000"/>
                <w:sz w:val="18"/>
                <w:szCs w:val="18"/>
              </w:rPr>
              <w:br/>
              <w:t>Standardised kg/hr</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B5CBF0" w14:textId="77777777" w:rsidR="001B7AB6" w:rsidRDefault="001B7AB6" w:rsidP="00E9281F">
            <w:pPr>
              <w:spacing w:before="100" w:after="100"/>
              <w:ind w:left="100" w:right="100"/>
            </w:pPr>
            <w:r>
              <w:rPr>
                <w:rFonts w:ascii="Helvetica" w:eastAsia="Helvetica" w:hAnsi="Helvetica" w:cs="Helvetica"/>
                <w:color w:val="000000"/>
                <w:sz w:val="18"/>
                <w:szCs w:val="18"/>
              </w:rPr>
              <w:t>VFA Commercial catch returns 1979 - current</w:t>
            </w:r>
          </w:p>
        </w:tc>
      </w:tr>
      <w:tr w:rsidR="001B7AB6" w14:paraId="46577C47" w14:textId="77777777" w:rsidTr="00E9281F">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85E699" w14:textId="77777777" w:rsidR="001B7AB6" w:rsidRDefault="001B7AB6" w:rsidP="00E9281F">
            <w:pPr>
              <w:spacing w:before="100" w:after="100"/>
              <w:ind w:left="100" w:right="100"/>
            </w:pPr>
            <w:r>
              <w:rPr>
                <w:rFonts w:ascii="Helvetica" w:eastAsia="Helvetica" w:hAnsi="Helvetica" w:cs="Helvetica"/>
                <w:color w:val="000000"/>
                <w:sz w:val="18"/>
                <w:szCs w:val="18"/>
              </w:rPr>
              <w:t>Short and long-term trend analysis of CPUE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EC750B" w14:textId="77777777" w:rsidR="001B7AB6" w:rsidRDefault="001B7AB6" w:rsidP="00E9281F">
            <w:pPr>
              <w:spacing w:before="100" w:after="100"/>
              <w:ind w:left="100" w:right="100"/>
            </w:pPr>
            <w:r>
              <w:rPr>
                <w:rFonts w:ascii="Helvetica" w:eastAsia="Helvetica" w:hAnsi="Helvetica" w:cs="Helvetica"/>
                <w:color w:val="000000"/>
                <w:sz w:val="18"/>
                <w:szCs w:val="18"/>
              </w:rPr>
              <w:t>Objective statistical method used to determine if a change in trend occurs and if the trend is positive, negative, or statistically non-significant</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52EB54" w14:textId="77777777" w:rsidR="001B7AB6" w:rsidRDefault="001B7AB6" w:rsidP="00E9281F">
            <w:pPr>
              <w:spacing w:before="100" w:after="100"/>
              <w:ind w:left="100" w:right="100"/>
            </w:pPr>
            <w:r>
              <w:rPr>
                <w:rFonts w:ascii="Helvetica" w:eastAsia="Helvetica" w:hAnsi="Helvetica" w:cs="Helvetica"/>
                <w:color w:val="000000"/>
                <w:sz w:val="18"/>
                <w:szCs w:val="18"/>
              </w:rPr>
              <w:t xml:space="preserve">Significant or non-significant trend </w:t>
            </w:r>
            <w:r>
              <w:rPr>
                <w:rFonts w:ascii="Helvetica" w:eastAsia="Helvetica" w:hAnsi="Helvetica" w:cs="Helvetica"/>
                <w:color w:val="000000"/>
                <w:sz w:val="18"/>
                <w:szCs w:val="18"/>
              </w:rPr>
              <w:br/>
              <w:t>Positive or negative percentage change</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1AE887" w14:textId="77777777" w:rsidR="001B7AB6" w:rsidRDefault="001B7AB6" w:rsidP="00E9281F">
            <w:pPr>
              <w:spacing w:before="100" w:after="100"/>
              <w:ind w:left="100" w:right="100"/>
            </w:pPr>
            <w:r>
              <w:rPr>
                <w:rFonts w:ascii="Helvetica" w:eastAsia="Helvetica" w:hAnsi="Helvetica" w:cs="Helvetica"/>
                <w:color w:val="000000"/>
                <w:sz w:val="18"/>
                <w:szCs w:val="18"/>
              </w:rPr>
              <w:t>VFA Commercial catch returns 1992 – current</w:t>
            </w:r>
          </w:p>
        </w:tc>
      </w:tr>
      <w:tr w:rsidR="001B7AB6" w14:paraId="34B01AC5" w14:textId="77777777" w:rsidTr="00E9281F">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4785BD" w14:textId="77777777" w:rsidR="001B7AB6" w:rsidRDefault="001B7AB6" w:rsidP="00E9281F">
            <w:pPr>
              <w:spacing w:before="100" w:after="100"/>
              <w:ind w:left="100" w:right="100"/>
            </w:pPr>
            <w:r>
              <w:rPr>
                <w:rFonts w:ascii="Helvetica" w:eastAsia="Helvetica" w:hAnsi="Helvetica" w:cs="Helvetica"/>
                <w:color w:val="000000"/>
                <w:sz w:val="18"/>
                <w:szCs w:val="18"/>
              </w:rPr>
              <w:t>Pre-recruit abundance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E26440" w14:textId="77777777" w:rsidR="001B7AB6" w:rsidRDefault="001B7AB6" w:rsidP="00E9281F">
            <w:pPr>
              <w:spacing w:before="100" w:after="100"/>
              <w:ind w:left="100" w:right="100"/>
            </w:pPr>
            <w:r>
              <w:rPr>
                <w:rFonts w:ascii="Helvetica" w:eastAsia="Helvetica" w:hAnsi="Helvetica" w:cs="Helvetica"/>
                <w:color w:val="000000"/>
                <w:sz w:val="18"/>
                <w:szCs w:val="18"/>
              </w:rPr>
              <w:t xml:space="preserve">Used as an indication of the strength of recruitment. </w:t>
            </w:r>
            <w:r>
              <w:rPr>
                <w:rFonts w:ascii="Helvetica" w:eastAsia="Helvetica" w:hAnsi="Helvetica" w:cs="Helvetica"/>
                <w:color w:val="000000"/>
                <w:sz w:val="18"/>
                <w:szCs w:val="18"/>
              </w:rPr>
              <w:br/>
              <w:t>Tertiary indicator in draft HS</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2CB4C1" w14:textId="77777777" w:rsidR="001B7AB6" w:rsidRDefault="001B7AB6" w:rsidP="00E9281F">
            <w:pPr>
              <w:spacing w:before="100" w:after="100"/>
              <w:ind w:left="100" w:right="100"/>
            </w:pPr>
            <w:r>
              <w:rPr>
                <w:rFonts w:ascii="Helvetica" w:eastAsia="Helvetica" w:hAnsi="Helvetica" w:cs="Helvetica"/>
                <w:color w:val="000000"/>
                <w:sz w:val="18"/>
                <w:szCs w:val="18"/>
              </w:rPr>
              <w:t>Average number of abalone per 30 m transect. Nominal and Standardised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11F3138" w14:textId="77777777" w:rsidR="001B7AB6" w:rsidRDefault="001B7AB6" w:rsidP="00E9281F">
            <w:pPr>
              <w:spacing w:before="100" w:after="100"/>
              <w:ind w:left="100" w:right="100"/>
            </w:pPr>
            <w:r>
              <w:rPr>
                <w:rFonts w:ascii="Helvetica" w:eastAsia="Helvetica" w:hAnsi="Helvetica" w:cs="Helvetica"/>
                <w:color w:val="000000"/>
                <w:sz w:val="18"/>
                <w:szCs w:val="18"/>
              </w:rPr>
              <w:t>VFA FIS 1992-current</w:t>
            </w:r>
          </w:p>
        </w:tc>
      </w:tr>
      <w:tr w:rsidR="001B7AB6" w14:paraId="4895300F" w14:textId="77777777" w:rsidTr="00E9281F">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FFC0D8" w14:textId="77777777" w:rsidR="001B7AB6" w:rsidRDefault="001B7AB6" w:rsidP="00E9281F">
            <w:pPr>
              <w:spacing w:before="100" w:after="100"/>
              <w:ind w:left="100" w:right="100"/>
            </w:pPr>
            <w:r>
              <w:rPr>
                <w:rFonts w:ascii="Helvetica" w:eastAsia="Helvetica" w:hAnsi="Helvetica" w:cs="Helvetica"/>
                <w:color w:val="000000"/>
                <w:sz w:val="18"/>
                <w:szCs w:val="18"/>
              </w:rPr>
              <w:t>Recruit abundance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96110A" w14:textId="77777777" w:rsidR="001B7AB6" w:rsidRDefault="001B7AB6" w:rsidP="00E9281F">
            <w:pPr>
              <w:spacing w:before="100" w:after="100"/>
              <w:ind w:left="100" w:right="100"/>
            </w:pPr>
            <w:r>
              <w:rPr>
                <w:rFonts w:ascii="Helvetica" w:eastAsia="Helvetica" w:hAnsi="Helvetica" w:cs="Helvetica"/>
                <w:color w:val="000000"/>
                <w:sz w:val="18"/>
                <w:szCs w:val="18"/>
              </w:rPr>
              <w:t>Used as an indicator of adult abundance</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1855B3" w14:textId="77777777" w:rsidR="001B7AB6" w:rsidRDefault="001B7AB6" w:rsidP="00E9281F">
            <w:pPr>
              <w:spacing w:before="100" w:after="100"/>
              <w:ind w:left="100" w:right="100"/>
            </w:pPr>
            <w:r>
              <w:rPr>
                <w:rFonts w:ascii="Helvetica" w:eastAsia="Helvetica" w:hAnsi="Helvetica" w:cs="Helvetica"/>
                <w:color w:val="000000"/>
                <w:sz w:val="18"/>
                <w:szCs w:val="18"/>
              </w:rPr>
              <w:t>Average number of abalone per 30 m transect. Nominal and Standardised</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9C55D2" w14:textId="77777777" w:rsidR="001B7AB6" w:rsidRDefault="001B7AB6" w:rsidP="00E9281F">
            <w:pPr>
              <w:spacing w:before="100" w:after="100"/>
              <w:ind w:left="100" w:right="100"/>
            </w:pPr>
            <w:r>
              <w:rPr>
                <w:rFonts w:ascii="Helvetica" w:eastAsia="Helvetica" w:hAnsi="Helvetica" w:cs="Helvetica"/>
                <w:color w:val="000000"/>
                <w:sz w:val="18"/>
                <w:szCs w:val="18"/>
              </w:rPr>
              <w:t>VFA FIS 1992-current</w:t>
            </w:r>
          </w:p>
        </w:tc>
      </w:tr>
      <w:tr w:rsidR="001B7AB6" w14:paraId="606EEC8C" w14:textId="77777777" w:rsidTr="00E9281F">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617D9A" w14:textId="77777777" w:rsidR="001B7AB6" w:rsidRDefault="001B7AB6" w:rsidP="00E9281F">
            <w:pPr>
              <w:spacing w:before="100" w:after="100"/>
              <w:ind w:left="100" w:right="100"/>
            </w:pPr>
            <w:r>
              <w:rPr>
                <w:rFonts w:ascii="Helvetica" w:eastAsia="Helvetica" w:hAnsi="Helvetica" w:cs="Helvetica"/>
                <w:color w:val="000000"/>
                <w:sz w:val="18"/>
                <w:szCs w:val="18"/>
              </w:rPr>
              <w:t>Short and long-term trend analysis of pre-recruit and recruit abundance</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1C41BB" w14:textId="77777777" w:rsidR="001B7AB6" w:rsidRDefault="001B7AB6" w:rsidP="00E9281F">
            <w:pPr>
              <w:spacing w:before="100" w:after="100"/>
              <w:ind w:left="100" w:right="100"/>
            </w:pPr>
            <w:r>
              <w:rPr>
                <w:rFonts w:ascii="Helvetica" w:eastAsia="Helvetica" w:hAnsi="Helvetica" w:cs="Helvetica"/>
                <w:color w:val="000000"/>
                <w:sz w:val="18"/>
                <w:szCs w:val="18"/>
              </w:rPr>
              <w:t>Objective statistical method used to determine if a change in trend occurs and if the trend is positive, negative, or statistically non-significant</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127308" w14:textId="77777777" w:rsidR="001B7AB6" w:rsidRDefault="001B7AB6" w:rsidP="00E9281F">
            <w:pPr>
              <w:spacing w:before="100" w:after="100"/>
              <w:ind w:left="100" w:right="100"/>
            </w:pPr>
            <w:r>
              <w:rPr>
                <w:rFonts w:ascii="Helvetica" w:eastAsia="Helvetica" w:hAnsi="Helvetica" w:cs="Helvetica"/>
                <w:color w:val="000000"/>
                <w:sz w:val="18"/>
                <w:szCs w:val="18"/>
              </w:rPr>
              <w:t xml:space="preserve">Significant or non-significant trend </w:t>
            </w:r>
            <w:r>
              <w:rPr>
                <w:rFonts w:ascii="Helvetica" w:eastAsia="Helvetica" w:hAnsi="Helvetica" w:cs="Helvetica"/>
                <w:color w:val="000000"/>
                <w:sz w:val="18"/>
                <w:szCs w:val="18"/>
              </w:rPr>
              <w:br/>
              <w:t>Positive or negative percentage change</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D3DA6A" w14:textId="77777777" w:rsidR="001B7AB6" w:rsidRDefault="001B7AB6" w:rsidP="00E9281F">
            <w:pPr>
              <w:spacing w:before="100" w:after="100"/>
              <w:ind w:left="100" w:right="100"/>
            </w:pPr>
            <w:r>
              <w:rPr>
                <w:rFonts w:ascii="Helvetica" w:eastAsia="Helvetica" w:hAnsi="Helvetica" w:cs="Helvetica"/>
                <w:color w:val="000000"/>
                <w:sz w:val="18"/>
                <w:szCs w:val="18"/>
              </w:rPr>
              <w:t>VFA FIS 1992-current</w:t>
            </w:r>
          </w:p>
        </w:tc>
      </w:tr>
      <w:tr w:rsidR="001B7AB6" w14:paraId="6AFFB3A4" w14:textId="77777777" w:rsidTr="00E9281F">
        <w:trPr>
          <w:cantSplit/>
          <w:jc w:val="center"/>
        </w:trPr>
        <w:tc>
          <w:tcPr>
            <w:tcW w:w="15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75A11C" w14:textId="77777777" w:rsidR="001B7AB6" w:rsidRDefault="001B7AB6" w:rsidP="00E9281F">
            <w:pPr>
              <w:spacing w:before="100" w:after="100"/>
              <w:ind w:left="100" w:right="100"/>
            </w:pPr>
            <w:r>
              <w:rPr>
                <w:rFonts w:ascii="Helvetica" w:eastAsia="Helvetica" w:hAnsi="Helvetica" w:cs="Helvetica"/>
                <w:color w:val="000000"/>
                <w:sz w:val="18"/>
                <w:szCs w:val="18"/>
              </w:rPr>
              <w:t>Length frequency statistics (FIS)</w:t>
            </w:r>
          </w:p>
        </w:tc>
        <w:tc>
          <w:tcPr>
            <w:tcW w:w="3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B27861" w14:textId="77777777" w:rsidR="001B7AB6" w:rsidRDefault="001B7AB6" w:rsidP="00E9281F">
            <w:pPr>
              <w:spacing w:before="100" w:after="100"/>
              <w:ind w:left="100" w:right="100"/>
            </w:pPr>
            <w:r>
              <w:rPr>
                <w:rFonts w:ascii="Helvetica" w:eastAsia="Helvetica" w:hAnsi="Helvetica" w:cs="Helvetica"/>
                <w:color w:val="000000"/>
                <w:sz w:val="18"/>
                <w:szCs w:val="18"/>
              </w:rPr>
              <w:t>Used to show changes in size composition of the abalone populations at Zone/ SMU relative to the LML from survey data</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C0E679" w14:textId="77777777" w:rsidR="001B7AB6" w:rsidRDefault="001B7AB6" w:rsidP="00E9281F">
            <w:pPr>
              <w:spacing w:before="100" w:after="100"/>
              <w:ind w:left="100" w:right="100"/>
            </w:pPr>
            <w:r>
              <w:rPr>
                <w:rFonts w:ascii="Helvetica" w:eastAsia="Helvetica" w:hAnsi="Helvetica" w:cs="Helvetica"/>
                <w:color w:val="000000"/>
                <w:sz w:val="18"/>
                <w:szCs w:val="18"/>
              </w:rPr>
              <w:t xml:space="preserve">%&lt;LML </w:t>
            </w:r>
            <w:r>
              <w:rPr>
                <w:rFonts w:ascii="Helvetica" w:eastAsia="Helvetica" w:hAnsi="Helvetica" w:cs="Helvetica"/>
                <w:color w:val="000000"/>
                <w:sz w:val="18"/>
                <w:szCs w:val="18"/>
              </w:rPr>
              <w:br/>
              <w:t>Median calculated as the mid-point of the length distribution</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568381" w14:textId="77777777" w:rsidR="001B7AB6" w:rsidRDefault="001B7AB6" w:rsidP="00E9281F">
            <w:pPr>
              <w:spacing w:before="100" w:after="100"/>
              <w:ind w:left="100" w:right="100"/>
            </w:pPr>
            <w:r>
              <w:rPr>
                <w:rFonts w:ascii="Helvetica" w:eastAsia="Helvetica" w:hAnsi="Helvetica" w:cs="Helvetica"/>
                <w:color w:val="000000"/>
                <w:sz w:val="18"/>
                <w:szCs w:val="18"/>
              </w:rPr>
              <w:t>VFA FIS 2003-current</w:t>
            </w:r>
          </w:p>
        </w:tc>
      </w:tr>
    </w:tbl>
    <w:p w14:paraId="6E9B9B3A" w14:textId="77777777" w:rsidR="001B7AB6" w:rsidRDefault="001B7AB6" w:rsidP="001B7AB6"/>
    <w:p w14:paraId="7F514FDE" w14:textId="77777777" w:rsidR="006159D9" w:rsidRDefault="006159D9" w:rsidP="006159D9">
      <w:pPr>
        <w:pStyle w:val="Heading4"/>
      </w:pPr>
      <w:bookmarkStart w:id="40" w:name="_Toc149152863"/>
      <w:bookmarkStart w:id="41" w:name="_Toc150423168"/>
      <w:bookmarkStart w:id="42" w:name="_Toc182219896"/>
      <w:r>
        <w:t>Weight of evidence</w:t>
      </w:r>
      <w:bookmarkEnd w:id="40"/>
      <w:bookmarkEnd w:id="41"/>
      <w:bookmarkEnd w:id="42"/>
    </w:p>
    <w:p w14:paraId="6D71FED1" w14:textId="00F4B699" w:rsidR="006159D9" w:rsidRDefault="006159D9" w:rsidP="006159D9">
      <w:r>
        <w:t xml:space="preserve">The second approach </w:t>
      </w:r>
      <w:r w:rsidR="004C4D6C">
        <w:t xml:space="preserve">used </w:t>
      </w:r>
      <w:r>
        <w:t xml:space="preserve">to assess stock status is the weight of evidence approach that considers all sources of available scientific data. </w:t>
      </w:r>
      <w:r w:rsidR="00CA132B">
        <w:t>F</w:t>
      </w:r>
      <w:r>
        <w:t xml:space="preserve">or the Eastern Zone these data sources include catch, effort, CPUE data, FIS abundance and size-structure, as well as size structure of the commercial catch. </w:t>
      </w:r>
      <w:r w:rsidR="004C4D6C">
        <w:t>Note that formal weightings to each of these data sources has not been agreed, thus t</w:t>
      </w:r>
      <w:r w:rsidR="004701BD">
        <w:t xml:space="preserve">rends in all these data sources are considered subjectively </w:t>
      </w:r>
      <w:r w:rsidR="004C4D6C">
        <w:t xml:space="preserve">in an overall manner </w:t>
      </w:r>
      <w:r w:rsidR="004701BD">
        <w:t xml:space="preserve">to determine a likely stock status. </w:t>
      </w:r>
      <w:r>
        <w:t>Future assessments need to integrate additional data sources into the weight of evidence approach, in particular data collected from new FIS sites and data collected through the commercial data logger program</w:t>
      </w:r>
      <w:r w:rsidR="004C4D6C">
        <w:t>s (VMS, length-frequency and depth data)</w:t>
      </w:r>
      <w:r>
        <w:t>.</w:t>
      </w:r>
    </w:p>
    <w:p w14:paraId="2EC20245" w14:textId="77777777" w:rsidR="006159D9" w:rsidRPr="006159D9" w:rsidRDefault="001B7AB6" w:rsidP="006159D9">
      <w:pPr>
        <w:pStyle w:val="Heading4"/>
      </w:pPr>
      <w:bookmarkStart w:id="43" w:name="_Toc149152864"/>
      <w:bookmarkStart w:id="44" w:name="_Toc150423169"/>
      <w:bookmarkStart w:id="45" w:name="_Toc182219897"/>
      <w:r w:rsidRPr="006159D9">
        <w:t>Draft Harvest Strategy</w:t>
      </w:r>
      <w:bookmarkEnd w:id="43"/>
      <w:bookmarkEnd w:id="44"/>
      <w:bookmarkEnd w:id="45"/>
      <w:r w:rsidRPr="006159D9">
        <w:t xml:space="preserve"> </w:t>
      </w:r>
    </w:p>
    <w:p w14:paraId="2859AC12" w14:textId="470DC0B5" w:rsidR="001B7AB6" w:rsidRDefault="001B7AB6" w:rsidP="001B7AB6">
      <w:r>
        <w:t xml:space="preserve">A Draft Harvest Strategy has been developed for the Victorian Abalone Fishery (Central and Eastern Zones) and a summary of the </w:t>
      </w:r>
      <w:r w:rsidR="00062AFC">
        <w:t>2023/24</w:t>
      </w:r>
      <w:r>
        <w:t xml:space="preserve"> results is provided </w:t>
      </w:r>
      <w:r w:rsidR="004701BD">
        <w:t xml:space="preserve">in </w:t>
      </w:r>
      <w:r w:rsidR="004701BD" w:rsidRPr="00A20F7B">
        <w:t xml:space="preserve">Section </w:t>
      </w:r>
      <w:r w:rsidR="00A20F7B" w:rsidRPr="00A20F7B">
        <w:t>3</w:t>
      </w:r>
      <w:r w:rsidR="00A20F7B">
        <w:t>.2.3</w:t>
      </w:r>
      <w:r>
        <w:t xml:space="preserve">. </w:t>
      </w:r>
      <w:r w:rsidR="002335A0">
        <w:t>It</w:t>
      </w:r>
      <w:r>
        <w:t xml:space="preserve"> comprises operational objectives, performance indicators, reference levels and decision (or control) rules which directly link to TACC setting. The Draft Harvest Strategy requires further validation before it is formally integrated into the TACC setting process. In this report, we </w:t>
      </w:r>
      <w:r w:rsidR="004701BD">
        <w:t xml:space="preserve">compare the </w:t>
      </w:r>
      <w:r>
        <w:t xml:space="preserve">independent </w:t>
      </w:r>
      <w:r w:rsidR="004701BD">
        <w:t xml:space="preserve">weight of evidence </w:t>
      </w:r>
      <w:r>
        <w:t>assessment of stock status at the SMU scale</w:t>
      </w:r>
      <w:r w:rsidR="004701BD">
        <w:t xml:space="preserve"> with </w:t>
      </w:r>
      <w:r>
        <w:t>the outcomes of the Draft Harvest Strategy.</w:t>
      </w:r>
    </w:p>
    <w:p w14:paraId="132B05E9" w14:textId="3CE91F3F" w:rsidR="001B7AB6" w:rsidRDefault="001B7AB6" w:rsidP="001B7AB6">
      <w:r>
        <w:t xml:space="preserve">Both the </w:t>
      </w:r>
      <w:r w:rsidR="00A71AFB">
        <w:t>s</w:t>
      </w:r>
      <w:r>
        <w:t xml:space="preserve">tock </w:t>
      </w:r>
      <w:r w:rsidR="00A71AFB">
        <w:t>a</w:t>
      </w:r>
      <w:r>
        <w:t xml:space="preserve">ssessment and Draft Harvest Strategy results are presented at the annual TACC setting workshop. The TACC will continue to be set this year based upon a ‘bottom up’ multiple lines of evidence approach as detailed in the Management Plan. Catch targets for each SMU are to be reviewed during the annual workshops and these will directly influence the recommended TACC for the following season. </w:t>
      </w:r>
    </w:p>
    <w:p w14:paraId="713B3C0B" w14:textId="77777777" w:rsidR="001F7553" w:rsidRDefault="001F7553" w:rsidP="001F7553">
      <w:pPr>
        <w:pStyle w:val="Heading2"/>
        <w:numPr>
          <w:ilvl w:val="1"/>
          <w:numId w:val="7"/>
        </w:numPr>
        <w:ind w:left="709" w:hanging="709"/>
      </w:pPr>
      <w:bookmarkStart w:id="46" w:name="_Toc182219898"/>
      <w:bookmarkEnd w:id="35"/>
      <w:r>
        <w:t>Quality Control</w:t>
      </w:r>
      <w:bookmarkEnd w:id="46"/>
    </w:p>
    <w:p w14:paraId="1A995FF7" w14:textId="16958441" w:rsidR="00C70DC4" w:rsidRDefault="00C70DC4" w:rsidP="005C04E4">
      <w:r>
        <w:t xml:space="preserve">Raw catch effort and CPUE data were received by MRAG Asia Pacific on </w:t>
      </w:r>
      <w:r w:rsidR="00E53E88">
        <w:t>10</w:t>
      </w:r>
      <w:r w:rsidR="005828DC">
        <w:t xml:space="preserve"> September</w:t>
      </w:r>
      <w:r>
        <w:t xml:space="preserve"> 202</w:t>
      </w:r>
      <w:r w:rsidR="00E53E88">
        <w:t>4</w:t>
      </w:r>
      <w:r>
        <w:t xml:space="preserve">. </w:t>
      </w:r>
      <w:r w:rsidR="005C04E4">
        <w:t>D</w:t>
      </w:r>
      <w:r>
        <w:t xml:space="preserve">ata were provided by VFA in a validated form. </w:t>
      </w:r>
    </w:p>
    <w:p w14:paraId="2626FA04" w14:textId="47C874A5" w:rsidR="003F0490" w:rsidRDefault="005828DC" w:rsidP="005C04E4">
      <w:r>
        <w:t xml:space="preserve">Raw FIS data </w:t>
      </w:r>
      <w:r w:rsidR="00E53E88">
        <w:t xml:space="preserve">were provided on 16 August 2024 for the Mallacoota region, and 4 November 2024 for the Marlo region. </w:t>
      </w:r>
    </w:p>
    <w:p w14:paraId="7073D34B" w14:textId="742D1263" w:rsidR="00E53E88" w:rsidRDefault="00E53E88" w:rsidP="005C04E4">
      <w:r>
        <w:t xml:space="preserve">The new CPUE standardisation model was developed by Jake Lowe (MRAG) and Duncan Worthington (AMBRAD) and was coded into the R Script by Jake Lowe. </w:t>
      </w:r>
    </w:p>
    <w:p w14:paraId="1B91DD15" w14:textId="462CF6E4" w:rsidR="00295D95" w:rsidRDefault="00295D95" w:rsidP="005C04E4">
      <w:r>
        <w:t xml:space="preserve">MRAG AP manages all data under </w:t>
      </w:r>
      <w:r w:rsidRPr="00295D95">
        <w:t xml:space="preserve">an ISO 9001 certified Quality Management System (QMS).  </w:t>
      </w:r>
    </w:p>
    <w:p w14:paraId="49007D51" w14:textId="77777777" w:rsidR="00C70DC4" w:rsidRDefault="00C70DC4" w:rsidP="00C70DC4">
      <w:r>
        <w:br w:type="page"/>
      </w:r>
    </w:p>
    <w:p w14:paraId="32D4588E" w14:textId="77777777" w:rsidR="00C70DC4" w:rsidRDefault="00C70DC4" w:rsidP="006561A1">
      <w:pPr>
        <w:pStyle w:val="Heading1"/>
        <w:numPr>
          <w:ilvl w:val="0"/>
          <w:numId w:val="7"/>
        </w:numPr>
        <w:ind w:left="0" w:firstLine="0"/>
      </w:pPr>
      <w:bookmarkStart w:id="47" w:name="_Toc182219899"/>
      <w:bookmarkStart w:id="48" w:name="results"/>
      <w:bookmarkEnd w:id="14"/>
      <w:bookmarkEnd w:id="16"/>
      <w:r>
        <w:t>Results</w:t>
      </w:r>
      <w:bookmarkEnd w:id="47"/>
    </w:p>
    <w:p w14:paraId="1D4836D3" w14:textId="77777777" w:rsidR="00BB462C" w:rsidRDefault="00BB462C" w:rsidP="00BB462C">
      <w:pPr>
        <w:pStyle w:val="Heading2"/>
        <w:numPr>
          <w:ilvl w:val="1"/>
          <w:numId w:val="7"/>
        </w:numPr>
        <w:ind w:left="709" w:hanging="709"/>
      </w:pPr>
      <w:bookmarkStart w:id="49" w:name="_Toc182219900"/>
      <w:r>
        <w:t>Eastern Zone Blacklip Assessment</w:t>
      </w:r>
      <w:bookmarkEnd w:id="49"/>
    </w:p>
    <w:p w14:paraId="70049E7B" w14:textId="0271F242" w:rsidR="00805B68" w:rsidRDefault="00805B68" w:rsidP="00A77A9D">
      <w:pPr>
        <w:pStyle w:val="Heading3"/>
      </w:pPr>
      <w:bookmarkStart w:id="50" w:name="_Toc182219901"/>
      <w:r>
        <w:t>Catch</w:t>
      </w:r>
      <w:r w:rsidR="004701BD">
        <w:t xml:space="preserve"> and effort</w:t>
      </w:r>
      <w:bookmarkEnd w:id="50"/>
    </w:p>
    <w:p w14:paraId="0C644866" w14:textId="50553202" w:rsidR="00805B68" w:rsidRDefault="005A7671" w:rsidP="00BB462C">
      <w:r>
        <w:t xml:space="preserve">The Eastern Zone fishery commenced in 1962 (Gorfine et al 2008), however daily logbooks were not introduced until January 1969. </w:t>
      </w:r>
      <w:r w:rsidR="0030452F">
        <w:t xml:space="preserve">As a result, figure 2 shows a catch of only </w:t>
      </w:r>
      <w:r w:rsidR="00302A5E">
        <w:t>200 t in 1968</w:t>
      </w:r>
      <w:r w:rsidR="004701BD">
        <w:t xml:space="preserve"> (i.e. 1968/69 quota year)</w:t>
      </w:r>
      <w:r w:rsidR="006F4CAA">
        <w:t xml:space="preserve"> </w:t>
      </w:r>
      <w:r w:rsidR="0030452F">
        <w:t xml:space="preserve">because it </w:t>
      </w:r>
      <w:r w:rsidR="006F4CAA">
        <w:t xml:space="preserve">included only </w:t>
      </w:r>
      <w:r w:rsidR="0030452F">
        <w:t xml:space="preserve">catches </w:t>
      </w:r>
      <w:r w:rsidR="006F4CAA">
        <w:t>from 1 January to 30 March 1969.</w:t>
      </w:r>
      <w:r w:rsidR="00302A5E">
        <w:t xml:space="preserve"> </w:t>
      </w:r>
      <w:r w:rsidR="006F4CAA">
        <w:t xml:space="preserve">Catches exceeded </w:t>
      </w:r>
      <w:r w:rsidR="00302A5E">
        <w:t>700 t in 1969, 1970 and 1972</w:t>
      </w:r>
      <w:r w:rsidR="006F4CAA">
        <w:t xml:space="preserve"> before </w:t>
      </w:r>
      <w:r w:rsidR="00B56A2C">
        <w:t>declin</w:t>
      </w:r>
      <w:r w:rsidR="006F4CAA">
        <w:t>ing</w:t>
      </w:r>
      <w:r w:rsidR="00B56A2C">
        <w:t xml:space="preserve"> rapidly to below 400 t in 1977</w:t>
      </w:r>
      <w:r w:rsidR="006F4CAA">
        <w:t xml:space="preserve">. An increase to around 550 t in 1979 was immediately followed by another decline to </w:t>
      </w:r>
      <w:r w:rsidR="00B56A2C">
        <w:t>around 400 t in 1982. Catches remained around 550 t from 1983 to 1987 before the introduction of quota in 1988. Catches remained relatively stable until 2002 before an increase in quota led to higher catches until 2008. Thereafter, catches (and quotas) have generally declined. Currently</w:t>
      </w:r>
      <w:r w:rsidR="006F4CAA">
        <w:t>,</w:t>
      </w:r>
      <w:r w:rsidR="00B56A2C">
        <w:t xml:space="preserve"> reported catch is </w:t>
      </w:r>
      <w:r w:rsidR="00102EF5">
        <w:t xml:space="preserve">around 40% </w:t>
      </w:r>
      <w:r w:rsidR="00B56A2C">
        <w:t xml:space="preserve">of the </w:t>
      </w:r>
      <w:r w:rsidR="009B3DFC">
        <w:t xml:space="preserve">1970 </w:t>
      </w:r>
      <w:r w:rsidR="00B56A2C">
        <w:t>peak.</w:t>
      </w:r>
      <w:r w:rsidR="00102EF5">
        <w:t xml:space="preserve"> The total catch in 2023/24 was 284.5 t, which was almost 100% the TACC of 284.6 t. This was a decrease of 14% compared to the previous years’ catch (330 t).</w:t>
      </w:r>
    </w:p>
    <w:p w14:paraId="6C32B3A5" w14:textId="76C1C079" w:rsidR="00B56A2C" w:rsidRDefault="00B56A2C" w:rsidP="00BB462C">
      <w:r>
        <w:t>Dive effort peaked around 600,000 minutes in the early part of the fishery (1969 to 1973) and fluctuated thereafter until the introduction of quota</w:t>
      </w:r>
      <w:r w:rsidR="004C4D6C">
        <w:t xml:space="preserve"> in 1988</w:t>
      </w:r>
      <w:r>
        <w:t>. Thereafter</w:t>
      </w:r>
      <w:r w:rsidR="00A71AFB">
        <w:t>,</w:t>
      </w:r>
      <w:r>
        <w:t xml:space="preserve"> effort has generally declined, reaching a historic low in 2019 and 2020 due primarily to impacts from Covid-19 on markets. Currently</w:t>
      </w:r>
      <w:r w:rsidR="00C407A6">
        <w:t>,</w:t>
      </w:r>
      <w:r>
        <w:t xml:space="preserve"> reported effort is </w:t>
      </w:r>
      <w:r w:rsidR="00102EF5">
        <w:t xml:space="preserve">around 30% </w:t>
      </w:r>
      <w:r>
        <w:t xml:space="preserve">of the historic peak. </w:t>
      </w:r>
    </w:p>
    <w:p w14:paraId="69E17448" w14:textId="1DA6C2A8" w:rsidR="00D64941" w:rsidRDefault="00404F26" w:rsidP="00BB462C">
      <w:r w:rsidRPr="00404F26">
        <w:rPr>
          <w:noProof/>
        </w:rPr>
        <w:drawing>
          <wp:inline distT="0" distB="0" distL="0" distR="0" wp14:anchorId="21866260" wp14:editId="0FD99344">
            <wp:extent cx="5731510" cy="3528060"/>
            <wp:effectExtent l="0" t="0" r="2540" b="0"/>
            <wp:docPr id="78657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77644" name=""/>
                    <pic:cNvPicPr/>
                  </pic:nvPicPr>
                  <pic:blipFill>
                    <a:blip r:embed="rId20"/>
                    <a:stretch>
                      <a:fillRect/>
                    </a:stretch>
                  </pic:blipFill>
                  <pic:spPr>
                    <a:xfrm>
                      <a:off x="0" y="0"/>
                      <a:ext cx="5731510" cy="3528060"/>
                    </a:xfrm>
                    <a:prstGeom prst="rect">
                      <a:avLst/>
                    </a:prstGeom>
                  </pic:spPr>
                </pic:pic>
              </a:graphicData>
            </a:graphic>
          </wp:inline>
        </w:drawing>
      </w:r>
    </w:p>
    <w:p w14:paraId="30651365" w14:textId="02EF3DE5" w:rsidR="00302A5E" w:rsidRDefault="00302A5E" w:rsidP="005C49F6">
      <w:pPr>
        <w:pStyle w:val="Caption"/>
      </w:pPr>
      <w:bookmarkStart w:id="51" w:name="_Toc182219803"/>
      <w:r>
        <w:t>Figure 2: Historic catch (t) and effort (minutes) from 1968 to 202</w:t>
      </w:r>
      <w:r w:rsidR="005273C4">
        <w:t>3</w:t>
      </w:r>
      <w:r>
        <w:t xml:space="preserve">. Quota was introduced in 1988 with the </w:t>
      </w:r>
      <w:r w:rsidR="001A087B">
        <w:t>quota year</w:t>
      </w:r>
      <w:r>
        <w:t xml:space="preserve"> running from April to March. Data are reported in quota years.</w:t>
      </w:r>
      <w:bookmarkEnd w:id="51"/>
    </w:p>
    <w:p w14:paraId="3FE842F8" w14:textId="7CF465C6" w:rsidR="00302A5E" w:rsidRDefault="001A087B" w:rsidP="00BB462C">
      <w:r>
        <w:t>Mean daily catch ranged from 300-350 kg per day from 1979 to the introduction of quota in 1988 before increasing to a peak of around 470 kg per day in 1996</w:t>
      </w:r>
      <w:r w:rsidR="001F7553">
        <w:t xml:space="preserve"> (Figure 3)</w:t>
      </w:r>
      <w:r>
        <w:t xml:space="preserve">. Mean daily catches were relatively stable </w:t>
      </w:r>
      <w:r w:rsidR="00692774">
        <w:t xml:space="preserve">for the next 16 years but declined from 450 kg per day in 2012 to 380 kg per day in 2015 before recovering again from 2017 to 2019 at around 440 kg per day. </w:t>
      </w:r>
      <w:r w:rsidR="006E7FDB">
        <w:t xml:space="preserve">Section 4 includes discussion on the impacts of market forces on mean daily catch. </w:t>
      </w:r>
      <w:r w:rsidR="00692774">
        <w:t xml:space="preserve">Impacts from Covid-19 </w:t>
      </w:r>
      <w:r w:rsidR="006E7FDB">
        <w:t>on the market have resulted in daily catch limits being imposed that influence the interpretation of mean daily catch estimates</w:t>
      </w:r>
      <w:r w:rsidR="00516521">
        <w:t xml:space="preserve"> from 2020 onward.</w:t>
      </w:r>
      <w:r>
        <w:t xml:space="preserve"> </w:t>
      </w:r>
    </w:p>
    <w:p w14:paraId="4BCF97E9" w14:textId="28004110" w:rsidR="00302A5E" w:rsidRDefault="00CD167E" w:rsidP="001F7553">
      <w:pPr>
        <w:jc w:val="center"/>
      </w:pPr>
      <w:r w:rsidRPr="00CD167E">
        <w:rPr>
          <w:noProof/>
        </w:rPr>
        <w:drawing>
          <wp:inline distT="0" distB="0" distL="0" distR="0" wp14:anchorId="23703CCC" wp14:editId="367C30F4">
            <wp:extent cx="5455920" cy="3525252"/>
            <wp:effectExtent l="0" t="0" r="0" b="0"/>
            <wp:docPr id="16780512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7524" b="3288"/>
                    <a:stretch/>
                  </pic:blipFill>
                  <pic:spPr bwMode="auto">
                    <a:xfrm>
                      <a:off x="0" y="0"/>
                      <a:ext cx="5463472" cy="3530132"/>
                    </a:xfrm>
                    <a:prstGeom prst="rect">
                      <a:avLst/>
                    </a:prstGeom>
                    <a:noFill/>
                    <a:ln>
                      <a:noFill/>
                    </a:ln>
                    <a:extLst>
                      <a:ext uri="{53640926-AAD7-44D8-BBD7-CCE9431645EC}">
                        <a14:shadowObscured xmlns:a14="http://schemas.microsoft.com/office/drawing/2010/main"/>
                      </a:ext>
                    </a:extLst>
                  </pic:spPr>
                </pic:pic>
              </a:graphicData>
            </a:graphic>
          </wp:inline>
        </w:drawing>
      </w:r>
    </w:p>
    <w:p w14:paraId="5ABD88E5" w14:textId="6E963BA9" w:rsidR="00B56A2C" w:rsidRDefault="00B56A2C" w:rsidP="005C49F6">
      <w:pPr>
        <w:pStyle w:val="Caption"/>
      </w:pPr>
      <w:bookmarkStart w:id="52" w:name="_Toc182219804"/>
      <w:r>
        <w:t xml:space="preserve">Figure 3: Historic catch (t) and </w:t>
      </w:r>
      <w:r w:rsidR="00060DB3">
        <w:t xml:space="preserve">mean daily catch (kg per fishing day +/- </w:t>
      </w:r>
      <w:r w:rsidR="00141870">
        <w:t>SE</w:t>
      </w:r>
      <w:r w:rsidR="00060DB3">
        <w:t>)</w:t>
      </w:r>
      <w:r>
        <w:t xml:space="preserve"> from 19</w:t>
      </w:r>
      <w:r w:rsidR="00060DB3">
        <w:t>79</w:t>
      </w:r>
      <w:r>
        <w:t xml:space="preserve"> to 202</w:t>
      </w:r>
      <w:r w:rsidR="00CD167E">
        <w:t>3</w:t>
      </w:r>
      <w:r>
        <w:t xml:space="preserve">. Quota was introduced in 1988 with the </w:t>
      </w:r>
      <w:r w:rsidR="001A087B">
        <w:t xml:space="preserve">quota year </w:t>
      </w:r>
      <w:r>
        <w:t>running from April to March. Data are reported in quota years.</w:t>
      </w:r>
      <w:bookmarkEnd w:id="52"/>
    </w:p>
    <w:p w14:paraId="411A728D" w14:textId="725DD924" w:rsidR="00805B68" w:rsidRPr="002A2BA1" w:rsidRDefault="00692774" w:rsidP="00A77A9D">
      <w:pPr>
        <w:pStyle w:val="Heading3"/>
      </w:pPr>
      <w:bookmarkStart w:id="53" w:name="_Toc182219902"/>
      <w:r w:rsidRPr="002A2BA1">
        <w:t>Catch per unit effort (CPUE</w:t>
      </w:r>
      <w:r w:rsidR="00EF5D2E" w:rsidRPr="002A2BA1">
        <w:t>)</w:t>
      </w:r>
      <w:bookmarkEnd w:id="53"/>
    </w:p>
    <w:p w14:paraId="1A91966F" w14:textId="2F6D7A1C" w:rsidR="00692774" w:rsidRDefault="001F7553" w:rsidP="00BB462C">
      <w:r>
        <w:t xml:space="preserve">Nominal </w:t>
      </w:r>
      <w:r w:rsidR="00E43A8D">
        <w:t xml:space="preserve">CPUE generally increased from 1992 to 2012, declined from 2012 to 2016, increased again from 2016 to 2019, </w:t>
      </w:r>
      <w:r>
        <w:t xml:space="preserve">and generally </w:t>
      </w:r>
      <w:r w:rsidR="00E43A8D">
        <w:t xml:space="preserve">declined </w:t>
      </w:r>
      <w:r>
        <w:t>thereafter</w:t>
      </w:r>
      <w:r w:rsidR="00E43A8D">
        <w:t xml:space="preserve"> (Figure 4). </w:t>
      </w:r>
      <w:r w:rsidR="00267D4D">
        <w:t xml:space="preserve">The new CPUE standardisation model shows a slight decline in CPUE relative to nominal trends </w:t>
      </w:r>
      <w:r>
        <w:t>over time</w:t>
      </w:r>
      <w:r w:rsidR="00267D4D">
        <w:t>, particularly in the last three years</w:t>
      </w:r>
      <w:r>
        <w:t xml:space="preserve">. </w:t>
      </w:r>
    </w:p>
    <w:p w14:paraId="2F70A2B8" w14:textId="18DA9C0B" w:rsidR="00692774" w:rsidRDefault="003C7A22" w:rsidP="00BB462C">
      <w:r>
        <w:rPr>
          <w:noProof/>
        </w:rPr>
        <w:drawing>
          <wp:inline distT="0" distB="0" distL="0" distR="0" wp14:anchorId="15A1039A" wp14:editId="3BB040E6">
            <wp:extent cx="5727700" cy="3086100"/>
            <wp:effectExtent l="0" t="0" r="6350" b="0"/>
            <wp:docPr id="224" name="Picture" descr="Figure 4: Airport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224" name="Picture" descr="Figure 4: Airport SMU catch and CPUE (nominal and standardised) from 1992/1993 – 2021/22. Catch = bars, nominal CPUE = grey series (+/- SE), standardised series = black. Numbers in bars indicate changes to LMLs. MPs = introduction of Marine Parks."/>
                    <pic:cNvPicPr/>
                  </pic:nvPicPr>
                  <pic:blipFill rotWithShape="1">
                    <a:blip r:embed="rId22"/>
                    <a:srcRect t="11495" b="2289"/>
                    <a:stretch/>
                  </pic:blipFill>
                  <pic:spPr bwMode="auto">
                    <a:xfrm>
                      <a:off x="0" y="0"/>
                      <a:ext cx="57277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6867B723" w14:textId="4C10297F" w:rsidR="005273C4" w:rsidRPr="005273C4" w:rsidRDefault="00141870" w:rsidP="005273C4">
      <w:pPr>
        <w:pStyle w:val="Caption"/>
      </w:pPr>
      <w:bookmarkStart w:id="54" w:name="_Toc182219805"/>
      <w:r>
        <w:t xml:space="preserve">Figure </w:t>
      </w:r>
      <w:r w:rsidR="001F7553">
        <w:t>4</w:t>
      </w:r>
      <w:r>
        <w:t xml:space="preserve">: </w:t>
      </w:r>
      <w:r w:rsidRPr="00141870">
        <w:t>Eastern Zone catch and CPUE (nominal and standardised) from 1992/1993 – 202</w:t>
      </w:r>
      <w:r w:rsidR="003C7A22">
        <w:t>3</w:t>
      </w:r>
      <w:r w:rsidRPr="00141870">
        <w:t>/2</w:t>
      </w:r>
      <w:r w:rsidR="003C7A22">
        <w:t>4</w:t>
      </w:r>
      <w:r w:rsidRPr="00141870">
        <w:t>. Catch = bars, nominal CPUE = grey series (+/- SE), standardised series = black. MPs = int</w:t>
      </w:r>
      <w:r w:rsidR="00267D4D">
        <w:t>79</w:t>
      </w:r>
      <w:r w:rsidRPr="00141870">
        <w:t>duction of Marine Parks.</w:t>
      </w:r>
      <w:bookmarkEnd w:id="54"/>
    </w:p>
    <w:p w14:paraId="687C4595" w14:textId="370350E2" w:rsidR="00536BC4" w:rsidRDefault="00536BC4" w:rsidP="00A77A9D">
      <w:pPr>
        <w:pStyle w:val="Heading3"/>
      </w:pPr>
      <w:bookmarkStart w:id="55" w:name="_Toc182219903"/>
      <w:r>
        <w:t>FIS abundance</w:t>
      </w:r>
      <w:bookmarkEnd w:id="55"/>
    </w:p>
    <w:p w14:paraId="3CCC87EF" w14:textId="7B497EB1" w:rsidR="004C4A6C" w:rsidRDefault="004C4A6C" w:rsidP="004C4A6C">
      <w:pPr>
        <w:pStyle w:val="Heading4"/>
      </w:pPr>
      <w:bookmarkStart w:id="56" w:name="_Toc150423176"/>
      <w:bookmarkStart w:id="57" w:name="_Toc182219904"/>
      <w:r>
        <w:t>Recruit abundance</w:t>
      </w:r>
      <w:bookmarkEnd w:id="56"/>
      <w:bookmarkEnd w:id="57"/>
    </w:p>
    <w:p w14:paraId="3BBCB235" w14:textId="668821D6" w:rsidR="00692774" w:rsidRDefault="00536BC4" w:rsidP="00BB462C">
      <w:r>
        <w:t>Figure 5 plots recruit abundance from FIS sites</w:t>
      </w:r>
      <w:r w:rsidR="00EE3B0A">
        <w:t xml:space="preserve"> from 1992 to 2023</w:t>
      </w:r>
      <w:r>
        <w:t xml:space="preserve">. The grey line is the nominal data from all FIS sites surveyed, with the black lines representing the nominal (dashed) and standardised (solid line) values for the Top 15 sites only. </w:t>
      </w:r>
      <w:r w:rsidR="00475CBF">
        <w:t>There was little difference between nominal and standardised trends. Recruit a</w:t>
      </w:r>
      <w:r>
        <w:t>bundance at the Top 15 sites declined substantially from 2003 to 2008 before increasing the following two years. Thereafter recruit abundance has generally declined</w:t>
      </w:r>
      <w:r w:rsidR="00475CBF">
        <w:t>. Recruit abundance in 2023 was the lowest recorded, declining by 2</w:t>
      </w:r>
      <w:r w:rsidR="001D7392">
        <w:t>0</w:t>
      </w:r>
      <w:r w:rsidR="00475CBF">
        <w:t xml:space="preserve">% from 2021 levels. </w:t>
      </w:r>
    </w:p>
    <w:p w14:paraId="62E15914" w14:textId="78756CCC" w:rsidR="00536BC4" w:rsidRDefault="00575CBA" w:rsidP="00536BC4">
      <w:r>
        <w:rPr>
          <w:noProof/>
        </w:rPr>
        <w:drawing>
          <wp:inline distT="0" distB="0" distL="0" distR="0" wp14:anchorId="4BDBD49B" wp14:editId="4B7819F2">
            <wp:extent cx="5727700" cy="3579812"/>
            <wp:effectExtent l="0" t="0" r="0" b="0"/>
            <wp:docPr id="232" name="Picture" descr="Figure 50: Recruit abundance (1992-2023) and catch (1992/93 – 2021/22) for the Eastern Zone. Grey dashed series = nominal abundance across all FIS sites (+/-SE). Black series = nominal (dotted line, open datapoint in 2022; +/- SE) and standardised (solid line, solid datapoint in 2022) abundance across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233" name="Picture" descr="@parent.Eastern_files/figure-docx/EasternBlacklip.Recruits.fig50-168-1.png"/>
                    <pic:cNvPicPr>
                      <a:picLocks noChangeAspect="1" noChangeArrowheads="1"/>
                    </pic:cNvPicPr>
                  </pic:nvPicPr>
                  <pic:blipFill>
                    <a:blip r:embed="rId23"/>
                    <a:stretch>
                      <a:fillRect/>
                    </a:stretch>
                  </pic:blipFill>
                  <pic:spPr bwMode="auto">
                    <a:xfrm>
                      <a:off x="0" y="0"/>
                      <a:ext cx="5727700" cy="3579812"/>
                    </a:xfrm>
                    <a:prstGeom prst="rect">
                      <a:avLst/>
                    </a:prstGeom>
                    <a:noFill/>
                    <a:ln w="9525">
                      <a:noFill/>
                      <a:headEnd/>
                      <a:tailEnd/>
                    </a:ln>
                  </pic:spPr>
                </pic:pic>
              </a:graphicData>
            </a:graphic>
          </wp:inline>
        </w:drawing>
      </w:r>
    </w:p>
    <w:p w14:paraId="7A232E1A" w14:textId="4B121C0C" w:rsidR="00536BC4" w:rsidRDefault="00536BC4" w:rsidP="005C49F6">
      <w:pPr>
        <w:pStyle w:val="Caption"/>
      </w:pPr>
      <w:bookmarkStart w:id="58" w:name="_Toc182219806"/>
      <w:r>
        <w:t xml:space="preserve">Figure 5: FIS recruit abundance (1992-2023) and catch (1992/93 – </w:t>
      </w:r>
      <w:r w:rsidR="00CA27CF">
        <w:t>2022/23</w:t>
      </w:r>
      <w:r>
        <w:t xml:space="preserve">) for the Eastern Zone. Grey dashed series = nominal abundance across all FIS sites (+/-SE). Black series = nominal (dotted line, open </w:t>
      </w:r>
      <w:r w:rsidR="00575CBA">
        <w:t>datapoint in 2023</w:t>
      </w:r>
      <w:r>
        <w:t xml:space="preserve">; +/- SE) and standardised (solid line, solid </w:t>
      </w:r>
      <w:r w:rsidR="00575CBA">
        <w:t>datapoint in 2023</w:t>
      </w:r>
      <w:r>
        <w:t>) abundance across the Top 15 sites only.</w:t>
      </w:r>
      <w:bookmarkEnd w:id="58"/>
    </w:p>
    <w:p w14:paraId="2CF809F2" w14:textId="6E5A2D3E" w:rsidR="00475CBF" w:rsidRDefault="004C4A6C" w:rsidP="004C4A6C">
      <w:pPr>
        <w:pStyle w:val="Heading4"/>
      </w:pPr>
      <w:bookmarkStart w:id="59" w:name="_Toc150423177"/>
      <w:bookmarkStart w:id="60" w:name="_Toc182219905"/>
      <w:r>
        <w:t>P</w:t>
      </w:r>
      <w:r w:rsidR="00475CBF">
        <w:t>re-recruit abundance</w:t>
      </w:r>
      <w:bookmarkEnd w:id="59"/>
      <w:bookmarkEnd w:id="60"/>
    </w:p>
    <w:p w14:paraId="019E8339" w14:textId="13E39276" w:rsidR="00536BC4" w:rsidRDefault="00475CBF" w:rsidP="00BB462C">
      <w:r>
        <w:t xml:space="preserve">Figure 6 shows pre-recruit abundance from FIS sites. As for Figure 5, the grey line is the nominal data from all FIS sites surveyed, with the black lines representing the nominal (dashed) and standardised (solid line) values for the Top 15 sites only. There was little difference between nominal and standardised trends. Pre-recruit abundance at the Top 15 sites declined consistently from 2003 to 2021. Pre-recruit abundance increased by </w:t>
      </w:r>
      <w:r w:rsidR="001D7392">
        <w:t>27</w:t>
      </w:r>
      <w:r>
        <w:t xml:space="preserve">% in 2023 and was the highest observed since 2017.  </w:t>
      </w:r>
    </w:p>
    <w:p w14:paraId="57D451FB" w14:textId="72B990CE" w:rsidR="00267D4D" w:rsidRDefault="009329A1" w:rsidP="00267D4D">
      <w:pPr>
        <w:pStyle w:val="Heading4"/>
      </w:pPr>
      <w:bookmarkStart w:id="61" w:name="_Toc182219906"/>
      <w:r>
        <w:t>2024 FIS surveys</w:t>
      </w:r>
      <w:bookmarkEnd w:id="61"/>
    </w:p>
    <w:p w14:paraId="23E5E9D5" w14:textId="33E2291C" w:rsidR="00536BC4" w:rsidRDefault="00267D4D" w:rsidP="00BB462C">
      <w:r>
        <w:t xml:space="preserve">During 2024, a modified FIS was completed that included </w:t>
      </w:r>
      <w:r w:rsidR="00FC23F6">
        <w:t>six</w:t>
      </w:r>
      <w:r>
        <w:t xml:space="preserve"> of the Top 15 sites from the Mallacoota East, Mallacoota Small and Mallacoota Central SMUs, and four sites from the Marlo SMU. Figure 7 shows trends in total abundance for these ten sites in years when all ten sites have been surveyed. During 2024, the abundance at Marlo sites decreased compared to 2023 while the abundance at Mallacoota sites increased relative to 202</w:t>
      </w:r>
      <w:r w:rsidR="009329A1">
        <w:t>3</w:t>
      </w:r>
      <w:r>
        <w:t xml:space="preserve">. </w:t>
      </w:r>
    </w:p>
    <w:p w14:paraId="61A728F5" w14:textId="77777777" w:rsidR="00536BC4" w:rsidRDefault="00536BC4" w:rsidP="00BB462C"/>
    <w:p w14:paraId="5A4F588C" w14:textId="77777777" w:rsidR="00475CBF" w:rsidRDefault="00475CBF" w:rsidP="005C49F6">
      <w:pPr>
        <w:jc w:val="center"/>
      </w:pPr>
      <w:r>
        <w:rPr>
          <w:noProof/>
        </w:rPr>
        <w:drawing>
          <wp:inline distT="0" distB="0" distL="0" distR="0" wp14:anchorId="21C02E99" wp14:editId="63F8F83C">
            <wp:extent cx="4983480" cy="2811780"/>
            <wp:effectExtent l="0" t="0" r="7620" b="7620"/>
            <wp:docPr id="235" name="Picture" descr="Figure 51: Pre-recruit abundance (1992-2023) and catch (1992/93 – 2021/22) for the Eastern Zone. Grey dashed series = nominal abundance across all FIS sites (+/-SE). Black series = nominal (dotted line, open datapoint in 2022; +/- SE) and standardised (solid line, solid datapoint in 2022) abundance across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236" name="Picture" descr="@parent.Eastern_files/figure-docx/EasternBlacklip.PreRecruits.fig51-169-1.png"/>
                    <pic:cNvPicPr>
                      <a:picLocks noChangeAspect="1" noChangeArrowheads="1"/>
                    </pic:cNvPicPr>
                  </pic:nvPicPr>
                  <pic:blipFill rotWithShape="1">
                    <a:blip r:embed="rId24"/>
                    <a:srcRect t="1064" b="1650"/>
                    <a:stretch/>
                  </pic:blipFill>
                  <pic:spPr bwMode="auto">
                    <a:xfrm>
                      <a:off x="0" y="0"/>
                      <a:ext cx="4983480" cy="2811780"/>
                    </a:xfrm>
                    <a:prstGeom prst="rect">
                      <a:avLst/>
                    </a:prstGeom>
                    <a:noFill/>
                    <a:ln>
                      <a:noFill/>
                    </a:ln>
                    <a:extLst>
                      <a:ext uri="{53640926-AAD7-44D8-BBD7-CCE9431645EC}">
                        <a14:shadowObscured xmlns:a14="http://schemas.microsoft.com/office/drawing/2010/main"/>
                      </a:ext>
                    </a:extLst>
                  </pic:spPr>
                </pic:pic>
              </a:graphicData>
            </a:graphic>
          </wp:inline>
        </w:drawing>
      </w:r>
    </w:p>
    <w:p w14:paraId="3104D731" w14:textId="3DE87A9C" w:rsidR="00475CBF" w:rsidRDefault="00475CBF" w:rsidP="005C49F6">
      <w:pPr>
        <w:pStyle w:val="Caption"/>
      </w:pPr>
      <w:bookmarkStart w:id="62" w:name="_Toc182219807"/>
      <w:r>
        <w:t xml:space="preserve">Figure 6: Pre-recruit abundance (1992-2023) and catch (1992/93 – </w:t>
      </w:r>
      <w:r w:rsidR="00CA27CF">
        <w:t>2022/23</w:t>
      </w:r>
      <w:r>
        <w:t xml:space="preserve">) for the Eastern Zone. Grey dashed series = nominal abundance across all FIS sites (+/-SE). Black series = nominal (dotted line, open </w:t>
      </w:r>
      <w:r w:rsidR="00575CBA">
        <w:t>datapoint in 2023</w:t>
      </w:r>
      <w:r>
        <w:t xml:space="preserve">; +/- SE) and standardised (solid line, solid </w:t>
      </w:r>
      <w:r w:rsidR="00575CBA">
        <w:t>datapoint in 2023</w:t>
      </w:r>
      <w:r>
        <w:t>) abundance across the Top 15 sites only.</w:t>
      </w:r>
      <w:bookmarkEnd w:id="62"/>
    </w:p>
    <w:p w14:paraId="1F4D910C" w14:textId="6780C7B9" w:rsidR="00575CBA" w:rsidRDefault="000D5AA2" w:rsidP="000D5AA2">
      <w:pPr>
        <w:jc w:val="center"/>
        <w:rPr>
          <w:sz w:val="12"/>
          <w:szCs w:val="12"/>
        </w:rPr>
      </w:pPr>
      <w:r w:rsidRPr="000D5AA2">
        <w:rPr>
          <w:noProof/>
        </w:rPr>
        <w:drawing>
          <wp:inline distT="0" distB="0" distL="0" distR="0" wp14:anchorId="63295541" wp14:editId="4190154C">
            <wp:extent cx="5220859" cy="3421380"/>
            <wp:effectExtent l="0" t="0" r="0" b="7620"/>
            <wp:docPr id="10808464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9543"/>
                    <a:stretch/>
                  </pic:blipFill>
                  <pic:spPr bwMode="auto">
                    <a:xfrm>
                      <a:off x="0" y="0"/>
                      <a:ext cx="5247553" cy="3438873"/>
                    </a:xfrm>
                    <a:prstGeom prst="rect">
                      <a:avLst/>
                    </a:prstGeom>
                    <a:noFill/>
                    <a:ln>
                      <a:noFill/>
                    </a:ln>
                    <a:extLst>
                      <a:ext uri="{53640926-AAD7-44D8-BBD7-CCE9431645EC}">
                        <a14:shadowObscured xmlns:a14="http://schemas.microsoft.com/office/drawing/2010/main"/>
                      </a:ext>
                    </a:extLst>
                  </pic:spPr>
                </pic:pic>
              </a:graphicData>
            </a:graphic>
          </wp:inline>
        </w:drawing>
      </w:r>
    </w:p>
    <w:p w14:paraId="0FCAE958" w14:textId="415A7D8A" w:rsidR="000D5AA2" w:rsidRDefault="000D5AA2" w:rsidP="000D5AA2">
      <w:pPr>
        <w:pStyle w:val="Caption"/>
      </w:pPr>
      <w:bookmarkStart w:id="63" w:name="_Toc182219808"/>
      <w:r>
        <w:t>Figure 7: Mean total abundance (2003-2024) for 6 sites surveyed consistently at Mallacoota and 4 sites surveyed consistently at Marlo. Only years when all 10 sites were surveyed are shown.</w:t>
      </w:r>
      <w:bookmarkEnd w:id="63"/>
    </w:p>
    <w:p w14:paraId="68317326" w14:textId="77777777" w:rsidR="000D5AA2" w:rsidRPr="00575CBA" w:rsidRDefault="000D5AA2" w:rsidP="000D5AA2">
      <w:pPr>
        <w:jc w:val="center"/>
        <w:rPr>
          <w:sz w:val="12"/>
          <w:szCs w:val="12"/>
        </w:rPr>
      </w:pPr>
    </w:p>
    <w:p w14:paraId="157B7E48" w14:textId="1ACEF8D3" w:rsidR="00475CBF" w:rsidRDefault="00475CBF" w:rsidP="00A77A9D">
      <w:pPr>
        <w:pStyle w:val="Heading3"/>
      </w:pPr>
      <w:bookmarkStart w:id="64" w:name="_Toc182219907"/>
      <w:r>
        <w:t xml:space="preserve">Eastern Zone Performance </w:t>
      </w:r>
      <w:r w:rsidR="00F25120">
        <w:t>Measures</w:t>
      </w:r>
      <w:bookmarkEnd w:id="64"/>
    </w:p>
    <w:p w14:paraId="3DA854A4" w14:textId="1810848E" w:rsidR="00475CBF" w:rsidRDefault="005C49F6" w:rsidP="00475CBF">
      <w:r>
        <w:t>The catch in 202</w:t>
      </w:r>
      <w:r w:rsidR="00AE12CC">
        <w:t>3</w:t>
      </w:r>
      <w:r>
        <w:t>/2</w:t>
      </w:r>
      <w:r w:rsidR="00AE12CC">
        <w:t>4</w:t>
      </w:r>
      <w:r>
        <w:t xml:space="preserve"> was </w:t>
      </w:r>
      <w:r w:rsidR="00AE12CC">
        <w:t>284.5</w:t>
      </w:r>
      <w:r>
        <w:t xml:space="preserve"> t, which was </w:t>
      </w:r>
      <w:r w:rsidR="00AE12CC">
        <w:t>almost 100</w:t>
      </w:r>
      <w:r>
        <w:t xml:space="preserve">% </w:t>
      </w:r>
      <w:r w:rsidR="00F75301">
        <w:t xml:space="preserve">of </w:t>
      </w:r>
      <w:r>
        <w:t>the TACC (</w:t>
      </w:r>
      <w:r w:rsidR="00E71894">
        <w:t xml:space="preserve">284.6 t, </w:t>
      </w:r>
      <w:r>
        <w:t xml:space="preserve">Table 2). Catch has declined by </w:t>
      </w:r>
      <w:r w:rsidR="00AE12CC">
        <w:t>4</w:t>
      </w:r>
      <w:r>
        <w:t xml:space="preserve">1% </w:t>
      </w:r>
      <w:r w:rsidR="00AE12CC">
        <w:t xml:space="preserve">since </w:t>
      </w:r>
      <w:r>
        <w:t xml:space="preserve">2003/04, </w:t>
      </w:r>
      <w:r w:rsidR="00AE12CC">
        <w:t>3</w:t>
      </w:r>
      <w:r>
        <w:t xml:space="preserve">8% </w:t>
      </w:r>
      <w:r w:rsidR="00AE12CC">
        <w:t xml:space="preserve">since </w:t>
      </w:r>
      <w:r>
        <w:t xml:space="preserve">2009/10 and </w:t>
      </w:r>
      <w:r w:rsidR="00AE12CC">
        <w:t xml:space="preserve">was similar to </w:t>
      </w:r>
      <w:r>
        <w:t>20</w:t>
      </w:r>
      <w:r w:rsidR="00E31B0D">
        <w:t>20/21</w:t>
      </w:r>
      <w:r>
        <w:t xml:space="preserve">. </w:t>
      </w:r>
      <w:r w:rsidR="00B314AC" w:rsidRPr="00102EF5">
        <w:t xml:space="preserve">Mean daily catch in </w:t>
      </w:r>
      <w:r w:rsidR="00062AFC" w:rsidRPr="00102EF5">
        <w:t>2023/24</w:t>
      </w:r>
      <w:r w:rsidR="00B314AC" w:rsidRPr="00102EF5">
        <w:t xml:space="preserve"> was 3</w:t>
      </w:r>
      <w:r w:rsidR="00102EF5" w:rsidRPr="00102EF5">
        <w:t>67.8</w:t>
      </w:r>
      <w:r w:rsidR="00B314AC" w:rsidRPr="00102EF5">
        <w:t xml:space="preserve"> kg/h, which was </w:t>
      </w:r>
      <w:r w:rsidR="00102EF5" w:rsidRPr="00102EF5">
        <w:t>14</w:t>
      </w:r>
      <w:r w:rsidR="00B314AC" w:rsidRPr="00102EF5">
        <w:t xml:space="preserve">% lower than </w:t>
      </w:r>
      <w:r w:rsidR="00102EF5" w:rsidRPr="00102EF5">
        <w:t>2003/04</w:t>
      </w:r>
      <w:r w:rsidR="00B314AC" w:rsidRPr="00102EF5">
        <w:t>, 1</w:t>
      </w:r>
      <w:r w:rsidR="00102EF5" w:rsidRPr="00102EF5">
        <w:t>5</w:t>
      </w:r>
      <w:r w:rsidR="00B314AC" w:rsidRPr="00102EF5">
        <w:t xml:space="preserve">% lower than </w:t>
      </w:r>
      <w:r w:rsidR="00102EF5" w:rsidRPr="00102EF5">
        <w:t>2009/10</w:t>
      </w:r>
      <w:r w:rsidR="00B314AC" w:rsidRPr="00102EF5">
        <w:t xml:space="preserve">, and </w:t>
      </w:r>
      <w:r w:rsidR="00102EF5" w:rsidRPr="00102EF5">
        <w:t>3</w:t>
      </w:r>
      <w:r w:rsidR="00B314AC" w:rsidRPr="00102EF5">
        <w:t xml:space="preserve">3% </w:t>
      </w:r>
      <w:r w:rsidR="00102EF5" w:rsidRPr="00102EF5">
        <w:t>higher</w:t>
      </w:r>
      <w:r w:rsidR="00B314AC" w:rsidRPr="00102EF5">
        <w:t xml:space="preserve"> than 4 years ago. </w:t>
      </w:r>
      <w:r w:rsidR="00E31B0D" w:rsidRPr="00102EF5">
        <w:t xml:space="preserve">Nominal </w:t>
      </w:r>
      <w:r w:rsidRPr="00102EF5">
        <w:t>CPUE in 202</w:t>
      </w:r>
      <w:r w:rsidR="00E31B0D" w:rsidRPr="00102EF5">
        <w:t>3</w:t>
      </w:r>
      <w:r w:rsidRPr="00102EF5">
        <w:t>/2</w:t>
      </w:r>
      <w:r w:rsidR="00E31B0D" w:rsidRPr="00102EF5">
        <w:t>4</w:t>
      </w:r>
      <w:r w:rsidRPr="00102EF5">
        <w:t xml:space="preserve"> was 10</w:t>
      </w:r>
      <w:r w:rsidR="00E31B0D" w:rsidRPr="00102EF5">
        <w:t>7.5</w:t>
      </w:r>
      <w:r w:rsidRPr="00102EF5">
        <w:t xml:space="preserve"> kg/h, which was </w:t>
      </w:r>
      <w:r w:rsidR="00E31B0D" w:rsidRPr="00102EF5">
        <w:t>10</w:t>
      </w:r>
      <w:r w:rsidRPr="00102EF5">
        <w:t>%</w:t>
      </w:r>
      <w:r>
        <w:t xml:space="preserve"> higher than </w:t>
      </w:r>
      <w:r w:rsidR="00E31B0D">
        <w:t>2003/04</w:t>
      </w:r>
      <w:r>
        <w:t xml:space="preserve">, </w:t>
      </w:r>
      <w:r w:rsidR="00E31B0D">
        <w:t>4</w:t>
      </w:r>
      <w:r>
        <w:t xml:space="preserve">% lower than </w:t>
      </w:r>
      <w:r w:rsidR="00E31B0D">
        <w:t>2009/10</w:t>
      </w:r>
      <w:r>
        <w:t xml:space="preserve">, and </w:t>
      </w:r>
      <w:r w:rsidR="00E31B0D">
        <w:t xml:space="preserve">similar to </w:t>
      </w:r>
      <w:r>
        <w:t>4 years ago.</w:t>
      </w:r>
      <w:r w:rsidR="00E31B0D">
        <w:t xml:space="preserve"> Standardised CPUE in 2023/24 was 95.8 kg/h, which was 3% lower than 2003/04, 11% lower than 2009/10, and 6% lower than 4 years ago.</w:t>
      </w:r>
      <w:r>
        <w:t xml:space="preserve"> </w:t>
      </w:r>
    </w:p>
    <w:p w14:paraId="7DA261C0" w14:textId="531B923D" w:rsidR="005C49F6" w:rsidRDefault="00E31B0D" w:rsidP="00475CBF">
      <w:r w:rsidRPr="00E31B0D">
        <w:t xml:space="preserve">Recruit and pre-recruit abundance comparisons weren’t available for 2023/24. In </w:t>
      </w:r>
      <w:r w:rsidR="00062AFC">
        <w:t>2022/23</w:t>
      </w:r>
      <w:r w:rsidRPr="00E31B0D">
        <w:t>, r</w:t>
      </w:r>
      <w:r w:rsidR="005C49F6" w:rsidRPr="00E31B0D">
        <w:t>ecruit abundance at the Top 15 sites ha</w:t>
      </w:r>
      <w:r w:rsidRPr="00E31B0D">
        <w:t>d</w:t>
      </w:r>
      <w:r w:rsidR="005C49F6" w:rsidRPr="00E31B0D">
        <w:t xml:space="preserve"> decline</w:t>
      </w:r>
      <w:r w:rsidR="00A71AFB" w:rsidRPr="00E31B0D">
        <w:t>d</w:t>
      </w:r>
      <w:r w:rsidR="005C49F6" w:rsidRPr="00E31B0D">
        <w:t xml:space="preserve"> by 62% </w:t>
      </w:r>
      <w:r w:rsidRPr="00E31B0D">
        <w:t>since 2003/04</w:t>
      </w:r>
      <w:r w:rsidR="005C49F6" w:rsidRPr="00E31B0D">
        <w:t xml:space="preserve">, 45% </w:t>
      </w:r>
      <w:r>
        <w:t xml:space="preserve">since 2009/10 </w:t>
      </w:r>
      <w:r w:rsidR="005C49F6" w:rsidRPr="00E31B0D">
        <w:t xml:space="preserve">and 23% in the </w:t>
      </w:r>
      <w:r>
        <w:t xml:space="preserve">previous </w:t>
      </w:r>
      <w:r w:rsidR="005C49F6" w:rsidRPr="00E31B0D">
        <w:t>4 years. Pre-recruit abundance ha</w:t>
      </w:r>
      <w:r>
        <w:t>d</w:t>
      </w:r>
      <w:r w:rsidR="005C49F6" w:rsidRPr="00E31B0D">
        <w:t xml:space="preserve"> declined by 44% </w:t>
      </w:r>
      <w:r w:rsidRPr="00E31B0D">
        <w:t>since 2003/04</w:t>
      </w:r>
      <w:r w:rsidR="005C49F6" w:rsidRPr="00E31B0D">
        <w:t xml:space="preserve">, 45% </w:t>
      </w:r>
      <w:r>
        <w:t xml:space="preserve">since 2009/10 </w:t>
      </w:r>
      <w:r w:rsidR="005C49F6" w:rsidRPr="00E31B0D">
        <w:t>and ha</w:t>
      </w:r>
      <w:r>
        <w:t>d</w:t>
      </w:r>
      <w:r w:rsidR="005C49F6" w:rsidRPr="00E31B0D">
        <w:t xml:space="preserve"> increased by 34% </w:t>
      </w:r>
      <w:r>
        <w:t>from</w:t>
      </w:r>
      <w:r w:rsidR="005C49F6" w:rsidRPr="00E31B0D">
        <w:t xml:space="preserve"> the </w:t>
      </w:r>
      <w:r>
        <w:t xml:space="preserve">previous </w:t>
      </w:r>
      <w:r w:rsidR="005C49F6" w:rsidRPr="00E31B0D">
        <w:t>4 years.</w:t>
      </w:r>
    </w:p>
    <w:p w14:paraId="078B027C" w14:textId="0D010A5D" w:rsidR="005C49F6" w:rsidRDefault="005C49F6" w:rsidP="005C49F6">
      <w:pPr>
        <w:pStyle w:val="TableCaption"/>
      </w:pPr>
      <w:bookmarkStart w:id="65" w:name="_Toc182219862"/>
      <w:r>
        <w:t xml:space="preserve">Table 2: Performance </w:t>
      </w:r>
      <w:r w:rsidR="00F25120">
        <w:t xml:space="preserve">measures </w:t>
      </w:r>
      <w:r>
        <w:t xml:space="preserve">used in the assessment of the Eastern Zone abalone fishery. </w:t>
      </w:r>
      <w:r w:rsidR="00AE12CC">
        <w:t>* FIS data from 2022/23.</w:t>
      </w:r>
      <w:bookmarkEnd w:id="65"/>
    </w:p>
    <w:tbl>
      <w:tblPr>
        <w:tblStyle w:val="TableGrid"/>
        <w:tblW w:w="9558" w:type="dxa"/>
        <w:tblLook w:val="04A0" w:firstRow="1" w:lastRow="0" w:firstColumn="1" w:lastColumn="0" w:noHBand="0" w:noVBand="1"/>
      </w:tblPr>
      <w:tblGrid>
        <w:gridCol w:w="3880"/>
        <w:gridCol w:w="906"/>
        <w:gridCol w:w="1701"/>
        <w:gridCol w:w="1559"/>
        <w:gridCol w:w="1512"/>
      </w:tblGrid>
      <w:tr w:rsidR="00475CBF" w:rsidRPr="005C49F6" w14:paraId="46C5A634" w14:textId="77777777" w:rsidTr="005C49F6">
        <w:tc>
          <w:tcPr>
            <w:tcW w:w="3880" w:type="dxa"/>
            <w:vAlign w:val="center"/>
          </w:tcPr>
          <w:p w14:paraId="7DC3F22A" w14:textId="77777777" w:rsidR="00475CBF" w:rsidRPr="005C49F6" w:rsidRDefault="00475CBF" w:rsidP="00E9281F">
            <w:pPr>
              <w:rPr>
                <w:sz w:val="20"/>
                <w:szCs w:val="20"/>
              </w:rPr>
            </w:pPr>
            <w:r w:rsidRPr="005C49F6">
              <w:rPr>
                <w:sz w:val="20"/>
                <w:szCs w:val="20"/>
              </w:rPr>
              <w:t>Measure</w:t>
            </w:r>
          </w:p>
        </w:tc>
        <w:tc>
          <w:tcPr>
            <w:tcW w:w="906" w:type="dxa"/>
            <w:vAlign w:val="center"/>
          </w:tcPr>
          <w:p w14:paraId="612E263F" w14:textId="7370EB3C" w:rsidR="00475CBF" w:rsidRPr="005C49F6" w:rsidRDefault="00475CBF" w:rsidP="005C49F6">
            <w:pPr>
              <w:jc w:val="center"/>
              <w:rPr>
                <w:sz w:val="20"/>
                <w:szCs w:val="20"/>
              </w:rPr>
            </w:pPr>
            <w:r w:rsidRPr="005C49F6">
              <w:rPr>
                <w:sz w:val="20"/>
                <w:szCs w:val="20"/>
              </w:rPr>
              <w:t>202</w:t>
            </w:r>
            <w:r w:rsidR="00C35654">
              <w:rPr>
                <w:sz w:val="20"/>
                <w:szCs w:val="20"/>
              </w:rPr>
              <w:t>3</w:t>
            </w:r>
            <w:r w:rsidRPr="005C49F6">
              <w:rPr>
                <w:sz w:val="20"/>
                <w:szCs w:val="20"/>
              </w:rPr>
              <w:t>/2</w:t>
            </w:r>
            <w:r w:rsidR="00C35654">
              <w:rPr>
                <w:sz w:val="20"/>
                <w:szCs w:val="20"/>
              </w:rPr>
              <w:t>4</w:t>
            </w:r>
          </w:p>
        </w:tc>
        <w:tc>
          <w:tcPr>
            <w:tcW w:w="1701" w:type="dxa"/>
          </w:tcPr>
          <w:p w14:paraId="427E3BCB" w14:textId="77777777" w:rsidR="00475CBF" w:rsidRPr="005C49F6" w:rsidRDefault="00475CBF" w:rsidP="005C49F6">
            <w:pPr>
              <w:jc w:val="center"/>
              <w:rPr>
                <w:sz w:val="20"/>
                <w:szCs w:val="20"/>
              </w:rPr>
            </w:pPr>
            <w:r w:rsidRPr="005C49F6">
              <w:rPr>
                <w:sz w:val="20"/>
                <w:szCs w:val="20"/>
              </w:rPr>
              <w:t>Long term        (since 2003/04)</w:t>
            </w:r>
          </w:p>
        </w:tc>
        <w:tc>
          <w:tcPr>
            <w:tcW w:w="1559" w:type="dxa"/>
          </w:tcPr>
          <w:p w14:paraId="7FC8ACB7" w14:textId="77777777" w:rsidR="00475CBF" w:rsidRPr="005C49F6" w:rsidRDefault="00475CBF" w:rsidP="005C49F6">
            <w:pPr>
              <w:jc w:val="center"/>
              <w:rPr>
                <w:sz w:val="20"/>
                <w:szCs w:val="20"/>
              </w:rPr>
            </w:pPr>
            <w:r w:rsidRPr="005C49F6">
              <w:rPr>
                <w:sz w:val="20"/>
                <w:szCs w:val="20"/>
              </w:rPr>
              <w:t>Short term      (since 2009/10)</w:t>
            </w:r>
          </w:p>
        </w:tc>
        <w:tc>
          <w:tcPr>
            <w:tcW w:w="1512" w:type="dxa"/>
          </w:tcPr>
          <w:p w14:paraId="5096DDBE" w14:textId="1C7234F5" w:rsidR="00475CBF" w:rsidRPr="005C49F6" w:rsidRDefault="00475CBF" w:rsidP="005C49F6">
            <w:pPr>
              <w:jc w:val="center"/>
              <w:rPr>
                <w:sz w:val="20"/>
                <w:szCs w:val="20"/>
              </w:rPr>
            </w:pPr>
            <w:r w:rsidRPr="005C49F6">
              <w:rPr>
                <w:sz w:val="20"/>
                <w:szCs w:val="20"/>
              </w:rPr>
              <w:t xml:space="preserve">Last </w:t>
            </w:r>
            <w:r w:rsidR="001D7392" w:rsidRPr="005C49F6">
              <w:rPr>
                <w:sz w:val="20"/>
                <w:szCs w:val="20"/>
              </w:rPr>
              <w:t>4</w:t>
            </w:r>
            <w:r w:rsidRPr="005C49F6">
              <w:rPr>
                <w:sz w:val="20"/>
                <w:szCs w:val="20"/>
              </w:rPr>
              <w:t xml:space="preserve"> years           (since 20</w:t>
            </w:r>
            <w:r w:rsidR="00C35654">
              <w:rPr>
                <w:sz w:val="20"/>
                <w:szCs w:val="20"/>
              </w:rPr>
              <w:t>20</w:t>
            </w:r>
            <w:r w:rsidRPr="005C49F6">
              <w:rPr>
                <w:sz w:val="20"/>
                <w:szCs w:val="20"/>
              </w:rPr>
              <w:t>/</w:t>
            </w:r>
            <w:r w:rsidR="001D7392" w:rsidRPr="005C49F6">
              <w:rPr>
                <w:sz w:val="20"/>
                <w:szCs w:val="20"/>
              </w:rPr>
              <w:t>2</w:t>
            </w:r>
            <w:r w:rsidR="00C35654">
              <w:rPr>
                <w:sz w:val="20"/>
                <w:szCs w:val="20"/>
              </w:rPr>
              <w:t>1</w:t>
            </w:r>
            <w:r w:rsidRPr="005C49F6">
              <w:rPr>
                <w:sz w:val="20"/>
                <w:szCs w:val="20"/>
              </w:rPr>
              <w:t>)</w:t>
            </w:r>
          </w:p>
        </w:tc>
      </w:tr>
      <w:tr w:rsidR="00C35654" w:rsidRPr="005C49F6" w14:paraId="22382105" w14:textId="77777777" w:rsidTr="005C49F6">
        <w:tc>
          <w:tcPr>
            <w:tcW w:w="3880" w:type="dxa"/>
          </w:tcPr>
          <w:p w14:paraId="5C23CF58" w14:textId="3B598810" w:rsidR="00C35654" w:rsidRDefault="00C35654" w:rsidP="00C35654">
            <w:pPr>
              <w:rPr>
                <w:sz w:val="20"/>
                <w:szCs w:val="20"/>
              </w:rPr>
            </w:pPr>
            <w:r>
              <w:rPr>
                <w:sz w:val="20"/>
                <w:szCs w:val="20"/>
              </w:rPr>
              <w:t>Nominal CPUE (kg/hr)</w:t>
            </w:r>
          </w:p>
        </w:tc>
        <w:tc>
          <w:tcPr>
            <w:tcW w:w="906" w:type="dxa"/>
          </w:tcPr>
          <w:p w14:paraId="64D64B7E" w14:textId="5DC8129B" w:rsidR="00C35654" w:rsidRPr="005C49F6" w:rsidRDefault="00C35654" w:rsidP="00C35654">
            <w:pPr>
              <w:jc w:val="center"/>
              <w:rPr>
                <w:sz w:val="20"/>
                <w:szCs w:val="20"/>
              </w:rPr>
            </w:pPr>
            <w:r w:rsidRPr="005C49F6">
              <w:rPr>
                <w:sz w:val="20"/>
                <w:szCs w:val="20"/>
              </w:rPr>
              <w:t>10</w:t>
            </w:r>
            <w:r>
              <w:rPr>
                <w:sz w:val="20"/>
                <w:szCs w:val="20"/>
              </w:rPr>
              <w:t>7.5</w:t>
            </w:r>
          </w:p>
        </w:tc>
        <w:tc>
          <w:tcPr>
            <w:tcW w:w="1701" w:type="dxa"/>
          </w:tcPr>
          <w:p w14:paraId="0C1B0987" w14:textId="41AC5F9C" w:rsidR="00C35654" w:rsidRPr="005C49F6" w:rsidRDefault="00C35654" w:rsidP="00C35654">
            <w:pPr>
              <w:jc w:val="center"/>
              <w:rPr>
                <w:sz w:val="20"/>
                <w:szCs w:val="20"/>
              </w:rPr>
            </w:pPr>
            <w:r w:rsidRPr="005C49F6">
              <w:rPr>
                <w:sz w:val="20"/>
                <w:szCs w:val="20"/>
              </w:rPr>
              <w:t>9</w:t>
            </w:r>
            <w:r>
              <w:rPr>
                <w:sz w:val="20"/>
                <w:szCs w:val="20"/>
              </w:rPr>
              <w:t>7.7</w:t>
            </w:r>
            <w:r w:rsidRPr="005C49F6">
              <w:rPr>
                <w:sz w:val="20"/>
                <w:szCs w:val="20"/>
              </w:rPr>
              <w:t xml:space="preserve"> (</w:t>
            </w:r>
            <w:r w:rsidRPr="005C49F6">
              <w:rPr>
                <w:rFonts w:ascii="Calibri" w:hAnsi="Calibri" w:cs="Calibri"/>
                <w:sz w:val="20"/>
                <w:szCs w:val="20"/>
              </w:rPr>
              <w:t>↑</w:t>
            </w:r>
            <w:r w:rsidR="00AE12CC">
              <w:rPr>
                <w:rFonts w:ascii="Calibri" w:hAnsi="Calibri" w:cs="Calibri"/>
                <w:sz w:val="20"/>
                <w:szCs w:val="20"/>
              </w:rPr>
              <w:t>10</w:t>
            </w:r>
            <w:r w:rsidRPr="005C49F6">
              <w:rPr>
                <w:sz w:val="20"/>
                <w:szCs w:val="20"/>
              </w:rPr>
              <w:t>%)</w:t>
            </w:r>
          </w:p>
        </w:tc>
        <w:tc>
          <w:tcPr>
            <w:tcW w:w="1559" w:type="dxa"/>
          </w:tcPr>
          <w:p w14:paraId="044930FA" w14:textId="648D6C8B" w:rsidR="00C35654" w:rsidRPr="005C49F6" w:rsidRDefault="00C35654" w:rsidP="00C35654">
            <w:pPr>
              <w:jc w:val="center"/>
              <w:rPr>
                <w:sz w:val="20"/>
                <w:szCs w:val="20"/>
              </w:rPr>
            </w:pPr>
            <w:r w:rsidRPr="005C49F6">
              <w:rPr>
                <w:sz w:val="20"/>
                <w:szCs w:val="20"/>
              </w:rPr>
              <w:t>1</w:t>
            </w:r>
            <w:r>
              <w:rPr>
                <w:sz w:val="20"/>
                <w:szCs w:val="20"/>
              </w:rPr>
              <w:t>11.4</w:t>
            </w:r>
            <w:r w:rsidRPr="005C49F6">
              <w:rPr>
                <w:sz w:val="20"/>
                <w:szCs w:val="20"/>
              </w:rPr>
              <w:t xml:space="preserve"> (</w:t>
            </w:r>
            <w:r w:rsidRPr="005C49F6">
              <w:rPr>
                <w:rFonts w:cstheme="minorHAnsi"/>
                <w:sz w:val="20"/>
                <w:szCs w:val="20"/>
              </w:rPr>
              <w:t>↓</w:t>
            </w:r>
            <w:r w:rsidR="00AE12CC">
              <w:rPr>
                <w:rFonts w:cstheme="minorHAnsi"/>
                <w:sz w:val="20"/>
                <w:szCs w:val="20"/>
              </w:rPr>
              <w:t>4</w:t>
            </w:r>
            <w:r w:rsidRPr="005C49F6">
              <w:rPr>
                <w:sz w:val="20"/>
                <w:szCs w:val="20"/>
              </w:rPr>
              <w:t>%)</w:t>
            </w:r>
          </w:p>
        </w:tc>
        <w:tc>
          <w:tcPr>
            <w:tcW w:w="1512" w:type="dxa"/>
          </w:tcPr>
          <w:p w14:paraId="06E88B64" w14:textId="237E6492" w:rsidR="00C35654" w:rsidRPr="005C49F6" w:rsidRDefault="00C35654" w:rsidP="00C35654">
            <w:pPr>
              <w:jc w:val="center"/>
              <w:rPr>
                <w:sz w:val="20"/>
                <w:szCs w:val="20"/>
              </w:rPr>
            </w:pPr>
            <w:r w:rsidRPr="005C49F6">
              <w:rPr>
                <w:sz w:val="20"/>
                <w:szCs w:val="20"/>
              </w:rPr>
              <w:t>1</w:t>
            </w:r>
            <w:r w:rsidR="00AE12CC">
              <w:rPr>
                <w:sz w:val="20"/>
                <w:szCs w:val="20"/>
              </w:rPr>
              <w:t>07.6</w:t>
            </w:r>
            <w:r w:rsidRPr="005C49F6">
              <w:rPr>
                <w:sz w:val="20"/>
                <w:szCs w:val="20"/>
              </w:rPr>
              <w:t xml:space="preserve"> (</w:t>
            </w:r>
            <w:r w:rsidR="00AE12CC">
              <w:rPr>
                <w:sz w:val="20"/>
                <w:szCs w:val="20"/>
              </w:rPr>
              <w:t>0%</w:t>
            </w:r>
            <w:r w:rsidRPr="005C49F6">
              <w:rPr>
                <w:sz w:val="20"/>
                <w:szCs w:val="20"/>
              </w:rPr>
              <w:t>)</w:t>
            </w:r>
          </w:p>
        </w:tc>
      </w:tr>
      <w:tr w:rsidR="00475CBF" w:rsidRPr="005C49F6" w14:paraId="12C36625" w14:textId="77777777" w:rsidTr="005C49F6">
        <w:tc>
          <w:tcPr>
            <w:tcW w:w="3880" w:type="dxa"/>
          </w:tcPr>
          <w:p w14:paraId="2785ED1D" w14:textId="19A4CBD3" w:rsidR="00475CBF" w:rsidRPr="005C49F6" w:rsidRDefault="00C35654" w:rsidP="00E9281F">
            <w:pPr>
              <w:rPr>
                <w:sz w:val="20"/>
                <w:szCs w:val="20"/>
              </w:rPr>
            </w:pPr>
            <w:r>
              <w:rPr>
                <w:sz w:val="20"/>
                <w:szCs w:val="20"/>
              </w:rPr>
              <w:t xml:space="preserve">Standardised </w:t>
            </w:r>
            <w:r w:rsidR="00475CBF" w:rsidRPr="005C49F6">
              <w:rPr>
                <w:sz w:val="20"/>
                <w:szCs w:val="20"/>
              </w:rPr>
              <w:t>CPUE (kg/h)</w:t>
            </w:r>
          </w:p>
        </w:tc>
        <w:tc>
          <w:tcPr>
            <w:tcW w:w="906" w:type="dxa"/>
          </w:tcPr>
          <w:p w14:paraId="57E62B4E" w14:textId="4828AB41" w:rsidR="00475CBF" w:rsidRPr="005C49F6" w:rsidRDefault="00C35654" w:rsidP="005C49F6">
            <w:pPr>
              <w:jc w:val="center"/>
              <w:rPr>
                <w:sz w:val="20"/>
                <w:szCs w:val="20"/>
              </w:rPr>
            </w:pPr>
            <w:r>
              <w:rPr>
                <w:sz w:val="20"/>
                <w:szCs w:val="20"/>
              </w:rPr>
              <w:t>95.8</w:t>
            </w:r>
          </w:p>
        </w:tc>
        <w:tc>
          <w:tcPr>
            <w:tcW w:w="1701" w:type="dxa"/>
          </w:tcPr>
          <w:p w14:paraId="34182AE6" w14:textId="29789FC2" w:rsidR="00475CBF" w:rsidRPr="005C49F6" w:rsidRDefault="00475CBF" w:rsidP="005C49F6">
            <w:pPr>
              <w:jc w:val="center"/>
              <w:rPr>
                <w:sz w:val="20"/>
                <w:szCs w:val="20"/>
              </w:rPr>
            </w:pPr>
            <w:r w:rsidRPr="005C49F6">
              <w:rPr>
                <w:sz w:val="20"/>
                <w:szCs w:val="20"/>
              </w:rPr>
              <w:t>9</w:t>
            </w:r>
            <w:r w:rsidR="001D7392" w:rsidRPr="005C49F6">
              <w:rPr>
                <w:sz w:val="20"/>
                <w:szCs w:val="20"/>
              </w:rPr>
              <w:t>8</w:t>
            </w:r>
            <w:r w:rsidRPr="005C49F6">
              <w:rPr>
                <w:sz w:val="20"/>
                <w:szCs w:val="20"/>
              </w:rPr>
              <w:t>.</w:t>
            </w:r>
            <w:r w:rsidR="00C35654">
              <w:rPr>
                <w:sz w:val="20"/>
                <w:szCs w:val="20"/>
              </w:rPr>
              <w:t>6</w:t>
            </w:r>
            <w:r w:rsidRPr="005C49F6">
              <w:rPr>
                <w:sz w:val="20"/>
                <w:szCs w:val="20"/>
              </w:rPr>
              <w:t xml:space="preserve"> (</w:t>
            </w:r>
            <w:r w:rsidR="00AE12CC" w:rsidRPr="005C49F6">
              <w:rPr>
                <w:rFonts w:cstheme="minorHAnsi"/>
                <w:sz w:val="20"/>
                <w:szCs w:val="20"/>
              </w:rPr>
              <w:t>↓</w:t>
            </w:r>
            <w:r w:rsidR="00AE12CC">
              <w:rPr>
                <w:rFonts w:ascii="Calibri" w:hAnsi="Calibri" w:cs="Calibri"/>
                <w:sz w:val="20"/>
                <w:szCs w:val="20"/>
              </w:rPr>
              <w:t>3</w:t>
            </w:r>
            <w:r w:rsidRPr="005C49F6">
              <w:rPr>
                <w:sz w:val="20"/>
                <w:szCs w:val="20"/>
              </w:rPr>
              <w:t>%)</w:t>
            </w:r>
          </w:p>
        </w:tc>
        <w:tc>
          <w:tcPr>
            <w:tcW w:w="1559" w:type="dxa"/>
          </w:tcPr>
          <w:p w14:paraId="1E32920C" w14:textId="5B916E9F" w:rsidR="00475CBF" w:rsidRPr="005C49F6" w:rsidRDefault="00475CBF" w:rsidP="005C49F6">
            <w:pPr>
              <w:jc w:val="center"/>
              <w:rPr>
                <w:sz w:val="20"/>
                <w:szCs w:val="20"/>
              </w:rPr>
            </w:pPr>
            <w:r w:rsidRPr="005C49F6">
              <w:rPr>
                <w:sz w:val="20"/>
                <w:szCs w:val="20"/>
              </w:rPr>
              <w:t>10</w:t>
            </w:r>
            <w:r w:rsidR="00C35654">
              <w:rPr>
                <w:sz w:val="20"/>
                <w:szCs w:val="20"/>
              </w:rPr>
              <w:t>7</w:t>
            </w:r>
            <w:r w:rsidR="001D7392" w:rsidRPr="005C49F6">
              <w:rPr>
                <w:sz w:val="20"/>
                <w:szCs w:val="20"/>
              </w:rPr>
              <w:t>.</w:t>
            </w:r>
            <w:r w:rsidR="00C35654">
              <w:rPr>
                <w:sz w:val="20"/>
                <w:szCs w:val="20"/>
              </w:rPr>
              <w:t>7</w:t>
            </w:r>
            <w:r w:rsidRPr="005C49F6">
              <w:rPr>
                <w:sz w:val="20"/>
                <w:szCs w:val="20"/>
              </w:rPr>
              <w:t xml:space="preserve"> (</w:t>
            </w:r>
            <w:r w:rsidRPr="005C49F6">
              <w:rPr>
                <w:rFonts w:cstheme="minorHAnsi"/>
                <w:sz w:val="20"/>
                <w:szCs w:val="20"/>
              </w:rPr>
              <w:t>↓</w:t>
            </w:r>
            <w:r w:rsidR="00AE12CC">
              <w:rPr>
                <w:rFonts w:cstheme="minorHAnsi"/>
                <w:sz w:val="20"/>
                <w:szCs w:val="20"/>
              </w:rPr>
              <w:t>11</w:t>
            </w:r>
            <w:r w:rsidRPr="005C49F6">
              <w:rPr>
                <w:sz w:val="20"/>
                <w:szCs w:val="20"/>
              </w:rPr>
              <w:t>%)</w:t>
            </w:r>
          </w:p>
        </w:tc>
        <w:tc>
          <w:tcPr>
            <w:tcW w:w="1512" w:type="dxa"/>
          </w:tcPr>
          <w:p w14:paraId="15199DB2" w14:textId="2E1EA282" w:rsidR="00475CBF" w:rsidRPr="005C49F6" w:rsidRDefault="001D7392" w:rsidP="005C49F6">
            <w:pPr>
              <w:jc w:val="center"/>
              <w:rPr>
                <w:sz w:val="20"/>
                <w:szCs w:val="20"/>
              </w:rPr>
            </w:pPr>
            <w:r w:rsidRPr="005C49F6">
              <w:rPr>
                <w:sz w:val="20"/>
                <w:szCs w:val="20"/>
              </w:rPr>
              <w:t>1</w:t>
            </w:r>
            <w:r w:rsidR="00AE12CC">
              <w:rPr>
                <w:sz w:val="20"/>
                <w:szCs w:val="20"/>
              </w:rPr>
              <w:t>02.2</w:t>
            </w:r>
            <w:r w:rsidRPr="005C49F6">
              <w:rPr>
                <w:sz w:val="20"/>
                <w:szCs w:val="20"/>
              </w:rPr>
              <w:t xml:space="preserve"> (</w:t>
            </w:r>
            <w:r w:rsidRPr="005C49F6">
              <w:rPr>
                <w:rFonts w:cstheme="minorHAnsi"/>
                <w:sz w:val="20"/>
                <w:szCs w:val="20"/>
              </w:rPr>
              <w:t>↓</w:t>
            </w:r>
            <w:r w:rsidR="00AE12CC">
              <w:rPr>
                <w:rFonts w:cstheme="minorHAnsi"/>
                <w:sz w:val="20"/>
                <w:szCs w:val="20"/>
              </w:rPr>
              <w:t>6</w:t>
            </w:r>
            <w:r w:rsidRPr="005C49F6">
              <w:rPr>
                <w:sz w:val="20"/>
                <w:szCs w:val="20"/>
              </w:rPr>
              <w:t>%)</w:t>
            </w:r>
          </w:p>
        </w:tc>
      </w:tr>
      <w:tr w:rsidR="00475CBF" w:rsidRPr="005C49F6" w14:paraId="5E17D6C9" w14:textId="77777777" w:rsidTr="005C49F6">
        <w:tc>
          <w:tcPr>
            <w:tcW w:w="3880" w:type="dxa"/>
          </w:tcPr>
          <w:p w14:paraId="6D3260EC" w14:textId="3912A498" w:rsidR="00475CBF" w:rsidRPr="005C49F6" w:rsidRDefault="00475CBF" w:rsidP="00E9281F">
            <w:pPr>
              <w:rPr>
                <w:sz w:val="20"/>
                <w:szCs w:val="20"/>
              </w:rPr>
            </w:pPr>
            <w:r w:rsidRPr="005C49F6">
              <w:rPr>
                <w:sz w:val="20"/>
                <w:szCs w:val="20"/>
              </w:rPr>
              <w:t>Recruit abundance (Top 15 n/transect)</w:t>
            </w:r>
          </w:p>
        </w:tc>
        <w:tc>
          <w:tcPr>
            <w:tcW w:w="906" w:type="dxa"/>
          </w:tcPr>
          <w:p w14:paraId="40BD2283" w14:textId="13959D09" w:rsidR="00475CBF" w:rsidRPr="005C49F6" w:rsidRDefault="00475CBF" w:rsidP="005C49F6">
            <w:pPr>
              <w:jc w:val="center"/>
              <w:rPr>
                <w:sz w:val="20"/>
                <w:szCs w:val="20"/>
              </w:rPr>
            </w:pPr>
            <w:r w:rsidRPr="005C49F6">
              <w:rPr>
                <w:sz w:val="20"/>
                <w:szCs w:val="20"/>
              </w:rPr>
              <w:t>6.</w:t>
            </w:r>
            <w:r w:rsidR="001D7392" w:rsidRPr="005C49F6">
              <w:rPr>
                <w:sz w:val="20"/>
                <w:szCs w:val="20"/>
              </w:rPr>
              <w:t>7</w:t>
            </w:r>
            <w:r w:rsidR="00AE12CC">
              <w:rPr>
                <w:sz w:val="20"/>
                <w:szCs w:val="20"/>
              </w:rPr>
              <w:t>*</w:t>
            </w:r>
          </w:p>
        </w:tc>
        <w:tc>
          <w:tcPr>
            <w:tcW w:w="1701" w:type="dxa"/>
          </w:tcPr>
          <w:p w14:paraId="32E1E145" w14:textId="18EF322C" w:rsidR="00475CBF" w:rsidRPr="005C49F6" w:rsidRDefault="00475CBF" w:rsidP="005C49F6">
            <w:pPr>
              <w:jc w:val="center"/>
              <w:rPr>
                <w:sz w:val="20"/>
                <w:szCs w:val="20"/>
              </w:rPr>
            </w:pPr>
            <w:r w:rsidRPr="005C49F6">
              <w:rPr>
                <w:sz w:val="20"/>
                <w:szCs w:val="20"/>
              </w:rPr>
              <w:t>1</w:t>
            </w:r>
            <w:r w:rsidR="001D7392" w:rsidRPr="005C49F6">
              <w:rPr>
                <w:sz w:val="20"/>
                <w:szCs w:val="20"/>
              </w:rPr>
              <w:t>7.7</w:t>
            </w:r>
            <w:r w:rsidRPr="005C49F6">
              <w:rPr>
                <w:sz w:val="20"/>
                <w:szCs w:val="20"/>
              </w:rPr>
              <w:t xml:space="preserve"> (</w:t>
            </w:r>
            <w:r w:rsidRPr="005C49F6">
              <w:rPr>
                <w:rFonts w:cstheme="minorHAnsi"/>
                <w:sz w:val="20"/>
                <w:szCs w:val="20"/>
              </w:rPr>
              <w:t>↓</w:t>
            </w:r>
            <w:r w:rsidRPr="005C49F6">
              <w:rPr>
                <w:sz w:val="20"/>
                <w:szCs w:val="20"/>
              </w:rPr>
              <w:t>6</w:t>
            </w:r>
            <w:r w:rsidR="001D7392" w:rsidRPr="005C49F6">
              <w:rPr>
                <w:sz w:val="20"/>
                <w:szCs w:val="20"/>
              </w:rPr>
              <w:t>2</w:t>
            </w:r>
            <w:r w:rsidRPr="005C49F6">
              <w:rPr>
                <w:sz w:val="20"/>
                <w:szCs w:val="20"/>
              </w:rPr>
              <w:t>%)</w:t>
            </w:r>
          </w:p>
        </w:tc>
        <w:tc>
          <w:tcPr>
            <w:tcW w:w="1559" w:type="dxa"/>
          </w:tcPr>
          <w:p w14:paraId="1E8BDA34" w14:textId="494B5268" w:rsidR="00475CBF" w:rsidRPr="005C49F6" w:rsidRDefault="00475CBF" w:rsidP="005C49F6">
            <w:pPr>
              <w:jc w:val="center"/>
              <w:rPr>
                <w:sz w:val="20"/>
                <w:szCs w:val="20"/>
              </w:rPr>
            </w:pPr>
            <w:r w:rsidRPr="005C49F6">
              <w:rPr>
                <w:sz w:val="20"/>
                <w:szCs w:val="20"/>
              </w:rPr>
              <w:t>12</w:t>
            </w:r>
            <w:r w:rsidR="001D7392" w:rsidRPr="005C49F6">
              <w:rPr>
                <w:sz w:val="20"/>
                <w:szCs w:val="20"/>
              </w:rPr>
              <w:t>.2</w:t>
            </w:r>
            <w:r w:rsidRPr="005C49F6">
              <w:rPr>
                <w:sz w:val="20"/>
                <w:szCs w:val="20"/>
              </w:rPr>
              <w:t xml:space="preserve"> (</w:t>
            </w:r>
            <w:r w:rsidRPr="005C49F6">
              <w:rPr>
                <w:rFonts w:cstheme="minorHAnsi"/>
                <w:sz w:val="20"/>
                <w:szCs w:val="20"/>
              </w:rPr>
              <w:t>↓</w:t>
            </w:r>
            <w:r w:rsidRPr="005C49F6">
              <w:rPr>
                <w:sz w:val="20"/>
                <w:szCs w:val="20"/>
              </w:rPr>
              <w:t>4</w:t>
            </w:r>
            <w:r w:rsidR="001D7392" w:rsidRPr="005C49F6">
              <w:rPr>
                <w:sz w:val="20"/>
                <w:szCs w:val="20"/>
              </w:rPr>
              <w:t>5</w:t>
            </w:r>
            <w:r w:rsidRPr="005C49F6">
              <w:rPr>
                <w:sz w:val="20"/>
                <w:szCs w:val="20"/>
              </w:rPr>
              <w:t>%)</w:t>
            </w:r>
          </w:p>
        </w:tc>
        <w:tc>
          <w:tcPr>
            <w:tcW w:w="1512" w:type="dxa"/>
          </w:tcPr>
          <w:p w14:paraId="763EB0F6" w14:textId="328FEF4D" w:rsidR="00475CBF" w:rsidRPr="005C49F6" w:rsidRDefault="001D7392" w:rsidP="005C49F6">
            <w:pPr>
              <w:jc w:val="center"/>
              <w:rPr>
                <w:sz w:val="20"/>
                <w:szCs w:val="20"/>
              </w:rPr>
            </w:pPr>
            <w:r w:rsidRPr="005C49F6">
              <w:rPr>
                <w:sz w:val="20"/>
                <w:szCs w:val="20"/>
              </w:rPr>
              <w:t>8.6</w:t>
            </w:r>
            <w:r w:rsidR="00475CBF" w:rsidRPr="005C49F6">
              <w:rPr>
                <w:sz w:val="20"/>
                <w:szCs w:val="20"/>
              </w:rPr>
              <w:t xml:space="preserve"> (</w:t>
            </w:r>
            <w:r w:rsidR="00475CBF" w:rsidRPr="005C49F6">
              <w:rPr>
                <w:rFonts w:cstheme="minorHAnsi"/>
                <w:sz w:val="20"/>
                <w:szCs w:val="20"/>
              </w:rPr>
              <w:t>↓</w:t>
            </w:r>
            <w:r w:rsidRPr="005C49F6">
              <w:rPr>
                <w:rFonts w:cstheme="minorHAnsi"/>
                <w:sz w:val="20"/>
                <w:szCs w:val="20"/>
              </w:rPr>
              <w:t>23</w:t>
            </w:r>
            <w:r w:rsidR="00475CBF" w:rsidRPr="005C49F6">
              <w:rPr>
                <w:sz w:val="20"/>
                <w:szCs w:val="20"/>
              </w:rPr>
              <w:t>%)</w:t>
            </w:r>
          </w:p>
        </w:tc>
      </w:tr>
      <w:tr w:rsidR="00F25120" w:rsidRPr="005C49F6" w14:paraId="48F7F58F" w14:textId="77777777" w:rsidTr="005C49F6">
        <w:tc>
          <w:tcPr>
            <w:tcW w:w="3880" w:type="dxa"/>
          </w:tcPr>
          <w:p w14:paraId="497725F5" w14:textId="742858DA" w:rsidR="00F25120" w:rsidRPr="00102EF5" w:rsidRDefault="00F25120" w:rsidP="00E9281F">
            <w:pPr>
              <w:rPr>
                <w:sz w:val="20"/>
                <w:szCs w:val="20"/>
              </w:rPr>
            </w:pPr>
            <w:r w:rsidRPr="00102EF5">
              <w:rPr>
                <w:sz w:val="20"/>
                <w:szCs w:val="20"/>
              </w:rPr>
              <w:t>Mean daily catch (kg/day)</w:t>
            </w:r>
          </w:p>
        </w:tc>
        <w:tc>
          <w:tcPr>
            <w:tcW w:w="906" w:type="dxa"/>
          </w:tcPr>
          <w:p w14:paraId="7AF8080F" w14:textId="60C245F9" w:rsidR="00F25120" w:rsidRPr="00102EF5" w:rsidRDefault="00F25120" w:rsidP="005C49F6">
            <w:pPr>
              <w:jc w:val="center"/>
              <w:rPr>
                <w:sz w:val="20"/>
                <w:szCs w:val="20"/>
              </w:rPr>
            </w:pPr>
            <w:r w:rsidRPr="00102EF5">
              <w:rPr>
                <w:sz w:val="20"/>
                <w:szCs w:val="20"/>
              </w:rPr>
              <w:t>3</w:t>
            </w:r>
            <w:r w:rsidR="005273C4" w:rsidRPr="00102EF5">
              <w:rPr>
                <w:sz w:val="20"/>
                <w:szCs w:val="20"/>
              </w:rPr>
              <w:t>67.8</w:t>
            </w:r>
          </w:p>
        </w:tc>
        <w:tc>
          <w:tcPr>
            <w:tcW w:w="1701" w:type="dxa"/>
          </w:tcPr>
          <w:p w14:paraId="185A2269" w14:textId="0BB8AE25" w:rsidR="00F25120" w:rsidRPr="00102EF5" w:rsidRDefault="00F25120" w:rsidP="005C49F6">
            <w:pPr>
              <w:jc w:val="center"/>
              <w:rPr>
                <w:sz w:val="20"/>
                <w:szCs w:val="20"/>
              </w:rPr>
            </w:pPr>
            <w:r w:rsidRPr="00102EF5">
              <w:rPr>
                <w:sz w:val="20"/>
                <w:szCs w:val="20"/>
              </w:rPr>
              <w:t>42</w:t>
            </w:r>
            <w:r w:rsidR="005F6BC0" w:rsidRPr="00102EF5">
              <w:rPr>
                <w:sz w:val="20"/>
                <w:szCs w:val="20"/>
              </w:rPr>
              <w:t>6</w:t>
            </w:r>
            <w:r w:rsidRPr="00102EF5">
              <w:rPr>
                <w:sz w:val="20"/>
                <w:szCs w:val="20"/>
              </w:rPr>
              <w:t>.</w:t>
            </w:r>
            <w:r w:rsidR="005F6BC0" w:rsidRPr="00102EF5">
              <w:rPr>
                <w:sz w:val="20"/>
                <w:szCs w:val="20"/>
              </w:rPr>
              <w:t>5</w:t>
            </w:r>
            <w:r w:rsidRPr="00102EF5">
              <w:rPr>
                <w:sz w:val="20"/>
                <w:szCs w:val="20"/>
              </w:rPr>
              <w:t xml:space="preserve"> (</w:t>
            </w:r>
            <w:r w:rsidRPr="00102EF5">
              <w:rPr>
                <w:rFonts w:cstheme="minorHAnsi"/>
                <w:sz w:val="20"/>
                <w:szCs w:val="20"/>
              </w:rPr>
              <w:t>↓</w:t>
            </w:r>
            <w:r w:rsidR="00102EF5" w:rsidRPr="00102EF5">
              <w:rPr>
                <w:rFonts w:cstheme="minorHAnsi"/>
                <w:sz w:val="20"/>
                <w:szCs w:val="20"/>
              </w:rPr>
              <w:t>14</w:t>
            </w:r>
            <w:r w:rsidRPr="00102EF5">
              <w:rPr>
                <w:sz w:val="20"/>
                <w:szCs w:val="20"/>
              </w:rPr>
              <w:t>%)</w:t>
            </w:r>
          </w:p>
        </w:tc>
        <w:tc>
          <w:tcPr>
            <w:tcW w:w="1559" w:type="dxa"/>
          </w:tcPr>
          <w:p w14:paraId="54E6CC77" w14:textId="70244A1A" w:rsidR="00F25120" w:rsidRPr="00102EF5" w:rsidRDefault="00F25120" w:rsidP="005C49F6">
            <w:pPr>
              <w:jc w:val="center"/>
              <w:rPr>
                <w:sz w:val="20"/>
                <w:szCs w:val="20"/>
              </w:rPr>
            </w:pPr>
            <w:r w:rsidRPr="00102EF5">
              <w:rPr>
                <w:sz w:val="20"/>
                <w:szCs w:val="20"/>
              </w:rPr>
              <w:t>43</w:t>
            </w:r>
            <w:r w:rsidR="005F6BC0" w:rsidRPr="00102EF5">
              <w:rPr>
                <w:sz w:val="20"/>
                <w:szCs w:val="20"/>
              </w:rPr>
              <w:t>3.3</w:t>
            </w:r>
            <w:r w:rsidRPr="00102EF5">
              <w:rPr>
                <w:sz w:val="20"/>
                <w:szCs w:val="20"/>
              </w:rPr>
              <w:t xml:space="preserve"> (</w:t>
            </w:r>
            <w:r w:rsidRPr="00102EF5">
              <w:rPr>
                <w:rFonts w:cstheme="minorHAnsi"/>
                <w:sz w:val="20"/>
                <w:szCs w:val="20"/>
              </w:rPr>
              <w:t>↓</w:t>
            </w:r>
            <w:r w:rsidR="00B314AC" w:rsidRPr="00102EF5">
              <w:rPr>
                <w:rFonts w:cstheme="minorHAnsi"/>
                <w:sz w:val="20"/>
                <w:szCs w:val="20"/>
              </w:rPr>
              <w:t>1</w:t>
            </w:r>
            <w:r w:rsidR="00102EF5" w:rsidRPr="00102EF5">
              <w:rPr>
                <w:rFonts w:cstheme="minorHAnsi"/>
                <w:sz w:val="20"/>
                <w:szCs w:val="20"/>
              </w:rPr>
              <w:t>5</w:t>
            </w:r>
            <w:r w:rsidRPr="00102EF5">
              <w:rPr>
                <w:sz w:val="20"/>
                <w:szCs w:val="20"/>
              </w:rPr>
              <w:t>%)</w:t>
            </w:r>
          </w:p>
        </w:tc>
        <w:tc>
          <w:tcPr>
            <w:tcW w:w="1512" w:type="dxa"/>
          </w:tcPr>
          <w:p w14:paraId="353EE585" w14:textId="07A0A4FD" w:rsidR="00F25120" w:rsidRPr="005C49F6" w:rsidRDefault="005273C4" w:rsidP="005C49F6">
            <w:pPr>
              <w:jc w:val="center"/>
              <w:rPr>
                <w:sz w:val="20"/>
                <w:szCs w:val="20"/>
              </w:rPr>
            </w:pPr>
            <w:r w:rsidRPr="00102EF5">
              <w:rPr>
                <w:sz w:val="20"/>
                <w:szCs w:val="20"/>
              </w:rPr>
              <w:t>277.5</w:t>
            </w:r>
            <w:r w:rsidR="00F25120" w:rsidRPr="00102EF5">
              <w:rPr>
                <w:sz w:val="20"/>
                <w:szCs w:val="20"/>
              </w:rPr>
              <w:t xml:space="preserve"> (</w:t>
            </w:r>
            <w:r w:rsidRPr="00102EF5">
              <w:rPr>
                <w:rFonts w:ascii="Calibri" w:hAnsi="Calibri" w:cs="Calibri"/>
                <w:sz w:val="20"/>
                <w:szCs w:val="20"/>
              </w:rPr>
              <w:t>↑</w:t>
            </w:r>
            <w:r w:rsidR="00102EF5" w:rsidRPr="00102EF5">
              <w:rPr>
                <w:rFonts w:ascii="Calibri" w:hAnsi="Calibri" w:cs="Calibri"/>
                <w:sz w:val="20"/>
                <w:szCs w:val="20"/>
              </w:rPr>
              <w:t>3</w:t>
            </w:r>
            <w:r w:rsidR="00B314AC" w:rsidRPr="00102EF5">
              <w:rPr>
                <w:rFonts w:cstheme="minorHAnsi"/>
                <w:sz w:val="20"/>
                <w:szCs w:val="20"/>
              </w:rPr>
              <w:t>3</w:t>
            </w:r>
            <w:r w:rsidR="00F25120" w:rsidRPr="00102EF5">
              <w:rPr>
                <w:sz w:val="20"/>
                <w:szCs w:val="20"/>
              </w:rPr>
              <w:t>%)</w:t>
            </w:r>
          </w:p>
        </w:tc>
      </w:tr>
      <w:tr w:rsidR="00475CBF" w:rsidRPr="005C49F6" w14:paraId="7A14DE13" w14:textId="77777777" w:rsidTr="005C49F6">
        <w:tc>
          <w:tcPr>
            <w:tcW w:w="3880" w:type="dxa"/>
          </w:tcPr>
          <w:p w14:paraId="5397BBF4" w14:textId="77777777" w:rsidR="00475CBF" w:rsidRPr="005C49F6" w:rsidRDefault="00475CBF" w:rsidP="00E9281F">
            <w:pPr>
              <w:rPr>
                <w:sz w:val="20"/>
                <w:szCs w:val="20"/>
              </w:rPr>
            </w:pPr>
            <w:r w:rsidRPr="005C49F6">
              <w:rPr>
                <w:sz w:val="20"/>
                <w:szCs w:val="20"/>
              </w:rPr>
              <w:t>Pre-recruit abundance (Top 15 n/transect)</w:t>
            </w:r>
          </w:p>
        </w:tc>
        <w:tc>
          <w:tcPr>
            <w:tcW w:w="906" w:type="dxa"/>
          </w:tcPr>
          <w:p w14:paraId="7F125ECC" w14:textId="6DB627A7" w:rsidR="00475CBF" w:rsidRPr="005C49F6" w:rsidRDefault="001D7392" w:rsidP="005C49F6">
            <w:pPr>
              <w:jc w:val="center"/>
              <w:rPr>
                <w:sz w:val="20"/>
                <w:szCs w:val="20"/>
              </w:rPr>
            </w:pPr>
            <w:r w:rsidRPr="005C49F6">
              <w:rPr>
                <w:sz w:val="20"/>
                <w:szCs w:val="20"/>
              </w:rPr>
              <w:t>8.1</w:t>
            </w:r>
            <w:r w:rsidR="00AE12CC">
              <w:rPr>
                <w:sz w:val="20"/>
                <w:szCs w:val="20"/>
              </w:rPr>
              <w:t>*</w:t>
            </w:r>
          </w:p>
        </w:tc>
        <w:tc>
          <w:tcPr>
            <w:tcW w:w="1701" w:type="dxa"/>
          </w:tcPr>
          <w:p w14:paraId="7ECBAC2B" w14:textId="70057991" w:rsidR="00475CBF" w:rsidRPr="005C49F6" w:rsidRDefault="00475CBF" w:rsidP="005C49F6">
            <w:pPr>
              <w:jc w:val="center"/>
              <w:rPr>
                <w:sz w:val="20"/>
                <w:szCs w:val="20"/>
              </w:rPr>
            </w:pPr>
            <w:r w:rsidRPr="005C49F6">
              <w:rPr>
                <w:sz w:val="20"/>
                <w:szCs w:val="20"/>
              </w:rPr>
              <w:t>14.</w:t>
            </w:r>
            <w:r w:rsidR="001D7392" w:rsidRPr="005C49F6">
              <w:rPr>
                <w:sz w:val="20"/>
                <w:szCs w:val="20"/>
              </w:rPr>
              <w:t>6</w:t>
            </w:r>
            <w:r w:rsidRPr="005C49F6">
              <w:rPr>
                <w:sz w:val="20"/>
                <w:szCs w:val="20"/>
              </w:rPr>
              <w:t xml:space="preserve"> (</w:t>
            </w:r>
            <w:r w:rsidRPr="005C49F6">
              <w:rPr>
                <w:rFonts w:cstheme="minorHAnsi"/>
                <w:sz w:val="20"/>
                <w:szCs w:val="20"/>
              </w:rPr>
              <w:t>↓</w:t>
            </w:r>
            <w:r w:rsidR="001D7392" w:rsidRPr="005C49F6">
              <w:rPr>
                <w:rFonts w:cstheme="minorHAnsi"/>
                <w:sz w:val="20"/>
                <w:szCs w:val="20"/>
              </w:rPr>
              <w:t>44</w:t>
            </w:r>
            <w:r w:rsidRPr="005C49F6">
              <w:rPr>
                <w:sz w:val="20"/>
                <w:szCs w:val="20"/>
              </w:rPr>
              <w:t>%)</w:t>
            </w:r>
          </w:p>
        </w:tc>
        <w:tc>
          <w:tcPr>
            <w:tcW w:w="1559" w:type="dxa"/>
          </w:tcPr>
          <w:p w14:paraId="6698FBC2" w14:textId="2E478ED5" w:rsidR="00475CBF" w:rsidRPr="005C49F6" w:rsidRDefault="00475CBF" w:rsidP="005C49F6">
            <w:pPr>
              <w:jc w:val="center"/>
              <w:rPr>
                <w:sz w:val="20"/>
                <w:szCs w:val="20"/>
              </w:rPr>
            </w:pPr>
            <w:r w:rsidRPr="005C49F6">
              <w:rPr>
                <w:sz w:val="20"/>
                <w:szCs w:val="20"/>
              </w:rPr>
              <w:t>1</w:t>
            </w:r>
            <w:r w:rsidR="001D7392" w:rsidRPr="005C49F6">
              <w:rPr>
                <w:sz w:val="20"/>
                <w:szCs w:val="20"/>
              </w:rPr>
              <w:t>4.7</w:t>
            </w:r>
            <w:r w:rsidRPr="005C49F6">
              <w:rPr>
                <w:sz w:val="20"/>
                <w:szCs w:val="20"/>
              </w:rPr>
              <w:t xml:space="preserve"> (</w:t>
            </w:r>
            <w:r w:rsidRPr="005C49F6">
              <w:rPr>
                <w:rFonts w:cstheme="minorHAnsi"/>
                <w:sz w:val="20"/>
                <w:szCs w:val="20"/>
              </w:rPr>
              <w:t>↓</w:t>
            </w:r>
            <w:r w:rsidR="001D7392" w:rsidRPr="005C49F6">
              <w:rPr>
                <w:rFonts w:cstheme="minorHAnsi"/>
                <w:sz w:val="20"/>
                <w:szCs w:val="20"/>
              </w:rPr>
              <w:t>45</w:t>
            </w:r>
            <w:r w:rsidRPr="005C49F6">
              <w:rPr>
                <w:sz w:val="20"/>
                <w:szCs w:val="20"/>
              </w:rPr>
              <w:t>%)</w:t>
            </w:r>
          </w:p>
        </w:tc>
        <w:tc>
          <w:tcPr>
            <w:tcW w:w="1512" w:type="dxa"/>
          </w:tcPr>
          <w:p w14:paraId="15FF3159" w14:textId="15D8167F" w:rsidR="00475CBF" w:rsidRPr="005C49F6" w:rsidRDefault="001D7392" w:rsidP="005C49F6">
            <w:pPr>
              <w:jc w:val="center"/>
              <w:rPr>
                <w:sz w:val="20"/>
                <w:szCs w:val="20"/>
              </w:rPr>
            </w:pPr>
            <w:r w:rsidRPr="005C49F6">
              <w:rPr>
                <w:sz w:val="20"/>
                <w:szCs w:val="20"/>
              </w:rPr>
              <w:t>6.1</w:t>
            </w:r>
            <w:r w:rsidR="00475CBF" w:rsidRPr="005C49F6">
              <w:rPr>
                <w:sz w:val="20"/>
                <w:szCs w:val="20"/>
              </w:rPr>
              <w:t xml:space="preserve"> (</w:t>
            </w:r>
            <w:r w:rsidR="00475CBF" w:rsidRPr="005C49F6">
              <w:rPr>
                <w:rFonts w:ascii="Calibri" w:hAnsi="Calibri" w:cs="Calibri"/>
                <w:sz w:val="20"/>
                <w:szCs w:val="20"/>
              </w:rPr>
              <w:t>↑</w:t>
            </w:r>
            <w:r w:rsidRPr="005C49F6">
              <w:rPr>
                <w:rFonts w:ascii="Calibri" w:hAnsi="Calibri" w:cs="Calibri"/>
                <w:sz w:val="20"/>
                <w:szCs w:val="20"/>
              </w:rPr>
              <w:t>34</w:t>
            </w:r>
            <w:r w:rsidR="00475CBF" w:rsidRPr="005C49F6">
              <w:rPr>
                <w:sz w:val="20"/>
                <w:szCs w:val="20"/>
              </w:rPr>
              <w:t>%)</w:t>
            </w:r>
          </w:p>
        </w:tc>
      </w:tr>
      <w:tr w:rsidR="00475CBF" w:rsidRPr="005C49F6" w14:paraId="3D6CE447" w14:textId="77777777" w:rsidTr="005C49F6">
        <w:tc>
          <w:tcPr>
            <w:tcW w:w="3880" w:type="dxa"/>
          </w:tcPr>
          <w:p w14:paraId="0D986854" w14:textId="77777777" w:rsidR="00475CBF" w:rsidRPr="005C49F6" w:rsidRDefault="00475CBF" w:rsidP="00E9281F">
            <w:pPr>
              <w:rPr>
                <w:sz w:val="20"/>
                <w:szCs w:val="20"/>
              </w:rPr>
            </w:pPr>
            <w:r w:rsidRPr="005C49F6">
              <w:rPr>
                <w:sz w:val="20"/>
                <w:szCs w:val="20"/>
              </w:rPr>
              <w:t>Catch (t)</w:t>
            </w:r>
          </w:p>
        </w:tc>
        <w:tc>
          <w:tcPr>
            <w:tcW w:w="906" w:type="dxa"/>
          </w:tcPr>
          <w:p w14:paraId="2AE727DF" w14:textId="4FF5DEA0" w:rsidR="00475CBF" w:rsidRPr="005C49F6" w:rsidRDefault="00AE12CC" w:rsidP="005C49F6">
            <w:pPr>
              <w:jc w:val="center"/>
              <w:rPr>
                <w:sz w:val="20"/>
                <w:szCs w:val="20"/>
              </w:rPr>
            </w:pPr>
            <w:r>
              <w:rPr>
                <w:sz w:val="20"/>
                <w:szCs w:val="20"/>
              </w:rPr>
              <w:t>284.5</w:t>
            </w:r>
          </w:p>
        </w:tc>
        <w:tc>
          <w:tcPr>
            <w:tcW w:w="1701" w:type="dxa"/>
          </w:tcPr>
          <w:p w14:paraId="00F16930" w14:textId="6B5D9679" w:rsidR="00475CBF" w:rsidRPr="005C49F6" w:rsidRDefault="00475CBF" w:rsidP="005C49F6">
            <w:pPr>
              <w:jc w:val="center"/>
              <w:rPr>
                <w:sz w:val="20"/>
                <w:szCs w:val="20"/>
              </w:rPr>
            </w:pPr>
            <w:r w:rsidRPr="005C49F6">
              <w:rPr>
                <w:sz w:val="20"/>
                <w:szCs w:val="20"/>
              </w:rPr>
              <w:t>480.7 (</w:t>
            </w:r>
            <w:r w:rsidRPr="005C49F6">
              <w:rPr>
                <w:rFonts w:cstheme="minorHAnsi"/>
                <w:sz w:val="20"/>
                <w:szCs w:val="20"/>
              </w:rPr>
              <w:t>↓</w:t>
            </w:r>
            <w:r w:rsidR="00AE12CC">
              <w:rPr>
                <w:rFonts w:cstheme="minorHAnsi"/>
                <w:sz w:val="20"/>
                <w:szCs w:val="20"/>
              </w:rPr>
              <w:t>4</w:t>
            </w:r>
            <w:r w:rsidRPr="005C49F6">
              <w:rPr>
                <w:rFonts w:cstheme="minorHAnsi"/>
                <w:sz w:val="20"/>
                <w:szCs w:val="20"/>
              </w:rPr>
              <w:t>1</w:t>
            </w:r>
            <w:r w:rsidRPr="005C49F6">
              <w:rPr>
                <w:sz w:val="20"/>
                <w:szCs w:val="20"/>
              </w:rPr>
              <w:t>%)</w:t>
            </w:r>
          </w:p>
        </w:tc>
        <w:tc>
          <w:tcPr>
            <w:tcW w:w="1559" w:type="dxa"/>
          </w:tcPr>
          <w:p w14:paraId="485CFB61" w14:textId="0E18B059" w:rsidR="00475CBF" w:rsidRPr="005C49F6" w:rsidRDefault="00475CBF" w:rsidP="005C49F6">
            <w:pPr>
              <w:jc w:val="center"/>
              <w:rPr>
                <w:sz w:val="20"/>
                <w:szCs w:val="20"/>
              </w:rPr>
            </w:pPr>
            <w:r w:rsidRPr="005C49F6">
              <w:rPr>
                <w:sz w:val="20"/>
                <w:szCs w:val="20"/>
              </w:rPr>
              <w:t>460.4 (</w:t>
            </w:r>
            <w:r w:rsidRPr="005C49F6">
              <w:rPr>
                <w:rFonts w:cstheme="minorHAnsi"/>
                <w:sz w:val="20"/>
                <w:szCs w:val="20"/>
              </w:rPr>
              <w:t>↓</w:t>
            </w:r>
            <w:r w:rsidR="00AE12CC">
              <w:rPr>
                <w:rFonts w:cstheme="minorHAnsi"/>
                <w:sz w:val="20"/>
                <w:szCs w:val="20"/>
              </w:rPr>
              <w:t>3</w:t>
            </w:r>
            <w:r w:rsidRPr="005C49F6">
              <w:rPr>
                <w:sz w:val="20"/>
                <w:szCs w:val="20"/>
              </w:rPr>
              <w:t>8%)</w:t>
            </w:r>
          </w:p>
        </w:tc>
        <w:tc>
          <w:tcPr>
            <w:tcW w:w="1512" w:type="dxa"/>
          </w:tcPr>
          <w:p w14:paraId="322480C5" w14:textId="3F7ABA6F" w:rsidR="00475CBF" w:rsidRPr="005C49F6" w:rsidRDefault="00AE12CC" w:rsidP="005C49F6">
            <w:pPr>
              <w:jc w:val="center"/>
              <w:rPr>
                <w:sz w:val="20"/>
                <w:szCs w:val="20"/>
              </w:rPr>
            </w:pPr>
            <w:r>
              <w:rPr>
                <w:sz w:val="20"/>
                <w:szCs w:val="20"/>
              </w:rPr>
              <w:t>282.5</w:t>
            </w:r>
            <w:r w:rsidR="00475CBF" w:rsidRPr="005C49F6">
              <w:rPr>
                <w:sz w:val="20"/>
                <w:szCs w:val="20"/>
              </w:rPr>
              <w:t xml:space="preserve"> (</w:t>
            </w:r>
            <w:r w:rsidRPr="005C49F6">
              <w:rPr>
                <w:rFonts w:ascii="Calibri" w:hAnsi="Calibri" w:cs="Calibri"/>
                <w:sz w:val="20"/>
                <w:szCs w:val="20"/>
              </w:rPr>
              <w:t>↑</w:t>
            </w:r>
            <w:r>
              <w:rPr>
                <w:rFonts w:cstheme="minorHAnsi"/>
                <w:sz w:val="20"/>
                <w:szCs w:val="20"/>
              </w:rPr>
              <w:t>1</w:t>
            </w:r>
            <w:r w:rsidR="00475CBF" w:rsidRPr="005C49F6">
              <w:rPr>
                <w:sz w:val="20"/>
                <w:szCs w:val="20"/>
              </w:rPr>
              <w:t>%)</w:t>
            </w:r>
          </w:p>
        </w:tc>
      </w:tr>
      <w:tr w:rsidR="00475CBF" w:rsidRPr="005C49F6" w14:paraId="70EF35CF" w14:textId="77777777" w:rsidTr="005C49F6">
        <w:tc>
          <w:tcPr>
            <w:tcW w:w="3880" w:type="dxa"/>
          </w:tcPr>
          <w:p w14:paraId="157E420D" w14:textId="635772CD" w:rsidR="00475CBF" w:rsidRPr="005C49F6" w:rsidRDefault="00475CBF" w:rsidP="00E9281F">
            <w:pPr>
              <w:rPr>
                <w:sz w:val="20"/>
                <w:szCs w:val="20"/>
              </w:rPr>
            </w:pPr>
            <w:r w:rsidRPr="005C49F6">
              <w:rPr>
                <w:sz w:val="20"/>
                <w:szCs w:val="20"/>
              </w:rPr>
              <w:t>202</w:t>
            </w:r>
            <w:r w:rsidR="00AE12CC">
              <w:rPr>
                <w:sz w:val="20"/>
                <w:szCs w:val="20"/>
              </w:rPr>
              <w:t>3</w:t>
            </w:r>
            <w:r w:rsidRPr="005C49F6">
              <w:rPr>
                <w:sz w:val="20"/>
                <w:szCs w:val="20"/>
              </w:rPr>
              <w:t>/2</w:t>
            </w:r>
            <w:r w:rsidR="00AE12CC">
              <w:rPr>
                <w:sz w:val="20"/>
                <w:szCs w:val="20"/>
              </w:rPr>
              <w:t>4</w:t>
            </w:r>
            <w:r w:rsidRPr="005C49F6">
              <w:rPr>
                <w:sz w:val="20"/>
                <w:szCs w:val="20"/>
              </w:rPr>
              <w:t xml:space="preserve"> TACC t</w:t>
            </w:r>
            <w:r w:rsidR="00AE12CC">
              <w:rPr>
                <w:sz w:val="20"/>
                <w:szCs w:val="20"/>
              </w:rPr>
              <w:t>, (% TACC)</w:t>
            </w:r>
          </w:p>
        </w:tc>
        <w:tc>
          <w:tcPr>
            <w:tcW w:w="5678" w:type="dxa"/>
            <w:gridSpan w:val="4"/>
          </w:tcPr>
          <w:p w14:paraId="27B8A06D" w14:textId="2CDC0F1F" w:rsidR="00475CBF" w:rsidRPr="005C49F6" w:rsidRDefault="005C49F6" w:rsidP="00E9281F">
            <w:pPr>
              <w:rPr>
                <w:sz w:val="20"/>
                <w:szCs w:val="20"/>
              </w:rPr>
            </w:pPr>
            <w:r>
              <w:rPr>
                <w:sz w:val="20"/>
                <w:szCs w:val="20"/>
              </w:rPr>
              <w:t xml:space="preserve">   </w:t>
            </w:r>
            <w:r w:rsidR="00AE12CC">
              <w:rPr>
                <w:sz w:val="20"/>
                <w:szCs w:val="20"/>
              </w:rPr>
              <w:t>284.6 t, (100%)</w:t>
            </w:r>
          </w:p>
        </w:tc>
      </w:tr>
    </w:tbl>
    <w:p w14:paraId="1756080B" w14:textId="7623BE17" w:rsidR="00C70DC4" w:rsidRDefault="00C70DC4" w:rsidP="006561A1">
      <w:pPr>
        <w:pStyle w:val="Heading2"/>
        <w:numPr>
          <w:ilvl w:val="1"/>
          <w:numId w:val="7"/>
        </w:numPr>
        <w:ind w:left="709" w:hanging="709"/>
      </w:pPr>
      <w:bookmarkStart w:id="66" w:name="_Toc182219908"/>
      <w:bookmarkStart w:id="67" w:name="Xde8b2a0c74917e686b3dcb53c92497c68b5d763"/>
      <w:r>
        <w:t xml:space="preserve">Spatial management unit </w:t>
      </w:r>
      <w:r w:rsidR="00574B0E">
        <w:t xml:space="preserve">(SMU) blacklip </w:t>
      </w:r>
      <w:r>
        <w:t>assessment</w:t>
      </w:r>
      <w:bookmarkEnd w:id="66"/>
      <w:r>
        <w:t xml:space="preserve"> </w:t>
      </w:r>
    </w:p>
    <w:p w14:paraId="3DF28FD0" w14:textId="1D1C6B40" w:rsidR="00C55103" w:rsidRDefault="00C55103" w:rsidP="00A77A9D">
      <w:pPr>
        <w:pStyle w:val="Heading3"/>
      </w:pPr>
      <w:bookmarkStart w:id="68" w:name="_Toc182219909"/>
      <w:r>
        <w:t>SMU Performance Measures</w:t>
      </w:r>
      <w:bookmarkEnd w:id="68"/>
    </w:p>
    <w:p w14:paraId="078F70AD" w14:textId="1B53B0AE" w:rsidR="00401F99" w:rsidRDefault="00401F99" w:rsidP="00401F99">
      <w:r>
        <w:t xml:space="preserve">Assessing SMUs on an individual basis provides a more detailed picture of spatial patterns of performance measures and distributions of effort and catch within the Zone. In </w:t>
      </w:r>
      <w:r w:rsidR="00062AFC">
        <w:t>2023/24</w:t>
      </w:r>
      <w:r>
        <w:t xml:space="preserve">, the distribution of catches generally did not reflect the OTs established for several SMUs (Table 3). </w:t>
      </w:r>
      <w:bookmarkStart w:id="69" w:name="_Hlk118302220"/>
      <w:r>
        <w:t>As for other recent years, the catch at Marlo (</w:t>
      </w:r>
      <w:r w:rsidR="00E71894">
        <w:t>48.0</w:t>
      </w:r>
      <w:r>
        <w:t xml:space="preserve"> t) was </w:t>
      </w:r>
      <w:r w:rsidR="00E71894">
        <w:t>33%</w:t>
      </w:r>
      <w:r>
        <w:t xml:space="preserve"> below the OT (</w:t>
      </w:r>
      <w:r w:rsidR="00E71894">
        <w:t>71.5</w:t>
      </w:r>
      <w:r>
        <w:t xml:space="preserve"> t). Catches from Mallacoota West (</w:t>
      </w:r>
      <w:r w:rsidR="00E71894">
        <w:t>18.1</w:t>
      </w:r>
      <w:r>
        <w:t xml:space="preserve"> t) were </w:t>
      </w:r>
      <w:r w:rsidR="00E71894">
        <w:t>16</w:t>
      </w:r>
      <w:r>
        <w:t>% below the OT</w:t>
      </w:r>
      <w:r w:rsidR="00E71894">
        <w:t xml:space="preserve"> (21.5 t)</w:t>
      </w:r>
      <w:r>
        <w:t xml:space="preserve">. Catches </w:t>
      </w:r>
      <w:r w:rsidR="00E71894">
        <w:t>were 14-17% above the respective OT’s at the Airport, Mallacoota Central, Mallacoota East and Mallacoota Small SMU’s</w:t>
      </w:r>
      <w:r>
        <w:t>.</w:t>
      </w:r>
      <w:bookmarkEnd w:id="69"/>
    </w:p>
    <w:p w14:paraId="24E2410A" w14:textId="7EA55BB8" w:rsidR="00401F99" w:rsidRDefault="00284DAE" w:rsidP="00401F99">
      <w:r>
        <w:t xml:space="preserve">Declines in standardised CPUE were seen at all temporal scales for the Eastern Zone (Table 3). The Marlo SMU showed the greatest declines in CPUE at each of the three temporal scales. Declines in CPUE were seen at all SMUs in the last 4 years except for Mallacoota Large. </w:t>
      </w:r>
    </w:p>
    <w:p w14:paraId="492803E6" w14:textId="101CB0EC" w:rsidR="006640F4" w:rsidRDefault="006640F4" w:rsidP="006640F4">
      <w:r>
        <w:t xml:space="preserve">Table 3 also defines SMUs by their size </w:t>
      </w:r>
      <w:r w:rsidR="00404F26">
        <w:t>defined by their contribution to the catch</w:t>
      </w:r>
      <w:r w:rsidR="00914FBC">
        <w:t xml:space="preserve"> </w:t>
      </w:r>
      <w:r>
        <w:t>(</w:t>
      </w:r>
      <w:r w:rsidR="00404F26">
        <w:t xml:space="preserve">VFA </w:t>
      </w:r>
      <w:r>
        <w:t xml:space="preserve">2018). Large SMUs are defined as those where total catches accounted for </w:t>
      </w:r>
      <m:oMath>
        <m:r>
          <m:rPr>
            <m:sty m:val="p"/>
          </m:rPr>
          <w:rPr>
            <w:rFonts w:ascii="Cambria Math" w:hAnsi="Cambria Math"/>
          </w:rPr>
          <m:t>&gt;</m:t>
        </m:r>
      </m:oMath>
      <w:r>
        <w:t xml:space="preserve"> 15% of the TACC, medium SMUs are defined as those where total catches accounted for 10-15% of the TACC, and small SMUs are defined as those where total catches accounted for &lt;10% of the TACC. </w:t>
      </w:r>
    </w:p>
    <w:p w14:paraId="1F2A7968" w14:textId="1897B417" w:rsidR="006640F4" w:rsidRDefault="006640F4" w:rsidP="006640F4">
      <w:r>
        <w:t xml:space="preserve">In </w:t>
      </w:r>
      <w:r w:rsidR="00062AFC">
        <w:t>2023/24</w:t>
      </w:r>
      <w:r>
        <w:t xml:space="preserve">, the Airport </w:t>
      </w:r>
      <w:r w:rsidR="00284DAE">
        <w:t>contributed 34.2</w:t>
      </w:r>
      <w:r>
        <w:t>%</w:t>
      </w:r>
      <w:r w:rsidR="00284DAE">
        <w:t xml:space="preserve"> of the total catch, which was the highest proportional contribution of any SMU in the fisher</w:t>
      </w:r>
      <w:r w:rsidR="003E55CC">
        <w:t>y’</w:t>
      </w:r>
      <w:r w:rsidR="00284DAE">
        <w:t xml:space="preserve">s history. Mallacoota </w:t>
      </w:r>
      <w:r w:rsidR="00171918">
        <w:t>C</w:t>
      </w:r>
      <w:r w:rsidR="00284DAE">
        <w:t xml:space="preserve">entral was the second highest contributor (19.1%) followed by </w:t>
      </w:r>
      <w:r>
        <w:t>Marlo (</w:t>
      </w:r>
      <w:r w:rsidR="00284DAE">
        <w:t>16.9</w:t>
      </w:r>
      <w:r>
        <w:t xml:space="preserve">%) </w:t>
      </w:r>
      <w:r w:rsidR="00284DAE">
        <w:t xml:space="preserve">which continues to decline in its contribution. </w:t>
      </w:r>
      <w:r w:rsidR="008C2010">
        <w:t xml:space="preserve">Mallacoota East (10.7%) was the only Medium SMU. Mallacoota West joined Mallacoota Large and Mallacoota Small as Small SMU’s in 2023/24, with each producing similar catch levels. </w:t>
      </w:r>
      <w:r>
        <w:t xml:space="preserve">The following sections of the report present data and assessments of each SMU, ranked in order from the largest to the smallest contributors to catch. </w:t>
      </w:r>
    </w:p>
    <w:p w14:paraId="4621D15B" w14:textId="1BE0EF46" w:rsidR="00574B0E" w:rsidRDefault="00B5334D" w:rsidP="00B5334D">
      <w:pPr>
        <w:pStyle w:val="TableCaption"/>
      </w:pPr>
      <w:bookmarkStart w:id="70" w:name="_Toc182219863"/>
      <w:r>
        <w:t>Table 3: Performance measures used in the assessment of the Eastern Zone abalone fishery at the SMU scale (Zone totals repeated for reference).</w:t>
      </w:r>
      <w:bookmarkEnd w:id="70"/>
      <w:r>
        <w:t xml:space="preserve"> </w:t>
      </w:r>
    </w:p>
    <w:tbl>
      <w:tblPr>
        <w:tblW w:w="9523" w:type="dxa"/>
        <w:jc w:val="center"/>
        <w:tblLayout w:type="fixed"/>
        <w:tblLook w:val="0420" w:firstRow="1" w:lastRow="0" w:firstColumn="0" w:lastColumn="0" w:noHBand="0" w:noVBand="1"/>
      </w:tblPr>
      <w:tblGrid>
        <w:gridCol w:w="1726"/>
        <w:gridCol w:w="993"/>
        <w:gridCol w:w="1074"/>
        <w:gridCol w:w="768"/>
        <w:gridCol w:w="1134"/>
        <w:gridCol w:w="1276"/>
        <w:gridCol w:w="1276"/>
        <w:gridCol w:w="1276"/>
      </w:tblGrid>
      <w:tr w:rsidR="00645BF0" w14:paraId="3CECB068" w14:textId="56084B68" w:rsidTr="00D27A8F">
        <w:trPr>
          <w:tblHeader/>
          <w:jc w:val="center"/>
        </w:trPr>
        <w:tc>
          <w:tcPr>
            <w:tcW w:w="172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CFABF4"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Spatial Management Unit (SMU)</w:t>
            </w:r>
          </w:p>
        </w:tc>
        <w:tc>
          <w:tcPr>
            <w:tcW w:w="396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04959F"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Catch</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FFFFFF"/>
          </w:tcPr>
          <w:p w14:paraId="1741CB78" w14:textId="367A7D3E" w:rsidR="00645BF0" w:rsidRPr="00184205" w:rsidRDefault="00DF01D3" w:rsidP="00E9281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 xml:space="preserve">Standardised </w:t>
            </w:r>
            <w:r w:rsidR="00645BF0" w:rsidRPr="00184205">
              <w:rPr>
                <w:rFonts w:ascii="Arial" w:eastAsia="Arial" w:hAnsi="Arial" w:cs="Arial"/>
                <w:color w:val="000000"/>
                <w:sz w:val="18"/>
                <w:szCs w:val="18"/>
              </w:rPr>
              <w:t>CPUE</w:t>
            </w:r>
          </w:p>
        </w:tc>
      </w:tr>
      <w:tr w:rsidR="00645BF0" w14:paraId="3A00FE48" w14:textId="522789A4" w:rsidTr="00FD60F0">
        <w:trPr>
          <w:tblHeader/>
          <w:jc w:val="center"/>
        </w:trPr>
        <w:tc>
          <w:tcPr>
            <w:tcW w:w="172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384FBC"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20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57C3DB" w14:textId="535F9669"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Total Catch 202</w:t>
            </w:r>
            <w:r w:rsidR="00696A8A">
              <w:rPr>
                <w:rFonts w:ascii="Arial" w:eastAsia="Arial" w:hAnsi="Arial" w:cs="Arial"/>
                <w:color w:val="000000"/>
                <w:sz w:val="18"/>
                <w:szCs w:val="18"/>
              </w:rPr>
              <w:t>3</w:t>
            </w:r>
            <w:r w:rsidRPr="00D27A8F">
              <w:rPr>
                <w:rFonts w:ascii="Arial" w:eastAsia="Arial" w:hAnsi="Arial" w:cs="Arial"/>
                <w:color w:val="000000"/>
                <w:sz w:val="18"/>
                <w:szCs w:val="18"/>
              </w:rPr>
              <w:t>/2</w:t>
            </w:r>
            <w:r w:rsidR="00696A8A">
              <w:rPr>
                <w:rFonts w:ascii="Arial" w:eastAsia="Arial" w:hAnsi="Arial" w:cs="Arial"/>
                <w:color w:val="000000"/>
                <w:sz w:val="18"/>
                <w:szCs w:val="18"/>
              </w:rPr>
              <w:t>4</w:t>
            </w:r>
          </w:p>
        </w:tc>
        <w:tc>
          <w:tcPr>
            <w:tcW w:w="7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0152E4"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OT (t)</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D5E6B8"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SMU Category</w:t>
            </w:r>
          </w:p>
        </w:tc>
        <w:tc>
          <w:tcPr>
            <w:tcW w:w="1276" w:type="dxa"/>
            <w:vMerge w:val="restart"/>
            <w:tcBorders>
              <w:top w:val="single" w:sz="8" w:space="0" w:color="000000"/>
              <w:left w:val="single" w:sz="8" w:space="0" w:color="000000"/>
              <w:right w:val="single" w:sz="8" w:space="0" w:color="000000"/>
            </w:tcBorders>
            <w:shd w:val="clear" w:color="auto" w:fill="FFFFFF"/>
          </w:tcPr>
          <w:p w14:paraId="46E41E5B" w14:textId="6A2A8492" w:rsidR="00645BF0" w:rsidRPr="00184205"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Long-term (2003/04)</w:t>
            </w:r>
          </w:p>
        </w:tc>
        <w:tc>
          <w:tcPr>
            <w:tcW w:w="1276" w:type="dxa"/>
            <w:vMerge w:val="restart"/>
            <w:tcBorders>
              <w:top w:val="single" w:sz="8" w:space="0" w:color="000000"/>
              <w:left w:val="single" w:sz="8" w:space="0" w:color="000000"/>
              <w:right w:val="single" w:sz="8" w:space="0" w:color="000000"/>
            </w:tcBorders>
            <w:shd w:val="clear" w:color="auto" w:fill="FFFFFF"/>
          </w:tcPr>
          <w:p w14:paraId="5D0FE07A" w14:textId="59EF00E4" w:rsidR="00645BF0" w:rsidRPr="00184205"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Short-term (2009/10)</w:t>
            </w:r>
          </w:p>
        </w:tc>
        <w:tc>
          <w:tcPr>
            <w:tcW w:w="1276" w:type="dxa"/>
            <w:vMerge w:val="restart"/>
            <w:tcBorders>
              <w:top w:val="single" w:sz="8" w:space="0" w:color="000000"/>
              <w:left w:val="single" w:sz="8" w:space="0" w:color="000000"/>
              <w:right w:val="single" w:sz="8" w:space="0" w:color="000000"/>
            </w:tcBorders>
            <w:shd w:val="clear" w:color="auto" w:fill="FFFFFF"/>
          </w:tcPr>
          <w:p w14:paraId="51D84A9E" w14:textId="755B2D96" w:rsidR="00645BF0" w:rsidRPr="00184205"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4 years (2019/20)</w:t>
            </w:r>
          </w:p>
        </w:tc>
      </w:tr>
      <w:tr w:rsidR="00645BF0" w14:paraId="6668BABF" w14:textId="71B37AC5" w:rsidTr="00FD60F0">
        <w:trPr>
          <w:tblHeader/>
          <w:jc w:val="center"/>
        </w:trPr>
        <w:tc>
          <w:tcPr>
            <w:tcW w:w="1726"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27D70A"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716E07" w14:textId="21D1BFCD"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(t)</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96E2C1" w14:textId="2FF56099"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w:t>
            </w:r>
            <w:r w:rsidR="00FD60F0">
              <w:rPr>
                <w:rFonts w:ascii="Arial" w:eastAsia="Arial" w:hAnsi="Arial" w:cs="Arial"/>
                <w:color w:val="000000"/>
                <w:sz w:val="18"/>
                <w:szCs w:val="18"/>
              </w:rPr>
              <w:t xml:space="preserve"> TACC</w:t>
            </w:r>
          </w:p>
        </w:tc>
        <w:tc>
          <w:tcPr>
            <w:tcW w:w="76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85C248"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7B1887" w14:textId="77777777" w:rsidR="00645BF0" w:rsidRPr="00D27A8F"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vMerge/>
            <w:tcBorders>
              <w:left w:val="single" w:sz="8" w:space="0" w:color="000000"/>
              <w:bottom w:val="single" w:sz="8" w:space="0" w:color="000000"/>
              <w:right w:val="single" w:sz="8" w:space="0" w:color="000000"/>
            </w:tcBorders>
            <w:shd w:val="clear" w:color="auto" w:fill="FFFFFF"/>
          </w:tcPr>
          <w:p w14:paraId="56E829B1" w14:textId="77777777" w:rsidR="00645BF0" w:rsidRPr="00184205"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vMerge/>
            <w:tcBorders>
              <w:left w:val="single" w:sz="8" w:space="0" w:color="000000"/>
              <w:bottom w:val="single" w:sz="8" w:space="0" w:color="000000"/>
              <w:right w:val="single" w:sz="8" w:space="0" w:color="000000"/>
            </w:tcBorders>
            <w:shd w:val="clear" w:color="auto" w:fill="FFFFFF"/>
          </w:tcPr>
          <w:p w14:paraId="7F02F37E" w14:textId="77777777" w:rsidR="00645BF0" w:rsidRPr="00184205"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vMerge/>
            <w:tcBorders>
              <w:left w:val="single" w:sz="8" w:space="0" w:color="000000"/>
              <w:bottom w:val="single" w:sz="8" w:space="0" w:color="000000"/>
              <w:right w:val="single" w:sz="8" w:space="0" w:color="000000"/>
            </w:tcBorders>
            <w:shd w:val="clear" w:color="auto" w:fill="FFFFFF"/>
          </w:tcPr>
          <w:p w14:paraId="0D79BC93" w14:textId="77777777" w:rsidR="00645BF0" w:rsidRPr="00184205" w:rsidRDefault="00645BF0" w:rsidP="00E9281F">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r>
      <w:tr w:rsidR="003D00D8" w14:paraId="025304F1" w14:textId="12440130" w:rsidTr="00E9281F">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5AD12B12"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Airport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6E2AC8" w14:textId="7E0BBF35"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9</w:t>
            </w:r>
            <w:r>
              <w:rPr>
                <w:rFonts w:ascii="Arial" w:eastAsia="Arial" w:hAnsi="Arial" w:cs="Arial"/>
                <w:color w:val="000000"/>
                <w:sz w:val="18"/>
                <w:szCs w:val="18"/>
              </w:rPr>
              <w:t>7.3</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6BFAF3" w14:textId="2128D243"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34.2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86E9E8"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85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C85ADF" w14:textId="4B9DF333"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Large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3E2FF5" w14:textId="6F061854"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31BC50E" w14:textId="76C4C3F3"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5EE413D" w14:textId="16A8F730"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1</w:t>
            </w:r>
          </w:p>
        </w:tc>
      </w:tr>
      <w:tr w:rsidR="003D00D8" w14:paraId="38594EB2" w14:textId="77777777" w:rsidTr="00284DAE">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358D587A"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Mallacoota Central</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881751"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54.3</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F32D7C" w14:textId="2C71302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19.1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24A439"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46.4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DBCDEB2"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Large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83126" w14:textId="77777777"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425A85" w14:textId="20653727"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6976061" w14:textId="1B2A02B2"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2</w:t>
            </w:r>
          </w:p>
        </w:tc>
      </w:tr>
      <w:tr w:rsidR="003D00D8" w14:paraId="1D818ED3" w14:textId="3049A0D8" w:rsidTr="00284DAE">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0000"/>
            <w:tcMar>
              <w:top w:w="0" w:type="dxa"/>
              <w:left w:w="0" w:type="dxa"/>
              <w:bottom w:w="0" w:type="dxa"/>
              <w:right w:w="0" w:type="dxa"/>
            </w:tcMar>
            <w:vAlign w:val="center"/>
          </w:tcPr>
          <w:p w14:paraId="45F1428E"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Marlo</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93137C" w14:textId="768413D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48.0</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C5F5AFB" w14:textId="786AE83F"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16.9</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322E59" w14:textId="2F8C3856"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71.5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28B3AA" w14:textId="3CC6F8AB"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Large</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9C5A9C" w14:textId="598CD813"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-18</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42D883D" w14:textId="0B4A3755"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-2</w:t>
            </w:r>
            <w:r w:rsidR="00184205">
              <w:rPr>
                <w:rFonts w:ascii="Arial" w:eastAsia="Arial" w:hAnsi="Arial" w:cs="Arial"/>
                <w:color w:val="000000"/>
                <w:sz w:val="18"/>
                <w:szCs w:val="18"/>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3AC5696" w14:textId="4CB32360"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18</w:t>
            </w:r>
          </w:p>
        </w:tc>
      </w:tr>
      <w:tr w:rsidR="003D00D8" w14:paraId="403E7101" w14:textId="77777777" w:rsidTr="00284DAE">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28ABDDC6"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Mallacoota East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67B272" w14:textId="0D1F368A"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3</w:t>
            </w:r>
            <w:r>
              <w:rPr>
                <w:rFonts w:ascii="Arial" w:eastAsia="Arial" w:hAnsi="Arial" w:cs="Arial"/>
                <w:color w:val="000000"/>
                <w:sz w:val="18"/>
                <w:szCs w:val="18"/>
              </w:rPr>
              <w:t>0.5</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359E1F" w14:textId="56AE8AB1"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10.7</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FFFBE2" w14:textId="567EBA95"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26.2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6EC0E1"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Medium</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EA3EEC" w14:textId="67F67571"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7CACA4" w14:textId="750452CE"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-1</w:t>
            </w:r>
            <w:r w:rsidR="00184205">
              <w:rPr>
                <w:rFonts w:ascii="Arial" w:eastAsia="Arial" w:hAnsi="Arial" w:cs="Arial"/>
                <w:color w:val="000000"/>
                <w:sz w:val="18"/>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0F7DF4E" w14:textId="38971DF4"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9</w:t>
            </w:r>
          </w:p>
        </w:tc>
      </w:tr>
      <w:tr w:rsidR="003D00D8" w14:paraId="4C9A5E41" w14:textId="77777777" w:rsidTr="00E9281F">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1078E3F2"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Mallacoota Large</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CD7A4F"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18.</w:t>
            </w:r>
            <w:r>
              <w:rPr>
                <w:rFonts w:ascii="Arial" w:eastAsia="Arial" w:hAnsi="Arial" w:cs="Arial"/>
                <w:color w:val="000000"/>
                <w:sz w:val="18"/>
                <w:szCs w:val="18"/>
              </w:rPr>
              <w:t>8</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D9CF70" w14:textId="30479F5D"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6.6</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F7D201"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18.5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4053CB" w14:textId="77777777"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D27A8F">
              <w:rPr>
                <w:rFonts w:ascii="Arial" w:eastAsia="Arial" w:hAnsi="Arial" w:cs="Arial"/>
                <w:color w:val="000000"/>
                <w:sz w:val="18"/>
                <w:szCs w:val="18"/>
              </w:rPr>
              <w:t>Small</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DB6E02" w14:textId="489A7139"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41825B5" w14:textId="6BF58FA3"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6B68A4" w14:textId="7F80BD1D"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7</w:t>
            </w:r>
          </w:p>
        </w:tc>
      </w:tr>
      <w:tr w:rsidR="003D00D8" w14:paraId="7B39B56E" w14:textId="0ECA787C" w:rsidTr="00E9281F">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FFFF00"/>
            <w:tcMar>
              <w:top w:w="0" w:type="dxa"/>
              <w:left w:w="0" w:type="dxa"/>
              <w:bottom w:w="0" w:type="dxa"/>
              <w:right w:w="0" w:type="dxa"/>
            </w:tcMar>
            <w:vAlign w:val="center"/>
          </w:tcPr>
          <w:p w14:paraId="662B3A25"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Mallacoota West</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6285E5" w14:textId="45B16010"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18.1</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B75D9D" w14:textId="580F8AE4"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6.4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8F0516" w14:textId="6DF29651"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21.5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C2E78C" w14:textId="104BC982"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Small</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B43F36" w14:textId="0E260C5A"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704924" w14:textId="7C869042"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-1</w:t>
            </w:r>
            <w:r w:rsidR="00184205">
              <w:rPr>
                <w:rFonts w:ascii="Arial" w:eastAsia="Arial" w:hAnsi="Arial" w:cs="Arial"/>
                <w:color w:val="000000"/>
                <w:sz w:val="18"/>
                <w:szCs w:val="18"/>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87CD6B6" w14:textId="181E563C"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1</w:t>
            </w:r>
          </w:p>
        </w:tc>
      </w:tr>
      <w:tr w:rsidR="003D00D8" w14:paraId="13ABDD8A" w14:textId="0299FC52" w:rsidTr="00284DAE">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3AEC7A3C"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Mallacoota Small</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1A2657" w14:textId="5ABB69BB"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1</w:t>
            </w:r>
            <w:r>
              <w:rPr>
                <w:rFonts w:ascii="Arial" w:eastAsia="Arial" w:hAnsi="Arial" w:cs="Arial"/>
                <w:color w:val="000000"/>
                <w:sz w:val="18"/>
                <w:szCs w:val="18"/>
              </w:rPr>
              <w:t>7.7</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3DA995" w14:textId="0B244610"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6.2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9F61AA" w14:textId="4DD1AF5B"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15.5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729ADD" w14:textId="65A5119D"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Small</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401D4B" w14:textId="2CDB3C15" w:rsidR="003D00D8" w:rsidRPr="00184205" w:rsidRDefault="00731210"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7D89B6" w14:textId="522E1857"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-1</w:t>
            </w:r>
            <w:r w:rsidR="00731210" w:rsidRPr="00184205">
              <w:rPr>
                <w:rFonts w:ascii="Arial" w:eastAsia="Arial" w:hAnsi="Arial" w:cs="Arial"/>
                <w:color w:val="000000"/>
                <w:sz w:val="18"/>
                <w:szCs w:val="18"/>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8718118" w14:textId="719CB4B0"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1</w:t>
            </w:r>
            <w:r w:rsidR="00731210" w:rsidRPr="00184205">
              <w:rPr>
                <w:rFonts w:ascii="Arial" w:eastAsia="Arial" w:hAnsi="Arial" w:cs="Arial"/>
                <w:color w:val="000000"/>
                <w:sz w:val="18"/>
                <w:szCs w:val="18"/>
              </w:rPr>
              <w:t>3</w:t>
            </w:r>
          </w:p>
        </w:tc>
      </w:tr>
      <w:tr w:rsidR="003D00D8" w14:paraId="22D8CB6D" w14:textId="65727579" w:rsidTr="00E9281F">
        <w:trPr>
          <w:jc w:val="center"/>
        </w:trPr>
        <w:tc>
          <w:tcPr>
            <w:tcW w:w="1726" w:type="dxa"/>
            <w:tcBorders>
              <w:top w:val="single" w:sz="8" w:space="0" w:color="000000"/>
              <w:left w:val="single" w:sz="8" w:space="0" w:color="000000"/>
              <w:bottom w:val="single" w:sz="8" w:space="0" w:color="000000"/>
              <w:right w:val="single" w:sz="8" w:space="0" w:color="000000"/>
            </w:tcBorders>
            <w:shd w:val="clear" w:color="auto" w:fill="92D050"/>
            <w:tcMar>
              <w:top w:w="0" w:type="dxa"/>
              <w:left w:w="0" w:type="dxa"/>
              <w:bottom w:w="0" w:type="dxa"/>
              <w:right w:w="0" w:type="dxa"/>
            </w:tcMar>
            <w:vAlign w:val="center"/>
          </w:tcPr>
          <w:p w14:paraId="435EB506"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sidRPr="00D27A8F">
              <w:rPr>
                <w:rFonts w:ascii="Arial" w:eastAsia="Arial" w:hAnsi="Arial" w:cs="Arial"/>
                <w:color w:val="000000"/>
                <w:sz w:val="18"/>
                <w:szCs w:val="18"/>
              </w:rPr>
              <w:t>Eastern Zone</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53825F" w14:textId="0C1570D3"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284.5</w:t>
            </w:r>
          </w:p>
        </w:tc>
        <w:tc>
          <w:tcPr>
            <w:tcW w:w="1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BD2C29" w14:textId="6C36ED4A" w:rsidR="003D00D8" w:rsidRPr="003D00D8"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3D00D8">
              <w:rPr>
                <w:rFonts w:ascii="Arial" w:eastAsia="Arial" w:hAnsi="Arial" w:cs="Arial"/>
                <w:color w:val="000000"/>
                <w:sz w:val="18"/>
                <w:szCs w:val="18"/>
              </w:rPr>
              <w:t>100.0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53FCD5" w14:textId="5ACA0649"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r>
              <w:rPr>
                <w:rFonts w:ascii="Arial" w:eastAsia="Arial" w:hAnsi="Arial" w:cs="Arial"/>
                <w:color w:val="000000"/>
                <w:sz w:val="18"/>
                <w:szCs w:val="18"/>
              </w:rPr>
              <w:t>284.6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174C5A" w14:textId="77777777" w:rsidR="003D00D8" w:rsidRPr="00D27A8F"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583FD9" w14:textId="7681770B" w:rsidR="003D00D8" w:rsidRPr="00184205" w:rsidRDefault="00184205"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Pr>
                <w:rFonts w:ascii="Arial" w:eastAsia="Arial" w:hAnsi="Arial" w:cs="Arial"/>
                <w:color w:val="000000"/>
                <w:sz w:val="18"/>
                <w:szCs w:val="18"/>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319DEA" w14:textId="3FF99A66"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311882F" w14:textId="6CA14D11" w:rsidR="003D00D8" w:rsidRPr="00184205" w:rsidRDefault="003D00D8" w:rsidP="003D00D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8"/>
                <w:szCs w:val="18"/>
              </w:rPr>
            </w:pPr>
            <w:r w:rsidRPr="00184205">
              <w:rPr>
                <w:rFonts w:ascii="Arial" w:eastAsia="Arial" w:hAnsi="Arial" w:cs="Arial"/>
                <w:color w:val="000000"/>
                <w:sz w:val="18"/>
                <w:szCs w:val="18"/>
              </w:rPr>
              <w:t>-</w:t>
            </w:r>
            <w:r w:rsidR="00184205">
              <w:rPr>
                <w:rFonts w:ascii="Arial" w:eastAsia="Arial" w:hAnsi="Arial" w:cs="Arial"/>
                <w:color w:val="000000"/>
                <w:sz w:val="18"/>
                <w:szCs w:val="18"/>
              </w:rPr>
              <w:t>6</w:t>
            </w:r>
          </w:p>
        </w:tc>
      </w:tr>
    </w:tbl>
    <w:p w14:paraId="00FA5CC9" w14:textId="3591E23D" w:rsidR="00574B0E" w:rsidRDefault="00B5334D" w:rsidP="00B5334D">
      <w:pPr>
        <w:rPr>
          <w:i/>
          <w:iCs/>
          <w:sz w:val="20"/>
          <w:szCs w:val="20"/>
        </w:rPr>
      </w:pPr>
      <w:r w:rsidRPr="006640F4">
        <w:rPr>
          <w:i/>
          <w:iCs/>
          <w:sz w:val="20"/>
          <w:szCs w:val="20"/>
        </w:rPr>
        <w:t xml:space="preserve">Notes: Coloured shading indicates whether catch has been caught within the </w:t>
      </w:r>
      <w:r w:rsidR="0007284A">
        <w:rPr>
          <w:i/>
          <w:iCs/>
          <w:sz w:val="20"/>
          <w:szCs w:val="20"/>
        </w:rPr>
        <w:t>OT</w:t>
      </w:r>
      <w:r w:rsidRPr="006640F4">
        <w:rPr>
          <w:i/>
          <w:iCs/>
          <w:sz w:val="20"/>
          <w:szCs w:val="20"/>
        </w:rPr>
        <w:t xml:space="preserve">, Threshold or exceeded the Limit. Green </w:t>
      </w:r>
      <w:r w:rsidR="0007284A">
        <w:rPr>
          <w:i/>
          <w:iCs/>
          <w:sz w:val="20"/>
          <w:szCs w:val="20"/>
        </w:rPr>
        <w:t xml:space="preserve">(within OT range) </w:t>
      </w:r>
      <w:r w:rsidRPr="006640F4">
        <w:rPr>
          <w:i/>
          <w:iCs/>
          <w:sz w:val="20"/>
          <w:szCs w:val="20"/>
        </w:rPr>
        <w:t xml:space="preserve">indicates catch was </w:t>
      </w:r>
      <w:r w:rsidR="0007284A">
        <w:rPr>
          <w:i/>
          <w:iCs/>
          <w:sz w:val="20"/>
          <w:szCs w:val="20"/>
        </w:rPr>
        <w:t>&lt;</w:t>
      </w:r>
      <w:r w:rsidRPr="006640F4">
        <w:rPr>
          <w:i/>
          <w:iCs/>
          <w:sz w:val="20"/>
          <w:szCs w:val="20"/>
        </w:rPr>
        <w:t xml:space="preserve">±15% of the </w:t>
      </w:r>
      <w:r w:rsidR="0007284A">
        <w:rPr>
          <w:i/>
          <w:iCs/>
          <w:sz w:val="20"/>
          <w:szCs w:val="20"/>
        </w:rPr>
        <w:t>OT</w:t>
      </w:r>
      <w:r w:rsidRPr="006640F4">
        <w:rPr>
          <w:i/>
          <w:iCs/>
          <w:sz w:val="20"/>
          <w:szCs w:val="20"/>
        </w:rPr>
        <w:t xml:space="preserve">, Yellow (within threshold range) indicates catch was </w:t>
      </w:r>
      <w:r w:rsidR="0007284A" w:rsidRPr="006640F4">
        <w:rPr>
          <w:i/>
          <w:iCs/>
          <w:sz w:val="20"/>
          <w:szCs w:val="20"/>
        </w:rPr>
        <w:t>±</w:t>
      </w:r>
      <w:r w:rsidRPr="006640F4">
        <w:rPr>
          <w:i/>
          <w:iCs/>
          <w:sz w:val="20"/>
          <w:szCs w:val="20"/>
        </w:rPr>
        <w:t>15</w:t>
      </w:r>
      <w:r w:rsidR="0007284A">
        <w:rPr>
          <w:i/>
          <w:iCs/>
          <w:sz w:val="20"/>
          <w:szCs w:val="20"/>
        </w:rPr>
        <w:t>-30</w:t>
      </w:r>
      <w:r w:rsidRPr="006640F4">
        <w:rPr>
          <w:i/>
          <w:iCs/>
          <w:sz w:val="20"/>
          <w:szCs w:val="20"/>
        </w:rPr>
        <w:t xml:space="preserve">% </w:t>
      </w:r>
      <w:r w:rsidR="0007284A">
        <w:rPr>
          <w:i/>
          <w:iCs/>
          <w:sz w:val="20"/>
          <w:szCs w:val="20"/>
        </w:rPr>
        <w:t>OT</w:t>
      </w:r>
      <w:r w:rsidRPr="006640F4">
        <w:rPr>
          <w:i/>
          <w:iCs/>
          <w:sz w:val="20"/>
          <w:szCs w:val="20"/>
        </w:rPr>
        <w:t xml:space="preserve">, Red (exceeding limit range) indicates catch was &gt;±30% of the </w:t>
      </w:r>
      <w:r w:rsidR="0007284A">
        <w:rPr>
          <w:i/>
          <w:iCs/>
          <w:sz w:val="20"/>
          <w:szCs w:val="20"/>
        </w:rPr>
        <w:t xml:space="preserve">OT </w:t>
      </w:r>
      <w:r w:rsidRPr="006640F4">
        <w:rPr>
          <w:i/>
          <w:iCs/>
          <w:sz w:val="20"/>
          <w:szCs w:val="20"/>
        </w:rPr>
        <w:t xml:space="preserve">for the 2018/19 quota year.  SMU catch categories (% of zone catch):  Large ≥ 15%, Medium </w:t>
      </w:r>
      <w:r w:rsidR="0007284A">
        <w:rPr>
          <w:i/>
          <w:iCs/>
          <w:sz w:val="20"/>
          <w:szCs w:val="20"/>
        </w:rPr>
        <w:t>10-</w:t>
      </w:r>
      <w:r w:rsidRPr="006640F4">
        <w:rPr>
          <w:i/>
          <w:iCs/>
          <w:sz w:val="20"/>
          <w:szCs w:val="20"/>
        </w:rPr>
        <w:t>15%, Small &lt; 10%.</w:t>
      </w:r>
    </w:p>
    <w:p w14:paraId="74D0AFE7" w14:textId="0B677149" w:rsidR="00C55103" w:rsidRPr="008C2010" w:rsidRDefault="00C55103" w:rsidP="00A77A9D">
      <w:pPr>
        <w:pStyle w:val="Heading3"/>
      </w:pPr>
      <w:bookmarkStart w:id="71" w:name="_Toc182219910"/>
      <w:r w:rsidRPr="008C2010">
        <w:t>Distribution of the catch</w:t>
      </w:r>
      <w:bookmarkEnd w:id="71"/>
    </w:p>
    <w:p w14:paraId="4AFE2A2B" w14:textId="5032193A" w:rsidR="00C70DC4" w:rsidRDefault="00C70DC4" w:rsidP="00C70DC4">
      <w:r w:rsidRPr="008C2010">
        <w:t xml:space="preserve">The distribution of catch by SMU in the Eastern Zone has been relatively stable since 2003 (Figure </w:t>
      </w:r>
      <w:r w:rsidR="008C2010">
        <w:t>8</w:t>
      </w:r>
      <w:r w:rsidRPr="008C2010">
        <w:t>). The greatest contributions have traditionally come from the Airport and Marlo SMUs, which have both been consistently high in annual catch. Mallacoota Central and Mallacoota West were both significant contributors to total catch during the 2000s, with recent catches higher from Mallacoota Central. The Mallacoota Large and Mallacoota Small SMUs have always been the lowest contributors, with total catches variable over time.</w:t>
      </w:r>
    </w:p>
    <w:p w14:paraId="13A49F5F" w14:textId="4AC52B34" w:rsidR="00C70DC4" w:rsidRDefault="00C70D6B" w:rsidP="00C70DC4">
      <w:r>
        <w:rPr>
          <w:noProof/>
        </w:rPr>
        <w:drawing>
          <wp:inline distT="0" distB="0" distL="0" distR="0" wp14:anchorId="091752A5" wp14:editId="4B5143F2">
            <wp:extent cx="4792971" cy="2849880"/>
            <wp:effectExtent l="0" t="0" r="8255" b="7620"/>
            <wp:docPr id="8248595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59544" name="Picture 824859544"/>
                    <pic:cNvPicPr/>
                  </pic:nvPicPr>
                  <pic:blipFill>
                    <a:blip r:embed="rId26"/>
                    <a:stretch>
                      <a:fillRect/>
                    </a:stretch>
                  </pic:blipFill>
                  <pic:spPr>
                    <a:xfrm>
                      <a:off x="0" y="0"/>
                      <a:ext cx="4823261" cy="2867890"/>
                    </a:xfrm>
                    <a:prstGeom prst="rect">
                      <a:avLst/>
                    </a:prstGeom>
                  </pic:spPr>
                </pic:pic>
              </a:graphicData>
            </a:graphic>
          </wp:inline>
        </w:drawing>
      </w:r>
    </w:p>
    <w:p w14:paraId="2D82BAA2" w14:textId="11596AEB" w:rsidR="00C70DC4" w:rsidRDefault="00C70DC4" w:rsidP="005C49F6">
      <w:pPr>
        <w:pStyle w:val="Caption"/>
      </w:pPr>
      <w:bookmarkStart w:id="72" w:name="_Toc182219809"/>
      <w:r>
        <w:t xml:space="preserve">Figure </w:t>
      </w:r>
      <w:r w:rsidR="008C2010">
        <w:t>8</w:t>
      </w:r>
      <w:r>
        <w:t>: Relative distribution of catch at each SMU in the Eastern Zone by quota year.</w:t>
      </w:r>
      <w:bookmarkEnd w:id="72"/>
    </w:p>
    <w:p w14:paraId="55BDD9DF" w14:textId="6B6218AD" w:rsidR="006640F4" w:rsidRDefault="006640F4" w:rsidP="00A77A9D">
      <w:pPr>
        <w:pStyle w:val="Heading3"/>
      </w:pPr>
      <w:bookmarkStart w:id="73" w:name="_Toc182219911"/>
      <w:r>
        <w:t>Draft Harvest Strategy outputs</w:t>
      </w:r>
      <w:bookmarkEnd w:id="73"/>
    </w:p>
    <w:p w14:paraId="16B82E76" w14:textId="1BAD0BAD" w:rsidR="0007284A" w:rsidRDefault="0007284A" w:rsidP="0007284A">
      <w:r>
        <w:t xml:space="preserve">The full Draft Harvest Strategy results are published in a separate report for the Eastern Zone fishery. Tables 4 and 5 provide </w:t>
      </w:r>
      <w:r w:rsidR="00FF040D">
        <w:t>a</w:t>
      </w:r>
      <w:r>
        <w:t xml:space="preserve"> summary of results to inform the TACC setting process. </w:t>
      </w:r>
      <w:r w:rsidR="00A32C15">
        <w:t>Current CPUE is above the Target at the Airport SMU, and between the Threshold and Target levels at all other SMUs</w:t>
      </w:r>
      <w:r w:rsidR="00386907">
        <w:t xml:space="preserve"> (Table 4)</w:t>
      </w:r>
      <w:r w:rsidR="00A32C15">
        <w:t xml:space="preserve">. CPUE has been above the Threshold level at all SMUs for at least </w:t>
      </w:r>
      <w:r w:rsidR="002D2E84">
        <w:t>31</w:t>
      </w:r>
      <w:r w:rsidR="00A32C15">
        <w:t xml:space="preserve"> years, meaning that following the harvest strategy, an “Increasing” </w:t>
      </w:r>
      <w:r w:rsidR="009B1758">
        <w:t xml:space="preserve">SMU </w:t>
      </w:r>
      <w:r w:rsidR="00A32C15">
        <w:t>result could allow an increase in catch up to 25%.</w:t>
      </w:r>
      <w:r w:rsidR="009B1758">
        <w:t xml:space="preserve"> Catch Control Rule (CCR) 1 applies for all SMUs. </w:t>
      </w:r>
    </w:p>
    <w:p w14:paraId="4B0E3CF5" w14:textId="1856376D" w:rsidR="002D2E84" w:rsidRPr="0007284A" w:rsidRDefault="005B1488" w:rsidP="0007284A">
      <w:r>
        <w:t>As in previous reports, these results use reference points based on standardised CPUE, whereas the original reference points were based on nominal CPUE. The nominal CPUE reference points are more conservative, however the only difference that results would be that the Airport SMU reduces from “Above Target” to “Above Threshold”. This makes no material difference to the outcomes.</w:t>
      </w:r>
    </w:p>
    <w:p w14:paraId="7B690F5D" w14:textId="649CF37B" w:rsidR="00C70DC4" w:rsidRPr="002B55E2" w:rsidRDefault="002B55E2" w:rsidP="00A20F7B">
      <w:pPr>
        <w:pStyle w:val="TableCaption"/>
      </w:pPr>
      <w:bookmarkStart w:id="74" w:name="_Toc182219864"/>
      <w:bookmarkStart w:id="75" w:name="large-spatial-management-units"/>
      <w:bookmarkEnd w:id="67"/>
      <w:r w:rsidRPr="002B55E2">
        <w:t xml:space="preserve">Table </w:t>
      </w:r>
      <w:r>
        <w:t>4</w:t>
      </w:r>
      <w:r w:rsidRPr="002B55E2">
        <w:t>: Reference points for Eastern Zone SMUs, mean annual CPUE from 201</w:t>
      </w:r>
      <w:r w:rsidR="002D2E84">
        <w:t>8</w:t>
      </w:r>
      <w:r w:rsidRPr="002B55E2">
        <w:t xml:space="preserve"> - 20</w:t>
      </w:r>
      <w:r>
        <w:t>2</w:t>
      </w:r>
      <w:r w:rsidR="002D2E84">
        <w:t>3</w:t>
      </w:r>
      <w:r w:rsidRPr="002B55E2">
        <w:t xml:space="preserve"> and applicable catch control rules (CCR).</w:t>
      </w:r>
      <w:bookmarkEnd w:id="74"/>
    </w:p>
    <w:tbl>
      <w:tblPr>
        <w:tblW w:w="9628" w:type="dxa"/>
        <w:jc w:val="center"/>
        <w:tblLayout w:type="fixed"/>
        <w:tblLook w:val="0420" w:firstRow="1" w:lastRow="0" w:firstColumn="0" w:lastColumn="0" w:noHBand="0" w:noVBand="1"/>
      </w:tblPr>
      <w:tblGrid>
        <w:gridCol w:w="1242"/>
        <w:gridCol w:w="602"/>
        <w:gridCol w:w="816"/>
        <w:gridCol w:w="567"/>
        <w:gridCol w:w="590"/>
        <w:gridCol w:w="567"/>
        <w:gridCol w:w="567"/>
        <w:gridCol w:w="567"/>
        <w:gridCol w:w="567"/>
        <w:gridCol w:w="567"/>
        <w:gridCol w:w="1275"/>
        <w:gridCol w:w="1134"/>
        <w:gridCol w:w="567"/>
      </w:tblGrid>
      <w:tr w:rsidR="00353D18" w14:paraId="279A0E76" w14:textId="77777777" w:rsidTr="00E9281F">
        <w:trPr>
          <w:tblHeader/>
          <w:jc w:val="center"/>
        </w:trPr>
        <w:tc>
          <w:tcPr>
            <w:tcW w:w="124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DED832"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bookmarkStart w:id="76" w:name="_Hlk149218055"/>
            <w:r>
              <w:rPr>
                <w:rFonts w:ascii="Arial" w:eastAsia="Arial" w:hAnsi="Arial" w:cs="Arial"/>
                <w:color w:val="000000"/>
                <w:sz w:val="12"/>
                <w:szCs w:val="12"/>
              </w:rPr>
              <w:t>SMU</w:t>
            </w:r>
          </w:p>
        </w:tc>
        <w:tc>
          <w:tcPr>
            <w:tcW w:w="602"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218A4D9"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Limit RP</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78D287"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Threshold RP</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3159A4"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Target RP</w:t>
            </w:r>
          </w:p>
        </w:tc>
        <w:tc>
          <w:tcPr>
            <w:tcW w:w="59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4489ED3" w14:textId="2145B3D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2018</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101F1FA" w14:textId="36DDCC1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2019</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2ACB7E5" w14:textId="70CD394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2020</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717AF40" w14:textId="11DB6D3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2021</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2AAE2AD" w14:textId="14CEF87C"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2022</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0C6B1B4" w14:textId="461A229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2023</w:t>
            </w:r>
          </w:p>
        </w:tc>
        <w:tc>
          <w:tcPr>
            <w:tcW w:w="127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19C42B4" w14:textId="7F49E41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Current Status</w:t>
            </w:r>
          </w:p>
        </w:tc>
        <w:tc>
          <w:tcPr>
            <w:tcW w:w="113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B7A49F" w14:textId="3F0493A1"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eastAsia="Arial" w:hAnsi="Arial" w:cs="Arial"/>
                <w:color w:val="000000"/>
                <w:sz w:val="12"/>
                <w:szCs w:val="12"/>
              </w:rPr>
              <w:t>Years above Threshold</w:t>
            </w:r>
          </w:p>
        </w:tc>
        <w:tc>
          <w:tcPr>
            <w:tcW w:w="5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332833"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CCR</w:t>
            </w:r>
          </w:p>
        </w:tc>
      </w:tr>
      <w:tr w:rsidR="00353D18" w14:paraId="41BCC81E" w14:textId="77777777" w:rsidTr="00E9281F">
        <w:trPr>
          <w:jc w:val="center"/>
        </w:trPr>
        <w:tc>
          <w:tcPr>
            <w:tcW w:w="124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2987DA"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Airport</w:t>
            </w:r>
          </w:p>
        </w:tc>
        <w:tc>
          <w:tcPr>
            <w:tcW w:w="602"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4D9EDF" w14:textId="7CB4659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50</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D4A155" w14:textId="61BCCD9D"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70</w:t>
            </w:r>
          </w:p>
        </w:tc>
        <w:tc>
          <w:tcPr>
            <w:tcW w:w="5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43E2F4C" w14:textId="74B92FD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100</w:t>
            </w:r>
          </w:p>
        </w:tc>
        <w:tc>
          <w:tcPr>
            <w:tcW w:w="590"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60A91BFF" w14:textId="00F72D4C"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105.8</w:t>
            </w:r>
          </w:p>
        </w:tc>
        <w:tc>
          <w:tcPr>
            <w:tcW w:w="567"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52A3F7FA" w14:textId="55A5C34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118.2</w:t>
            </w:r>
          </w:p>
        </w:tc>
        <w:tc>
          <w:tcPr>
            <w:tcW w:w="567"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776D12B3" w14:textId="76A88647"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110.9</w:t>
            </w:r>
          </w:p>
        </w:tc>
        <w:tc>
          <w:tcPr>
            <w:tcW w:w="567"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2E7357E9" w14:textId="00AE1E41"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104.8</w:t>
            </w:r>
          </w:p>
        </w:tc>
        <w:tc>
          <w:tcPr>
            <w:tcW w:w="567"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A005B4A" w14:textId="3E827766"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105.0</w:t>
            </w:r>
          </w:p>
        </w:tc>
        <w:tc>
          <w:tcPr>
            <w:tcW w:w="567"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ABAF0F7" w14:textId="50749F1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109.9</w:t>
            </w:r>
          </w:p>
        </w:tc>
        <w:tc>
          <w:tcPr>
            <w:tcW w:w="1275" w:type="dxa"/>
            <w:tcBorders>
              <w:top w:val="single" w:sz="12" w:space="0" w:color="666666"/>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0BAE75C" w14:textId="72E2C6F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Target</w:t>
            </w:r>
          </w:p>
        </w:tc>
        <w:tc>
          <w:tcPr>
            <w:tcW w:w="113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4A6DAA" w14:textId="52E5BC9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31</w:t>
            </w:r>
          </w:p>
        </w:tc>
        <w:tc>
          <w:tcPr>
            <w:tcW w:w="56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5E0A44"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r w:rsidR="00353D18" w14:paraId="7C909814" w14:textId="77777777" w:rsidTr="00E9281F">
        <w:trPr>
          <w:jc w:val="center"/>
        </w:trPr>
        <w:tc>
          <w:tcPr>
            <w:tcW w:w="124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255F295" w14:textId="42795EC6"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Central</w:t>
            </w:r>
          </w:p>
        </w:tc>
        <w:tc>
          <w:tcPr>
            <w:tcW w:w="6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47DCC7" w14:textId="0585EC0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50</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ED7CEF" w14:textId="54AC5127"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70</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DEC7F9" w14:textId="5AE34FC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100</w:t>
            </w:r>
          </w:p>
        </w:tc>
        <w:tc>
          <w:tcPr>
            <w:tcW w:w="590"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6FAA6BB4" w14:textId="319BF849"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101.1</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77F2C6D5" w14:textId="1BA4E7F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109.5</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7C2CFB1" w14:textId="31E999FE"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91.8</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47A68BF2" w14:textId="579379C0"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98.6</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5B53AA2A" w14:textId="1353FB80"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92.5</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3B3F2A3" w14:textId="268294EE"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90.1</w:t>
            </w:r>
          </w:p>
        </w:tc>
        <w:tc>
          <w:tcPr>
            <w:tcW w:w="1275"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97027D7" w14:textId="3BED083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Threshold</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B527A9" w14:textId="6128C56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31</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BF8651"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r w:rsidR="00353D18" w14:paraId="1EF49EF3" w14:textId="77777777" w:rsidTr="00E9281F">
        <w:trPr>
          <w:jc w:val="center"/>
        </w:trPr>
        <w:tc>
          <w:tcPr>
            <w:tcW w:w="124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7427B"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East</w:t>
            </w:r>
          </w:p>
        </w:tc>
        <w:tc>
          <w:tcPr>
            <w:tcW w:w="6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2E5568" w14:textId="1E17C1F6"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40</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8F3FC3" w14:textId="00504D8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60</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8DF289" w14:textId="693EB9ED"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110</w:t>
            </w:r>
          </w:p>
        </w:tc>
        <w:tc>
          <w:tcPr>
            <w:tcW w:w="590"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99E2B51" w14:textId="41C0039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101.2</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03F08916" w14:textId="5D05C9F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106.7</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DC7CF7C" w14:textId="304FF86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98.9</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56F8E41" w14:textId="168AFCA9"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107.4</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3B13506" w14:textId="6ECC552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98.7</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04BDFC1" w14:textId="1294FB11"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90.4</w:t>
            </w:r>
          </w:p>
        </w:tc>
        <w:tc>
          <w:tcPr>
            <w:tcW w:w="1275"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49D3A7E9" w14:textId="0BA2763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Threshold</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DD6358" w14:textId="0C88CCDD"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35</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390EAB"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r w:rsidR="00353D18" w14:paraId="1AE1566D" w14:textId="77777777" w:rsidTr="00E9281F">
        <w:trPr>
          <w:jc w:val="center"/>
        </w:trPr>
        <w:tc>
          <w:tcPr>
            <w:tcW w:w="124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82882D"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Large</w:t>
            </w:r>
          </w:p>
        </w:tc>
        <w:tc>
          <w:tcPr>
            <w:tcW w:w="6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AEED28" w14:textId="22228A5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40</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CCE3F5" w14:textId="76A347A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60</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521256" w14:textId="5C0C7D17"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100</w:t>
            </w:r>
          </w:p>
        </w:tc>
        <w:tc>
          <w:tcPr>
            <w:tcW w:w="590"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7E962908" w14:textId="454AA05D"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90.8</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61B11629" w14:textId="4E256885"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100.3</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61AC1635" w14:textId="6578D8B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87.5</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21DCDE00" w14:textId="6BD4782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93.0</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13D6B4F" w14:textId="3634F2A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86.1</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C4A9037" w14:textId="7A7EF01D"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93.2</w:t>
            </w:r>
          </w:p>
        </w:tc>
        <w:tc>
          <w:tcPr>
            <w:tcW w:w="1275"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738B51A3" w14:textId="792CA34C"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Threshold</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C7DB3E" w14:textId="552BFD3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36</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832AB46"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r w:rsidR="00353D18" w14:paraId="336F3587" w14:textId="77777777" w:rsidTr="00E9281F">
        <w:trPr>
          <w:jc w:val="center"/>
        </w:trPr>
        <w:tc>
          <w:tcPr>
            <w:tcW w:w="124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D5DB3"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Small</w:t>
            </w:r>
          </w:p>
        </w:tc>
        <w:tc>
          <w:tcPr>
            <w:tcW w:w="6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C08E84" w14:textId="1FC329C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50</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284CC6" w14:textId="6EBF72C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70</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B161435" w14:textId="5BCE5A1D"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100</w:t>
            </w:r>
          </w:p>
        </w:tc>
        <w:tc>
          <w:tcPr>
            <w:tcW w:w="590"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09120BA6" w14:textId="458A816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105.7</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455A358" w14:textId="53A24F2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110.7</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346817C0" w14:textId="3B2027E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101.6</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863DDBF" w14:textId="4D268F97"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106.5</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4A3E9651" w14:textId="78D1C262"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91.6</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5E198887" w14:textId="04BE3101"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88.9</w:t>
            </w:r>
          </w:p>
        </w:tc>
        <w:tc>
          <w:tcPr>
            <w:tcW w:w="1275"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14977A7D" w14:textId="093BFB8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Threshold</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42BFEA" w14:textId="47B0B42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31</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5C937D2"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r w:rsidR="00353D18" w14:paraId="5EE3B952" w14:textId="77777777" w:rsidTr="00E9281F">
        <w:trPr>
          <w:jc w:val="center"/>
        </w:trPr>
        <w:tc>
          <w:tcPr>
            <w:tcW w:w="124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C654566"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West</w:t>
            </w:r>
          </w:p>
        </w:tc>
        <w:tc>
          <w:tcPr>
            <w:tcW w:w="60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242D39" w14:textId="11E0E12E"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50</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E7D55F" w14:textId="47A98D08"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70</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F18C69" w14:textId="2B94A76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110</w:t>
            </w:r>
          </w:p>
        </w:tc>
        <w:tc>
          <w:tcPr>
            <w:tcW w:w="590"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6FA44506" w14:textId="2D2A5FEC"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103.8</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0BF8EFD1" w14:textId="3F2AB9C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119.8</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6814E97C" w14:textId="60E59F45"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91.6</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054E1B9B" w14:textId="23D849D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99.5</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2085CFD2" w14:textId="203DFF3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90.3</w:t>
            </w:r>
          </w:p>
        </w:tc>
        <w:tc>
          <w:tcPr>
            <w:tcW w:w="567"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48825BD8" w14:textId="77D45ED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90.7</w:t>
            </w:r>
          </w:p>
        </w:tc>
        <w:tc>
          <w:tcPr>
            <w:tcW w:w="1275" w:type="dxa"/>
            <w:tcBorders>
              <w:top w:val="none" w:sz="0" w:space="0" w:color="000000"/>
              <w:left w:val="none" w:sz="0" w:space="0" w:color="000000"/>
              <w:bottom w:val="none" w:sz="0" w:space="0" w:color="000000"/>
              <w:right w:val="none" w:sz="0" w:space="0" w:color="000000"/>
            </w:tcBorders>
            <w:shd w:val="clear" w:color="auto" w:fill="228B22"/>
            <w:tcMar>
              <w:top w:w="0" w:type="dxa"/>
              <w:left w:w="0" w:type="dxa"/>
              <w:bottom w:w="0" w:type="dxa"/>
              <w:right w:w="0" w:type="dxa"/>
            </w:tcMar>
          </w:tcPr>
          <w:p w14:paraId="4C0A3BEB" w14:textId="1DAF9811"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Threshold</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A98707" w14:textId="5A4E433E"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32</w:t>
            </w:r>
          </w:p>
        </w:tc>
        <w:tc>
          <w:tcPr>
            <w:tcW w:w="56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ADFD85"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r w:rsidR="00353D18" w14:paraId="64F80F91" w14:textId="77777777" w:rsidTr="00E9281F">
        <w:trPr>
          <w:jc w:val="center"/>
        </w:trPr>
        <w:tc>
          <w:tcPr>
            <w:tcW w:w="124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1496F1B"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Marlo</w:t>
            </w:r>
          </w:p>
        </w:tc>
        <w:tc>
          <w:tcPr>
            <w:tcW w:w="602"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938435C" w14:textId="4D655A1A"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50</w:t>
            </w:r>
          </w:p>
        </w:tc>
        <w:tc>
          <w:tcPr>
            <w:tcW w:w="816"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E7D177B" w14:textId="28F4AD05"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70</w:t>
            </w:r>
          </w:p>
        </w:tc>
        <w:tc>
          <w:tcPr>
            <w:tcW w:w="5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FFABB92" w14:textId="52D24681"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353D18">
              <w:rPr>
                <w:rFonts w:ascii="Arial" w:eastAsia="Arial" w:hAnsi="Arial" w:cs="Arial"/>
                <w:color w:val="000000"/>
                <w:sz w:val="12"/>
                <w:szCs w:val="12"/>
              </w:rPr>
              <w:t>130</w:t>
            </w:r>
          </w:p>
        </w:tc>
        <w:tc>
          <w:tcPr>
            <w:tcW w:w="590"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50FAD3D6" w14:textId="0DB2ACB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127.5</w:t>
            </w:r>
          </w:p>
        </w:tc>
        <w:tc>
          <w:tcPr>
            <w:tcW w:w="567"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419DA610" w14:textId="1C92E41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126.4</w:t>
            </w:r>
          </w:p>
        </w:tc>
        <w:tc>
          <w:tcPr>
            <w:tcW w:w="567"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57F88E2D" w14:textId="410C030B"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110.4</w:t>
            </w:r>
          </w:p>
        </w:tc>
        <w:tc>
          <w:tcPr>
            <w:tcW w:w="567"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7573306E" w14:textId="41893D17"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117.2</w:t>
            </w:r>
          </w:p>
        </w:tc>
        <w:tc>
          <w:tcPr>
            <w:tcW w:w="567"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5F15F53A" w14:textId="24EF526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109.3</w:t>
            </w:r>
          </w:p>
        </w:tc>
        <w:tc>
          <w:tcPr>
            <w:tcW w:w="567"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686DA947" w14:textId="6F3DD324"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90.8</w:t>
            </w:r>
          </w:p>
        </w:tc>
        <w:tc>
          <w:tcPr>
            <w:tcW w:w="1275" w:type="dxa"/>
            <w:tcBorders>
              <w:top w:val="none" w:sz="0" w:space="0" w:color="000000"/>
              <w:left w:val="none" w:sz="0" w:space="0" w:color="000000"/>
              <w:bottom w:val="single" w:sz="12" w:space="0" w:color="666666"/>
              <w:right w:val="none" w:sz="0" w:space="0" w:color="000000"/>
            </w:tcBorders>
            <w:shd w:val="clear" w:color="auto" w:fill="228B22"/>
            <w:tcMar>
              <w:top w:w="0" w:type="dxa"/>
              <w:left w:w="0" w:type="dxa"/>
              <w:bottom w:w="0" w:type="dxa"/>
              <w:right w:w="0" w:type="dxa"/>
            </w:tcMar>
          </w:tcPr>
          <w:p w14:paraId="5204089F" w14:textId="138F097F"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Above Threshold</w:t>
            </w:r>
          </w:p>
        </w:tc>
        <w:tc>
          <w:tcPr>
            <w:tcW w:w="113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FCB90F4" w14:textId="6A025273" w:rsidR="00353D18" w:rsidRP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rPr>
                <w:rFonts w:ascii="Arial" w:hAnsi="Arial" w:cs="Arial"/>
                <w:sz w:val="12"/>
                <w:szCs w:val="12"/>
              </w:rPr>
            </w:pPr>
            <w:r w:rsidRPr="00353D18">
              <w:rPr>
                <w:rFonts w:ascii="Arial" w:hAnsi="Arial" w:cs="Arial"/>
                <w:sz w:val="12"/>
                <w:szCs w:val="12"/>
              </w:rPr>
              <w:t>33</w:t>
            </w:r>
          </w:p>
        </w:tc>
        <w:tc>
          <w:tcPr>
            <w:tcW w:w="56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84CEA3" w14:textId="77777777" w:rsidR="00353D18" w:rsidRDefault="00353D18" w:rsidP="00353D18">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p>
        </w:tc>
      </w:tr>
    </w:tbl>
    <w:p w14:paraId="13BE26B2" w14:textId="77777777" w:rsidR="002B55E2" w:rsidRDefault="002B55E2" w:rsidP="002B55E2">
      <w:pPr>
        <w:rPr>
          <w:i/>
          <w:color w:val="44546A" w:themeColor="text2"/>
          <w:sz w:val="18"/>
        </w:rPr>
      </w:pPr>
    </w:p>
    <w:p w14:paraId="044E33F0" w14:textId="27D9777A" w:rsidR="004B4FB8" w:rsidRDefault="00386907" w:rsidP="002B55E2">
      <w:r w:rsidRPr="00386907">
        <w:t>The Final Category for the Airport</w:t>
      </w:r>
      <w:r w:rsidR="005B1488">
        <w:t xml:space="preserve">, Mallacoota Central, Mallacoota Large and Mallacoota West SMUs were assessed as Stable </w:t>
      </w:r>
      <w:r w:rsidR="005B1488" w:rsidRPr="00386907">
        <w:t>(Table 5)</w:t>
      </w:r>
      <w:r w:rsidR="005B1488">
        <w:t xml:space="preserve">. </w:t>
      </w:r>
      <w:r w:rsidRPr="00386907">
        <w:t xml:space="preserve"> </w:t>
      </w:r>
      <w:r w:rsidR="005B1488">
        <w:t>The Mallacoota East, Mallacoota Small and Marlo SMUs were assessed as decreasing</w:t>
      </w:r>
      <w:r w:rsidRPr="00386907">
        <w:t xml:space="preserve">. While the 4-year gradient was negative at all SMUs, only the Mallacoota </w:t>
      </w:r>
      <w:r w:rsidR="005B1488">
        <w:t xml:space="preserve">Small and Marlo </w:t>
      </w:r>
      <w:r w:rsidRPr="00386907">
        <w:t>SMU</w:t>
      </w:r>
      <w:r w:rsidR="005B1488">
        <w:t>’s</w:t>
      </w:r>
      <w:r w:rsidRPr="00386907">
        <w:t xml:space="preserve"> had a decreasing Primary Indicator. </w:t>
      </w:r>
      <w:r>
        <w:t xml:space="preserve">There were no FIS data to inform the Tertiary Indicator. The suggested total catch range for the Eastern Zone was </w:t>
      </w:r>
      <w:r w:rsidR="00C5258C">
        <w:t>191.8</w:t>
      </w:r>
      <w:r>
        <w:t xml:space="preserve"> t to 2</w:t>
      </w:r>
      <w:r w:rsidR="00C5258C">
        <w:t>12.6</w:t>
      </w:r>
      <w:r>
        <w:t xml:space="preserve"> t.</w:t>
      </w:r>
    </w:p>
    <w:p w14:paraId="6FA476F4" w14:textId="7B54EE7D" w:rsidR="002B55E2" w:rsidRDefault="002B55E2" w:rsidP="00185074">
      <w:pPr>
        <w:pStyle w:val="TableCaption"/>
      </w:pPr>
      <w:bookmarkStart w:id="77" w:name="_Toc182219865"/>
      <w:r w:rsidRPr="00185074">
        <w:t xml:space="preserve">Table 5: </w:t>
      </w:r>
      <w:r w:rsidRPr="002B55E2">
        <w:t>Harvest Strategy results for Eastern Zone SMUs, with suggested target catch ranges</w:t>
      </w:r>
      <w:r w:rsidRPr="00185074">
        <w:t>.</w:t>
      </w:r>
      <w:bookmarkEnd w:id="77"/>
    </w:p>
    <w:tbl>
      <w:tblPr>
        <w:tblW w:w="9781" w:type="dxa"/>
        <w:jc w:val="center"/>
        <w:tblLayout w:type="fixed"/>
        <w:tblLook w:val="0420" w:firstRow="1" w:lastRow="0" w:firstColumn="0" w:lastColumn="0" w:noHBand="0" w:noVBand="1"/>
      </w:tblPr>
      <w:tblGrid>
        <w:gridCol w:w="1253"/>
        <w:gridCol w:w="709"/>
        <w:gridCol w:w="885"/>
        <w:gridCol w:w="816"/>
        <w:gridCol w:w="850"/>
        <w:gridCol w:w="886"/>
        <w:gridCol w:w="709"/>
        <w:gridCol w:w="939"/>
        <w:gridCol w:w="1033"/>
        <w:gridCol w:w="851"/>
        <w:gridCol w:w="850"/>
      </w:tblGrid>
      <w:tr w:rsidR="00386907" w14:paraId="692093F8" w14:textId="77777777" w:rsidTr="0082161E">
        <w:trPr>
          <w:tblHeader/>
          <w:jc w:val="center"/>
        </w:trPr>
        <w:tc>
          <w:tcPr>
            <w:tcW w:w="125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77BBA5"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SMU</w:t>
            </w:r>
          </w:p>
        </w:tc>
        <w:tc>
          <w:tcPr>
            <w:tcW w:w="70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6693A3"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4yr gradient</w:t>
            </w:r>
          </w:p>
        </w:tc>
        <w:tc>
          <w:tcPr>
            <w:tcW w:w="88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3AC73A"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Primary Indicator</w:t>
            </w:r>
          </w:p>
        </w:tc>
        <w:tc>
          <w:tcPr>
            <w:tcW w:w="81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F9F562"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2yr ratio   (% change)</w:t>
            </w:r>
          </w:p>
        </w:tc>
        <w:tc>
          <w:tcPr>
            <w:tcW w:w="8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5476714"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Secondary Indicator</w:t>
            </w:r>
          </w:p>
        </w:tc>
        <w:tc>
          <w:tcPr>
            <w:tcW w:w="88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F4A1FC4"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Primary Category</w:t>
            </w:r>
          </w:p>
        </w:tc>
        <w:tc>
          <w:tcPr>
            <w:tcW w:w="70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B17035" w14:textId="6394CDF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 xml:space="preserve">Tertiary Indicator  </w:t>
            </w:r>
          </w:p>
        </w:tc>
        <w:tc>
          <w:tcPr>
            <w:tcW w:w="939"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2A581A"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Final Category</w:t>
            </w:r>
          </w:p>
        </w:tc>
        <w:tc>
          <w:tcPr>
            <w:tcW w:w="103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82B5C9" w14:textId="42DDD06E" w:rsidR="002B55E2" w:rsidRDefault="0082161E"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202</w:t>
            </w:r>
            <w:r w:rsidR="00F05582">
              <w:rPr>
                <w:rFonts w:ascii="Arial" w:eastAsia="Arial" w:hAnsi="Arial" w:cs="Arial"/>
                <w:color w:val="000000"/>
                <w:sz w:val="12"/>
                <w:szCs w:val="12"/>
              </w:rPr>
              <w:t>4</w:t>
            </w:r>
            <w:r>
              <w:rPr>
                <w:rFonts w:ascii="Arial" w:eastAsia="Arial" w:hAnsi="Arial" w:cs="Arial"/>
                <w:color w:val="000000"/>
                <w:sz w:val="12"/>
                <w:szCs w:val="12"/>
              </w:rPr>
              <w:t>/2</w:t>
            </w:r>
            <w:r w:rsidR="00F05582">
              <w:rPr>
                <w:rFonts w:ascii="Arial" w:eastAsia="Arial" w:hAnsi="Arial" w:cs="Arial"/>
                <w:color w:val="000000"/>
                <w:sz w:val="12"/>
                <w:szCs w:val="12"/>
              </w:rPr>
              <w:t>5</w:t>
            </w:r>
            <w:r w:rsidR="002B55E2">
              <w:rPr>
                <w:rFonts w:ascii="Arial" w:eastAsia="Arial" w:hAnsi="Arial" w:cs="Arial"/>
                <w:color w:val="000000"/>
                <w:sz w:val="12"/>
                <w:szCs w:val="12"/>
              </w:rPr>
              <w:t xml:space="preserve"> Target Catch (OT, t)</w:t>
            </w:r>
          </w:p>
        </w:tc>
        <w:tc>
          <w:tcPr>
            <w:tcW w:w="85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84BFC7"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Total catch, Lower (t)</w:t>
            </w:r>
          </w:p>
        </w:tc>
        <w:tc>
          <w:tcPr>
            <w:tcW w:w="85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BE1460" w14:textId="77777777" w:rsidR="002B55E2" w:rsidRDefault="002B55E2" w:rsidP="00E9281F">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Total catch, Upper (t)</w:t>
            </w:r>
          </w:p>
        </w:tc>
      </w:tr>
      <w:tr w:rsidR="00050D95" w14:paraId="140E511E" w14:textId="77777777" w:rsidTr="00E9281F">
        <w:trPr>
          <w:jc w:val="center"/>
        </w:trPr>
        <w:tc>
          <w:tcPr>
            <w:tcW w:w="125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D97CEB"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Airport</w:t>
            </w:r>
          </w:p>
        </w:tc>
        <w:tc>
          <w:tcPr>
            <w:tcW w:w="70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9A0576" w14:textId="293886C2"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-0.27</w:t>
            </w:r>
          </w:p>
        </w:tc>
        <w:tc>
          <w:tcPr>
            <w:tcW w:w="88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D03B49"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16"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7F3AEF" w14:textId="266353D5"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 xml:space="preserve">  4.6</w:t>
            </w:r>
          </w:p>
        </w:tc>
        <w:tc>
          <w:tcPr>
            <w:tcW w:w="8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104AD61"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86" w:type="dxa"/>
            <w:tcBorders>
              <w:top w:val="single" w:sz="12" w:space="0" w:color="666666"/>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1B7C31D1"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709"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8FCEA9"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single" w:sz="12" w:space="0" w:color="666666"/>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55F7D18E"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103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F2F1C37" w14:textId="4692E2CA"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8</w:t>
            </w:r>
            <w:r w:rsidR="008D31A3">
              <w:rPr>
                <w:rFonts w:ascii="Arial" w:eastAsia="Arial" w:hAnsi="Arial" w:cs="Arial"/>
                <w:color w:val="000000"/>
                <w:sz w:val="12"/>
                <w:szCs w:val="12"/>
              </w:rPr>
              <w:t>0</w:t>
            </w:r>
            <w:r>
              <w:rPr>
                <w:rFonts w:ascii="Arial" w:eastAsia="Arial" w:hAnsi="Arial" w:cs="Arial"/>
                <w:color w:val="000000"/>
                <w:sz w:val="12"/>
                <w:szCs w:val="12"/>
              </w:rPr>
              <w:t>.0</w:t>
            </w:r>
          </w:p>
        </w:tc>
        <w:tc>
          <w:tcPr>
            <w:tcW w:w="85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D5A2579" w14:textId="5E2839AF"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76.0</w:t>
            </w:r>
          </w:p>
        </w:tc>
        <w:tc>
          <w:tcPr>
            <w:tcW w:w="85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5C7557" w14:textId="5FF7F576"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8</w:t>
            </w:r>
            <w:r w:rsidR="008D31A3">
              <w:rPr>
                <w:rFonts w:ascii="Arial" w:eastAsia="Arial" w:hAnsi="Arial" w:cs="Arial"/>
                <w:color w:val="000000"/>
                <w:sz w:val="12"/>
                <w:szCs w:val="12"/>
              </w:rPr>
              <w:t>4.0</w:t>
            </w:r>
          </w:p>
        </w:tc>
      </w:tr>
      <w:tr w:rsidR="00050D95" w14:paraId="6920D8DA" w14:textId="77777777" w:rsidTr="00673886">
        <w:trPr>
          <w:jc w:val="center"/>
        </w:trPr>
        <w:tc>
          <w:tcPr>
            <w:tcW w:w="12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A9C75"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Central</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60DC97" w14:textId="43BC68D6"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-1.21</w:t>
            </w:r>
          </w:p>
        </w:tc>
        <w:tc>
          <w:tcPr>
            <w:tcW w:w="8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FB6D83"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A52092" w14:textId="00453249"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 xml:space="preserve"> -2.6</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DF3CAF" w14:textId="1E2A781C"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86" w:type="dxa"/>
            <w:tcBorders>
              <w:top w:val="none" w:sz="0" w:space="0" w:color="000000"/>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4F27CF87" w14:textId="71DC584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515299"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none" w:sz="0" w:space="0" w:color="000000"/>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5BDA8847" w14:textId="295D2747" w:rsidR="00050D95" w:rsidRDefault="00673886"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10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AAFDAF" w14:textId="16F66EF9"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3</w:t>
            </w:r>
            <w:r w:rsidR="00050D95">
              <w:rPr>
                <w:rFonts w:ascii="Arial" w:eastAsia="Arial" w:hAnsi="Arial" w:cs="Arial"/>
                <w:color w:val="000000"/>
                <w:sz w:val="12"/>
                <w:szCs w:val="12"/>
              </w:rPr>
              <w:t>4</w:t>
            </w:r>
            <w:r>
              <w:rPr>
                <w:rFonts w:ascii="Arial" w:eastAsia="Arial" w:hAnsi="Arial" w:cs="Arial"/>
                <w:color w:val="000000"/>
                <w:sz w:val="12"/>
                <w:szCs w:val="12"/>
              </w:rPr>
              <w:t>.8</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D30002" w14:textId="5CC10C1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3</w:t>
            </w:r>
            <w:r w:rsidR="008D31A3">
              <w:rPr>
                <w:rFonts w:ascii="Arial" w:eastAsia="Arial" w:hAnsi="Arial" w:cs="Arial"/>
                <w:color w:val="000000"/>
                <w:sz w:val="12"/>
                <w:szCs w:val="12"/>
              </w:rPr>
              <w:t>3.1</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B439F9" w14:textId="76825EA0"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36.5</w:t>
            </w:r>
          </w:p>
        </w:tc>
      </w:tr>
      <w:tr w:rsidR="00050D95" w14:paraId="41A3A091" w14:textId="77777777" w:rsidTr="00E9281F">
        <w:trPr>
          <w:jc w:val="center"/>
        </w:trPr>
        <w:tc>
          <w:tcPr>
            <w:tcW w:w="12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2C0368"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East</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8B68F3" w14:textId="03294288"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-3.31</w:t>
            </w:r>
          </w:p>
        </w:tc>
        <w:tc>
          <w:tcPr>
            <w:tcW w:w="8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4606A6"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79D603" w14:textId="105BD440"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 xml:space="preserve"> -8.4</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14046A"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886" w:type="dxa"/>
            <w:tcBorders>
              <w:top w:val="none" w:sz="0" w:space="0" w:color="000000"/>
              <w:left w:val="none" w:sz="0" w:space="0" w:color="000000"/>
              <w:bottom w:val="none" w:sz="0" w:space="0" w:color="000000"/>
              <w:right w:val="none" w:sz="0" w:space="0" w:color="000000"/>
            </w:tcBorders>
            <w:shd w:val="clear" w:color="auto" w:fill="FF0000"/>
            <w:tcMar>
              <w:top w:w="0" w:type="dxa"/>
              <w:left w:w="0" w:type="dxa"/>
              <w:bottom w:w="0" w:type="dxa"/>
              <w:right w:w="0" w:type="dxa"/>
            </w:tcMar>
            <w:vAlign w:val="center"/>
          </w:tcPr>
          <w:p w14:paraId="5EFA0962"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46DB41"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none" w:sz="0" w:space="0" w:color="000000"/>
              <w:left w:val="none" w:sz="0" w:space="0" w:color="000000"/>
              <w:bottom w:val="none" w:sz="0" w:space="0" w:color="000000"/>
              <w:right w:val="none" w:sz="0" w:space="0" w:color="000000"/>
            </w:tcBorders>
            <w:shd w:val="clear" w:color="auto" w:fill="FF0000"/>
            <w:tcMar>
              <w:top w:w="0" w:type="dxa"/>
              <w:left w:w="0" w:type="dxa"/>
              <w:bottom w:w="0" w:type="dxa"/>
              <w:right w:w="0" w:type="dxa"/>
            </w:tcMar>
            <w:vAlign w:val="center"/>
          </w:tcPr>
          <w:p w14:paraId="6E56209B"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10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2DCBE6" w14:textId="59D61928"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19.7</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F41E7A" w14:textId="4A800B02"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16.7</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422C1F" w14:textId="3015A8B0"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18.7</w:t>
            </w:r>
          </w:p>
        </w:tc>
      </w:tr>
      <w:tr w:rsidR="00050D95" w14:paraId="54A658DD" w14:textId="77777777" w:rsidTr="00673886">
        <w:trPr>
          <w:jc w:val="center"/>
        </w:trPr>
        <w:tc>
          <w:tcPr>
            <w:tcW w:w="12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D53A588"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Large</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02177D" w14:textId="0E7D8374"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 xml:space="preserve"> 1.18</w:t>
            </w:r>
          </w:p>
        </w:tc>
        <w:tc>
          <w:tcPr>
            <w:tcW w:w="8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4C0261"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0439A0" w14:textId="13D1E51A"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 xml:space="preserve">  8.3</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2388AA" w14:textId="45B3B99C"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Increasing</w:t>
            </w:r>
          </w:p>
        </w:tc>
        <w:tc>
          <w:tcPr>
            <w:tcW w:w="886" w:type="dxa"/>
            <w:tcBorders>
              <w:top w:val="none" w:sz="0" w:space="0" w:color="000000"/>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423EBDEB" w14:textId="6340D212" w:rsidR="00050D95" w:rsidRDefault="00673886" w:rsidP="00673886">
            <w:pPr>
              <w:pBdr>
                <w:top w:val="none" w:sz="0" w:space="0" w:color="000000"/>
                <w:left w:val="none" w:sz="0" w:space="0" w:color="000000"/>
                <w:bottom w:val="none" w:sz="0" w:space="0" w:color="000000"/>
                <w:right w:val="none" w:sz="0" w:space="0" w:color="000000"/>
              </w:pBdr>
              <w:shd w:val="clear" w:color="auto" w:fill="FFA500"/>
              <w:spacing w:before="100" w:after="100"/>
              <w:ind w:left="100" w:right="100"/>
              <w:jc w:val="center"/>
            </w:pPr>
            <w:r>
              <w:rPr>
                <w:rFonts w:ascii="Arial" w:eastAsia="Arial" w:hAnsi="Arial" w:cs="Arial"/>
                <w:color w:val="000000"/>
                <w:sz w:val="12"/>
                <w:szCs w:val="12"/>
              </w:rPr>
              <w:t>Stable</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08CA3E"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none" w:sz="0" w:space="0" w:color="000000"/>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78439F9C" w14:textId="50927256" w:rsidR="00050D95" w:rsidRDefault="00673886"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10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4F23E0"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18.5</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01A1F" w14:textId="4848CF6C"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17</w:t>
            </w:r>
            <w:r w:rsidR="002D2E84">
              <w:rPr>
                <w:rFonts w:ascii="Arial" w:eastAsia="Arial" w:hAnsi="Arial" w:cs="Arial"/>
                <w:color w:val="000000"/>
                <w:sz w:val="12"/>
                <w:szCs w:val="12"/>
              </w:rPr>
              <w:t>.6</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96F79E" w14:textId="70606EA4"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r w:rsidR="002D2E84">
              <w:rPr>
                <w:rFonts w:ascii="Arial" w:eastAsia="Arial" w:hAnsi="Arial" w:cs="Arial"/>
                <w:color w:val="000000"/>
                <w:sz w:val="12"/>
                <w:szCs w:val="12"/>
              </w:rPr>
              <w:t>9.4</w:t>
            </w:r>
          </w:p>
        </w:tc>
      </w:tr>
      <w:tr w:rsidR="00050D95" w14:paraId="6724A95B" w14:textId="77777777" w:rsidTr="00E9281F">
        <w:trPr>
          <w:jc w:val="center"/>
        </w:trPr>
        <w:tc>
          <w:tcPr>
            <w:tcW w:w="12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C08C7"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Small</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D982C0" w14:textId="317631F6"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-5.06</w:t>
            </w:r>
          </w:p>
        </w:tc>
        <w:tc>
          <w:tcPr>
            <w:tcW w:w="8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79CC07" w14:textId="2DD4FF44"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94FEF0" w14:textId="4B42CAC3"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 xml:space="preserve"> -3.0</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050139" w14:textId="32B996FC"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86" w:type="dxa"/>
            <w:tcBorders>
              <w:top w:val="none" w:sz="0" w:space="0" w:color="000000"/>
              <w:left w:val="none" w:sz="0" w:space="0" w:color="000000"/>
              <w:bottom w:val="none" w:sz="0" w:space="0" w:color="000000"/>
              <w:right w:val="none" w:sz="0" w:space="0" w:color="000000"/>
            </w:tcBorders>
            <w:shd w:val="clear" w:color="auto" w:fill="FF0000"/>
            <w:tcMar>
              <w:top w:w="0" w:type="dxa"/>
              <w:left w:w="0" w:type="dxa"/>
              <w:bottom w:w="0" w:type="dxa"/>
              <w:right w:w="0" w:type="dxa"/>
            </w:tcMar>
            <w:vAlign w:val="center"/>
          </w:tcPr>
          <w:p w14:paraId="3E0CBED9"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A026E31"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none" w:sz="0" w:space="0" w:color="000000"/>
              <w:left w:val="none" w:sz="0" w:space="0" w:color="000000"/>
              <w:bottom w:val="none" w:sz="0" w:space="0" w:color="000000"/>
              <w:right w:val="none" w:sz="0" w:space="0" w:color="000000"/>
            </w:tcBorders>
            <w:shd w:val="clear" w:color="auto" w:fill="FF0000"/>
            <w:tcMar>
              <w:top w:w="0" w:type="dxa"/>
              <w:left w:w="0" w:type="dxa"/>
              <w:bottom w:w="0" w:type="dxa"/>
              <w:right w:w="0" w:type="dxa"/>
            </w:tcMar>
            <w:vAlign w:val="center"/>
          </w:tcPr>
          <w:p w14:paraId="1A49FBBC"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10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4B1C09" w14:textId="7B5261C4"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7.8</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F5CB7" w14:textId="4EDF10B3"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6.6</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148AFC" w14:textId="41F6D288"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7</w:t>
            </w:r>
            <w:r w:rsidR="002D2E84">
              <w:rPr>
                <w:rFonts w:ascii="Arial" w:eastAsia="Arial" w:hAnsi="Arial" w:cs="Arial"/>
                <w:color w:val="000000"/>
                <w:sz w:val="12"/>
                <w:szCs w:val="12"/>
              </w:rPr>
              <w:t>.4</w:t>
            </w:r>
          </w:p>
        </w:tc>
      </w:tr>
      <w:tr w:rsidR="00050D95" w14:paraId="5B9F4F5F" w14:textId="77777777" w:rsidTr="00673886">
        <w:trPr>
          <w:jc w:val="center"/>
        </w:trPr>
        <w:tc>
          <w:tcPr>
            <w:tcW w:w="125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81F0AA"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Mallacoota West</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FA4CC1" w14:textId="044AA530"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-1.26</w:t>
            </w:r>
          </w:p>
        </w:tc>
        <w:tc>
          <w:tcPr>
            <w:tcW w:w="88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5F34EC" w14:textId="2EE87890"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1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7E0D09" w14:textId="56F86E80"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 xml:space="preserve">  0.4</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C70129" w14:textId="6BDBB7DC"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886" w:type="dxa"/>
            <w:tcBorders>
              <w:top w:val="none" w:sz="0" w:space="0" w:color="000000"/>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12847B82" w14:textId="561FFE55"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709"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2D622"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none" w:sz="0" w:space="0" w:color="000000"/>
              <w:left w:val="none" w:sz="0" w:space="0" w:color="000000"/>
              <w:bottom w:val="none" w:sz="0" w:space="0" w:color="000000"/>
              <w:right w:val="none" w:sz="0" w:space="0" w:color="000000"/>
            </w:tcBorders>
            <w:shd w:val="clear" w:color="auto" w:fill="FFA500"/>
            <w:tcMar>
              <w:top w:w="0" w:type="dxa"/>
              <w:left w:w="0" w:type="dxa"/>
              <w:bottom w:w="0" w:type="dxa"/>
              <w:right w:w="0" w:type="dxa"/>
            </w:tcMar>
            <w:vAlign w:val="center"/>
          </w:tcPr>
          <w:p w14:paraId="595DC120" w14:textId="362130D8" w:rsidR="00050D95" w:rsidRDefault="00673886"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Stable</w:t>
            </w:r>
          </w:p>
        </w:tc>
        <w:tc>
          <w:tcPr>
            <w:tcW w:w="10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C6BC51" w14:textId="0F3B25B9"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12.0</w:t>
            </w:r>
          </w:p>
        </w:tc>
        <w:tc>
          <w:tcPr>
            <w:tcW w:w="85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336B81" w14:textId="19AD482E"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r w:rsidR="002D2E84">
              <w:rPr>
                <w:rFonts w:ascii="Arial" w:eastAsia="Arial" w:hAnsi="Arial" w:cs="Arial"/>
                <w:color w:val="000000"/>
                <w:sz w:val="12"/>
                <w:szCs w:val="12"/>
              </w:rPr>
              <w:t>1.4</w:t>
            </w:r>
          </w:p>
        </w:tc>
        <w:tc>
          <w:tcPr>
            <w:tcW w:w="85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B02C46" w14:textId="2D86FD79"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w:t>
            </w:r>
            <w:r w:rsidR="00050D95">
              <w:rPr>
                <w:rFonts w:ascii="Arial" w:eastAsia="Arial" w:hAnsi="Arial" w:cs="Arial"/>
                <w:color w:val="000000"/>
                <w:sz w:val="12"/>
                <w:szCs w:val="12"/>
              </w:rPr>
              <w:t>2</w:t>
            </w:r>
            <w:r>
              <w:rPr>
                <w:rFonts w:ascii="Arial" w:eastAsia="Arial" w:hAnsi="Arial" w:cs="Arial"/>
                <w:color w:val="000000"/>
                <w:sz w:val="12"/>
                <w:szCs w:val="12"/>
              </w:rPr>
              <w:t>.6</w:t>
            </w:r>
          </w:p>
        </w:tc>
      </w:tr>
      <w:tr w:rsidR="00050D95" w14:paraId="604EA228" w14:textId="77777777" w:rsidTr="00E9281F">
        <w:trPr>
          <w:jc w:val="center"/>
        </w:trPr>
        <w:tc>
          <w:tcPr>
            <w:tcW w:w="1253"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09B4D678"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Marlo</w:t>
            </w:r>
          </w:p>
        </w:tc>
        <w:tc>
          <w:tcPr>
            <w:tcW w:w="70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79945CBB" w14:textId="7946F3D8" w:rsidR="00050D95" w:rsidRPr="00CC3DF3"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CC3DF3">
              <w:rPr>
                <w:rFonts w:ascii="Arial" w:eastAsia="Arial" w:hAnsi="Arial" w:cs="Arial"/>
                <w:color w:val="000000"/>
                <w:sz w:val="12"/>
                <w:szCs w:val="12"/>
              </w:rPr>
              <w:t>-5.72</w:t>
            </w:r>
          </w:p>
        </w:tc>
        <w:tc>
          <w:tcPr>
            <w:tcW w:w="885"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4BB67967" w14:textId="5B4201C1"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816"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tcPr>
          <w:p w14:paraId="325C4DD8" w14:textId="7B9E5C5C" w:rsidR="00050D95" w:rsidRP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rPr>
                <w:rFonts w:ascii="Arial" w:eastAsia="Arial" w:hAnsi="Arial" w:cs="Arial"/>
                <w:color w:val="000000"/>
                <w:sz w:val="12"/>
                <w:szCs w:val="12"/>
              </w:rPr>
            </w:pPr>
            <w:r w:rsidRPr="00050D95">
              <w:rPr>
                <w:rFonts w:ascii="Arial" w:eastAsia="Arial" w:hAnsi="Arial" w:cs="Arial"/>
                <w:color w:val="000000"/>
                <w:sz w:val="12"/>
                <w:szCs w:val="12"/>
              </w:rPr>
              <w:t>-17.0</w:t>
            </w:r>
          </w:p>
        </w:tc>
        <w:tc>
          <w:tcPr>
            <w:tcW w:w="85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A2320C0"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886" w:type="dxa"/>
            <w:tcBorders>
              <w:top w:val="none" w:sz="0" w:space="0" w:color="000000"/>
              <w:left w:val="none" w:sz="0" w:space="0" w:color="000000"/>
              <w:bottom w:val="single" w:sz="8" w:space="0" w:color="000000"/>
              <w:right w:val="none" w:sz="0" w:space="0" w:color="000000"/>
            </w:tcBorders>
            <w:shd w:val="clear" w:color="auto" w:fill="FF0000"/>
            <w:tcMar>
              <w:top w:w="0" w:type="dxa"/>
              <w:left w:w="0" w:type="dxa"/>
              <w:bottom w:w="0" w:type="dxa"/>
              <w:right w:w="0" w:type="dxa"/>
            </w:tcMar>
            <w:vAlign w:val="center"/>
          </w:tcPr>
          <w:p w14:paraId="50AC31F4"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709"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9052D10"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NA</w:t>
            </w:r>
          </w:p>
        </w:tc>
        <w:tc>
          <w:tcPr>
            <w:tcW w:w="939" w:type="dxa"/>
            <w:tcBorders>
              <w:top w:val="none" w:sz="0" w:space="0" w:color="000000"/>
              <w:left w:val="none" w:sz="0" w:space="0" w:color="000000"/>
              <w:bottom w:val="single" w:sz="8" w:space="0" w:color="000000"/>
              <w:right w:val="none" w:sz="0" w:space="0" w:color="000000"/>
            </w:tcBorders>
            <w:shd w:val="clear" w:color="auto" w:fill="FF0000"/>
            <w:tcMar>
              <w:top w:w="0" w:type="dxa"/>
              <w:left w:w="0" w:type="dxa"/>
              <w:bottom w:w="0" w:type="dxa"/>
              <w:right w:w="0" w:type="dxa"/>
            </w:tcMar>
            <w:vAlign w:val="center"/>
          </w:tcPr>
          <w:p w14:paraId="569EAD55"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Decreasing</w:t>
            </w:r>
          </w:p>
        </w:tc>
        <w:tc>
          <w:tcPr>
            <w:tcW w:w="1033"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206C6CB9" w14:textId="1F30D7A7" w:rsidR="00050D95" w:rsidRDefault="008D31A3"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35.8</w:t>
            </w:r>
          </w:p>
        </w:tc>
        <w:tc>
          <w:tcPr>
            <w:tcW w:w="851"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7A93BCAF" w14:textId="3F22C584"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30.4</w:t>
            </w:r>
          </w:p>
        </w:tc>
        <w:tc>
          <w:tcPr>
            <w:tcW w:w="850" w:type="dxa"/>
            <w:tcBorders>
              <w:top w:val="none" w:sz="0" w:space="0" w:color="000000"/>
              <w:left w:val="none" w:sz="0" w:space="0" w:color="000000"/>
              <w:bottom w:val="single" w:sz="8" w:space="0" w:color="000000"/>
              <w:right w:val="none" w:sz="0" w:space="0" w:color="000000"/>
            </w:tcBorders>
            <w:shd w:val="clear" w:color="auto" w:fill="FFFFFF"/>
            <w:tcMar>
              <w:top w:w="0" w:type="dxa"/>
              <w:left w:w="0" w:type="dxa"/>
              <w:bottom w:w="0" w:type="dxa"/>
              <w:right w:w="0" w:type="dxa"/>
            </w:tcMar>
            <w:vAlign w:val="center"/>
          </w:tcPr>
          <w:p w14:paraId="10BA90B8" w14:textId="75AE43D4"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34.0</w:t>
            </w:r>
          </w:p>
        </w:tc>
      </w:tr>
      <w:tr w:rsidR="00050D95" w14:paraId="0A89EFF5" w14:textId="77777777" w:rsidTr="0082161E">
        <w:trPr>
          <w:jc w:val="center"/>
        </w:trPr>
        <w:tc>
          <w:tcPr>
            <w:tcW w:w="1253"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3AFC507"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Total</w:t>
            </w:r>
          </w:p>
        </w:tc>
        <w:tc>
          <w:tcPr>
            <w:tcW w:w="709"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92677FB"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885"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D5BB3D"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816"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97CF1F2"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850"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5AA222"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886"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0AEEA8"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709"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7289FC"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939"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824520E" w14:textId="77777777"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p>
        </w:tc>
        <w:tc>
          <w:tcPr>
            <w:tcW w:w="1033"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6C9DD4" w14:textId="006E1860"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2</w:t>
            </w:r>
            <w:r w:rsidR="002D2E84">
              <w:rPr>
                <w:rFonts w:ascii="Arial" w:eastAsia="Arial" w:hAnsi="Arial" w:cs="Arial"/>
                <w:color w:val="000000"/>
                <w:sz w:val="12"/>
                <w:szCs w:val="12"/>
              </w:rPr>
              <w:t>08</w:t>
            </w:r>
            <w:r>
              <w:rPr>
                <w:rFonts w:ascii="Arial" w:eastAsia="Arial" w:hAnsi="Arial" w:cs="Arial"/>
                <w:color w:val="000000"/>
                <w:sz w:val="12"/>
                <w:szCs w:val="12"/>
              </w:rPr>
              <w:t>.6</w:t>
            </w:r>
          </w:p>
        </w:tc>
        <w:tc>
          <w:tcPr>
            <w:tcW w:w="851"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5EFB772" w14:textId="7E80C9FA" w:rsidR="00050D95" w:rsidRDefault="002D2E84"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191.8</w:t>
            </w:r>
          </w:p>
        </w:tc>
        <w:tc>
          <w:tcPr>
            <w:tcW w:w="850" w:type="dxa"/>
            <w:tcBorders>
              <w:top w:val="single" w:sz="8"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5D3368" w14:textId="0577C0B2" w:rsidR="00050D95" w:rsidRDefault="00050D95" w:rsidP="00050D95">
            <w:pPr>
              <w:pBdr>
                <w:top w:val="none" w:sz="0" w:space="0" w:color="000000"/>
                <w:left w:val="none" w:sz="0" w:space="0" w:color="000000"/>
                <w:bottom w:val="none" w:sz="0" w:space="0" w:color="000000"/>
                <w:right w:val="none" w:sz="0" w:space="0" w:color="000000"/>
              </w:pBdr>
              <w:spacing w:before="100" w:after="100"/>
              <w:ind w:left="100" w:right="100"/>
              <w:jc w:val="center"/>
            </w:pPr>
            <w:r>
              <w:rPr>
                <w:rFonts w:ascii="Arial" w:eastAsia="Arial" w:hAnsi="Arial" w:cs="Arial"/>
                <w:color w:val="000000"/>
                <w:sz w:val="12"/>
                <w:szCs w:val="12"/>
              </w:rPr>
              <w:t>2</w:t>
            </w:r>
            <w:r w:rsidR="002D2E84">
              <w:rPr>
                <w:rFonts w:ascii="Arial" w:eastAsia="Arial" w:hAnsi="Arial" w:cs="Arial"/>
                <w:color w:val="000000"/>
                <w:sz w:val="12"/>
                <w:szCs w:val="12"/>
              </w:rPr>
              <w:t>12.6</w:t>
            </w:r>
          </w:p>
        </w:tc>
      </w:tr>
      <w:bookmarkEnd w:id="76"/>
    </w:tbl>
    <w:p w14:paraId="719CCAF1" w14:textId="77777777" w:rsidR="002B55E2" w:rsidRPr="002B55E2" w:rsidRDefault="002B55E2" w:rsidP="002B55E2"/>
    <w:p w14:paraId="18420A0A" w14:textId="43579BEB" w:rsidR="00C70DC4" w:rsidRDefault="00C70DC4" w:rsidP="00A77A9D">
      <w:pPr>
        <w:pStyle w:val="Heading3"/>
      </w:pPr>
      <w:bookmarkStart w:id="78" w:name="_Toc182219912"/>
      <w:bookmarkStart w:id="79" w:name="airport"/>
      <w:r>
        <w:t>Airport</w:t>
      </w:r>
      <w:r w:rsidR="00386907">
        <w:t xml:space="preserve"> SMU (Large</w:t>
      </w:r>
      <w:r w:rsidR="009E3CB9">
        <w:t xml:space="preserve"> SMU</w:t>
      </w:r>
      <w:r w:rsidR="00386907">
        <w:t>)</w:t>
      </w:r>
      <w:bookmarkEnd w:id="78"/>
      <w:r w:rsidR="00386907">
        <w:t xml:space="preserve"> </w:t>
      </w:r>
    </w:p>
    <w:p w14:paraId="3887DD6D" w14:textId="5DF7FC10" w:rsidR="00C70DC4" w:rsidRDefault="00C70DC4" w:rsidP="00C70DC4">
      <w:r>
        <w:t xml:space="preserve">The Airport SMU </w:t>
      </w:r>
      <w:r w:rsidR="00E70E8C">
        <w:t>c</w:t>
      </w:r>
      <w:r>
        <w:t xml:space="preserve">ontinued to be the most important Eastern Zone SMU in terms of total catch with </w:t>
      </w:r>
      <w:r w:rsidR="009E3CB9">
        <w:t>9</w:t>
      </w:r>
      <w:r w:rsidR="004131B0">
        <w:t>7.3</w:t>
      </w:r>
      <w:r>
        <w:t xml:space="preserve"> t harvested in 202</w:t>
      </w:r>
      <w:r w:rsidR="004131B0">
        <w:t>3</w:t>
      </w:r>
      <w:r>
        <w:t>/2</w:t>
      </w:r>
      <w:r w:rsidR="004131B0">
        <w:t>4</w:t>
      </w:r>
      <w:r>
        <w:t xml:space="preserve"> representing </w:t>
      </w:r>
      <w:r w:rsidR="004131B0">
        <w:t>34.2</w:t>
      </w:r>
      <w:r>
        <w:t xml:space="preserve">% of the TACC </w:t>
      </w:r>
      <w:r w:rsidR="000B7AD9">
        <w:t xml:space="preserve">(Table 3) </w:t>
      </w:r>
      <w:r w:rsidR="00185504">
        <w:t xml:space="preserve">and </w:t>
      </w:r>
      <w:r w:rsidR="004131B0">
        <w:t>34.2</w:t>
      </w:r>
      <w:r w:rsidR="00CA27CF">
        <w:t xml:space="preserve">% of the </w:t>
      </w:r>
      <w:r w:rsidR="00185504">
        <w:t>zone catch</w:t>
      </w:r>
      <w:r w:rsidR="00134D36">
        <w:t xml:space="preserve"> </w:t>
      </w:r>
      <w:r>
        <w:t xml:space="preserve">(Table </w:t>
      </w:r>
      <w:r w:rsidR="009E3CB9">
        <w:t>6</w:t>
      </w:r>
      <w:r>
        <w:t>). The total catch for 202</w:t>
      </w:r>
      <w:r w:rsidR="004131B0">
        <w:t>3</w:t>
      </w:r>
      <w:r>
        <w:t>/2</w:t>
      </w:r>
      <w:r w:rsidR="004131B0">
        <w:t>4</w:t>
      </w:r>
      <w:r>
        <w:t xml:space="preserve"> was </w:t>
      </w:r>
      <w:r w:rsidR="00DB05E1">
        <w:t>1</w:t>
      </w:r>
      <w:r w:rsidR="004131B0">
        <w:t>4.5</w:t>
      </w:r>
      <w:r w:rsidR="002E2832">
        <w:t xml:space="preserve">% above </w:t>
      </w:r>
      <w:r>
        <w:t xml:space="preserve">the </w:t>
      </w:r>
      <w:r w:rsidR="007B2FAC">
        <w:t>OT</w:t>
      </w:r>
      <w:r>
        <w:t xml:space="preserve">. </w:t>
      </w:r>
      <w:r w:rsidR="00DC2D1C">
        <w:t xml:space="preserve">Standardised </w:t>
      </w:r>
      <w:r>
        <w:t xml:space="preserve">CPUE </w:t>
      </w:r>
      <w:r w:rsidR="00BC0F1D">
        <w:t>in 202</w:t>
      </w:r>
      <w:r w:rsidR="004131B0">
        <w:t>3</w:t>
      </w:r>
      <w:r w:rsidR="00BC0F1D">
        <w:t>/2</w:t>
      </w:r>
      <w:r w:rsidR="004131B0">
        <w:t>4</w:t>
      </w:r>
      <w:r w:rsidR="00BC0F1D">
        <w:t xml:space="preserve"> was </w:t>
      </w:r>
      <w:r w:rsidR="00DC2D1C">
        <w:t>15</w:t>
      </w:r>
      <w:r w:rsidR="00BC0F1D" w:rsidRPr="00DC2D1C">
        <w:t xml:space="preserve">% higher than </w:t>
      </w:r>
      <w:r w:rsidRPr="00DC2D1C">
        <w:t>2003</w:t>
      </w:r>
      <w:r w:rsidR="00BC0F1D" w:rsidRPr="00DC2D1C">
        <w:t>/04</w:t>
      </w:r>
      <w:r w:rsidRPr="00DC2D1C">
        <w:t xml:space="preserve"> </w:t>
      </w:r>
      <w:r w:rsidR="00BC0F1D" w:rsidRPr="00DC2D1C">
        <w:t xml:space="preserve">and </w:t>
      </w:r>
      <w:r w:rsidR="00DC2D1C" w:rsidRPr="00DC2D1C">
        <w:t>9</w:t>
      </w:r>
      <w:r w:rsidR="00BC0F1D" w:rsidRPr="00DC2D1C">
        <w:t xml:space="preserve">% higher than </w:t>
      </w:r>
      <w:r w:rsidRPr="00DC2D1C">
        <w:t>2009</w:t>
      </w:r>
      <w:r w:rsidR="00BC0F1D" w:rsidRPr="00DC2D1C">
        <w:t>/10</w:t>
      </w:r>
      <w:r w:rsidRPr="00DC2D1C">
        <w:t>.</w:t>
      </w:r>
      <w:r>
        <w:t xml:space="preserve"> </w:t>
      </w:r>
    </w:p>
    <w:p w14:paraId="1F34F085" w14:textId="7F6020B4" w:rsidR="00C70DC4" w:rsidRDefault="00C70DC4" w:rsidP="006415C4">
      <w:pPr>
        <w:pStyle w:val="TableCaption"/>
      </w:pPr>
      <w:bookmarkStart w:id="80" w:name="_Toc182219866"/>
      <w:r>
        <w:t xml:space="preserve">Table </w:t>
      </w:r>
      <w:r w:rsidR="009E3CB9">
        <w:t>6</w:t>
      </w:r>
      <w:r>
        <w:t>: Summary of Catch, Optimum Targets and Performance Indicators for the Airport SMU.</w:t>
      </w:r>
      <w:bookmarkEnd w:id="80"/>
      <w:r>
        <w:t xml:space="preserve"> </w:t>
      </w:r>
    </w:p>
    <w:tbl>
      <w:tblPr>
        <w:tblW w:w="9062" w:type="dxa"/>
        <w:jc w:val="center"/>
        <w:tblLayout w:type="fixed"/>
        <w:tblLook w:val="0420" w:firstRow="1" w:lastRow="0" w:firstColumn="0" w:lastColumn="0" w:noHBand="0" w:noVBand="1"/>
      </w:tblPr>
      <w:tblGrid>
        <w:gridCol w:w="703"/>
        <w:gridCol w:w="572"/>
        <w:gridCol w:w="724"/>
        <w:gridCol w:w="846"/>
        <w:gridCol w:w="845"/>
        <w:gridCol w:w="861"/>
        <w:gridCol w:w="823"/>
        <w:gridCol w:w="983"/>
        <w:gridCol w:w="873"/>
        <w:gridCol w:w="938"/>
        <w:gridCol w:w="894"/>
      </w:tblGrid>
      <w:tr w:rsidR="00C70DC4" w14:paraId="28E3AF13" w14:textId="77777777" w:rsidTr="00C17238">
        <w:trPr>
          <w:cantSplit/>
          <w:tblHeader/>
          <w:jc w:val="center"/>
        </w:trPr>
        <w:tc>
          <w:tcPr>
            <w:tcW w:w="368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FBD2B1" w14:textId="77777777" w:rsidR="00C70DC4" w:rsidRDefault="00C70DC4" w:rsidP="00614F86">
            <w:pPr>
              <w:spacing w:before="100" w:after="100"/>
              <w:ind w:left="100" w:right="100"/>
              <w:jc w:val="center"/>
            </w:pPr>
            <w:bookmarkStart w:id="81" w:name="_Hlk118327720"/>
            <w:r>
              <w:rPr>
                <w:rFonts w:ascii="Helvetica" w:eastAsia="Helvetica" w:hAnsi="Helvetica" w:cs="Helvetica"/>
                <w:color w:val="000000"/>
                <w:sz w:val="18"/>
                <w:szCs w:val="18"/>
              </w:rPr>
              <w:t>Catch</w:t>
            </w:r>
          </w:p>
        </w:tc>
        <w:tc>
          <w:tcPr>
            <w:tcW w:w="267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CEA8DD" w14:textId="65F7EDF7" w:rsidR="00C70DC4" w:rsidRDefault="00C70DC4" w:rsidP="00614F86">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r>
            <w:r w:rsidR="00BB50FB">
              <w:rPr>
                <w:rFonts w:ascii="Helvetica" w:eastAsia="Helvetica" w:hAnsi="Helvetica" w:cs="Helvetica"/>
                <w:color w:val="000000"/>
                <w:sz w:val="18"/>
                <w:szCs w:val="18"/>
              </w:rPr>
              <w:t xml:space="preserve">CPUE 2003/04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2003-202</w:t>
            </w:r>
            <w:r w:rsidR="00906401">
              <w:rPr>
                <w:rFonts w:ascii="Helvetica" w:eastAsia="Helvetica" w:hAnsi="Helvetica" w:cs="Helvetica"/>
                <w:color w:val="000000"/>
                <w:sz w:val="18"/>
                <w:szCs w:val="18"/>
              </w:rPr>
              <w:t>3</w:t>
            </w:r>
          </w:p>
        </w:tc>
        <w:tc>
          <w:tcPr>
            <w:tcW w:w="270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311AF2" w14:textId="32FB24D7" w:rsidR="00C70DC4" w:rsidRDefault="00C70DC4" w:rsidP="00614F86">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 xml:space="preserve">CPUE 2009/10 – </w:t>
            </w:r>
            <w:r w:rsidR="004131B0">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2009-202</w:t>
            </w:r>
            <w:r w:rsidR="00906401">
              <w:rPr>
                <w:rFonts w:ascii="Helvetica" w:eastAsia="Helvetica" w:hAnsi="Helvetica" w:cs="Helvetica"/>
                <w:color w:val="000000"/>
                <w:sz w:val="18"/>
                <w:szCs w:val="18"/>
              </w:rPr>
              <w:t>3</w:t>
            </w:r>
          </w:p>
        </w:tc>
      </w:tr>
      <w:tr w:rsidR="00C17238" w14:paraId="468513A3" w14:textId="77777777" w:rsidTr="00C17238">
        <w:trPr>
          <w:cantSplit/>
          <w:trHeight w:val="507"/>
          <w:tblHeader/>
          <w:jc w:val="center"/>
        </w:trPr>
        <w:tc>
          <w:tcPr>
            <w:tcW w:w="1278"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41C03ABA" w14:textId="1B419D0B" w:rsidR="00C70DC4" w:rsidRPr="0035440E" w:rsidRDefault="00CA27CF" w:rsidP="00614F86">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w:t>
            </w:r>
            <w:r w:rsidR="00696A8A">
              <w:rPr>
                <w:rFonts w:ascii="Helvetica" w:eastAsia="Helvetica" w:hAnsi="Helvetica" w:cs="Helvetica"/>
                <w:color w:val="000000"/>
                <w:sz w:val="18"/>
                <w:szCs w:val="18"/>
              </w:rPr>
              <w:t>3</w:t>
            </w:r>
            <w:r>
              <w:rPr>
                <w:rFonts w:ascii="Helvetica" w:eastAsia="Helvetica" w:hAnsi="Helvetica" w:cs="Helvetica"/>
                <w:color w:val="000000"/>
                <w:sz w:val="18"/>
                <w:szCs w:val="18"/>
              </w:rPr>
              <w:t>/2</w:t>
            </w:r>
            <w:r w:rsidR="00696A8A">
              <w:rPr>
                <w:rFonts w:ascii="Helvetica" w:eastAsia="Helvetica" w:hAnsi="Helvetica" w:cs="Helvetica"/>
                <w:color w:val="000000"/>
                <w:sz w:val="18"/>
                <w:szCs w:val="18"/>
              </w:rPr>
              <w:t>4</w:t>
            </w:r>
          </w:p>
        </w:tc>
        <w:tc>
          <w:tcPr>
            <w:tcW w:w="240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99CEB6" w14:textId="064967D6" w:rsidR="00C70DC4" w:rsidRDefault="00C70DC4" w:rsidP="00614F86">
            <w:pPr>
              <w:spacing w:before="100" w:after="100"/>
              <w:ind w:left="100" w:right="100"/>
              <w:jc w:val="center"/>
            </w:pPr>
            <w:r>
              <w:rPr>
                <w:rFonts w:ascii="Helvetica" w:eastAsia="Helvetica" w:hAnsi="Helvetica" w:cs="Helvetica"/>
                <w:color w:val="000000"/>
                <w:sz w:val="18"/>
                <w:szCs w:val="18"/>
              </w:rPr>
              <w:t>OT (t)</w:t>
            </w:r>
          </w:p>
        </w:tc>
        <w:tc>
          <w:tcPr>
            <w:tcW w:w="862"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59BC720" w14:textId="77777777" w:rsidR="00C70DC4" w:rsidRDefault="00C70DC4" w:rsidP="00614F86">
            <w:pPr>
              <w:spacing w:before="100" w:after="100"/>
              <w:ind w:left="100" w:right="100"/>
              <w:jc w:val="center"/>
            </w:pPr>
            <w:r>
              <w:rPr>
                <w:rFonts w:ascii="Helvetica" w:eastAsia="Helvetica" w:hAnsi="Helvetica" w:cs="Helvetica"/>
                <w:color w:val="000000"/>
                <w:sz w:val="18"/>
                <w:szCs w:val="18"/>
              </w:rPr>
              <w:t>CPUE</w:t>
            </w:r>
          </w:p>
        </w:tc>
        <w:tc>
          <w:tcPr>
            <w:tcW w:w="824"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432FA81" w14:textId="77777777" w:rsidR="00C70DC4" w:rsidRDefault="00C70DC4" w:rsidP="00614F86">
            <w:pPr>
              <w:spacing w:before="100" w:after="100"/>
              <w:ind w:left="100" w:right="100"/>
              <w:jc w:val="center"/>
            </w:pPr>
            <w:r>
              <w:rPr>
                <w:rFonts w:ascii="Helvetica" w:eastAsia="Helvetica" w:hAnsi="Helvetica" w:cs="Helvetica"/>
                <w:color w:val="000000"/>
                <w:sz w:val="18"/>
                <w:szCs w:val="18"/>
              </w:rPr>
              <w:t>Pre-recruits</w:t>
            </w:r>
          </w:p>
        </w:tc>
        <w:tc>
          <w:tcPr>
            <w:tcW w:w="984"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2C10593" w14:textId="77777777" w:rsidR="00C70DC4" w:rsidRDefault="00C70DC4" w:rsidP="00614F86">
            <w:pPr>
              <w:spacing w:before="100" w:after="100"/>
              <w:ind w:left="100" w:right="100"/>
              <w:jc w:val="center"/>
            </w:pPr>
            <w:r>
              <w:rPr>
                <w:rFonts w:ascii="Helvetica" w:eastAsia="Helvetica" w:hAnsi="Helvetica" w:cs="Helvetica"/>
                <w:color w:val="000000"/>
                <w:sz w:val="18"/>
                <w:szCs w:val="18"/>
              </w:rPr>
              <w:t>Recruits</w:t>
            </w:r>
          </w:p>
        </w:tc>
        <w:tc>
          <w:tcPr>
            <w:tcW w:w="874"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1FFA2A9" w14:textId="77777777" w:rsidR="00C70DC4" w:rsidRDefault="00C70DC4" w:rsidP="00614F86">
            <w:pPr>
              <w:spacing w:before="100" w:after="100"/>
              <w:ind w:left="100" w:right="100"/>
              <w:jc w:val="center"/>
            </w:pPr>
            <w:r>
              <w:rPr>
                <w:rFonts w:ascii="Helvetica" w:eastAsia="Helvetica" w:hAnsi="Helvetica" w:cs="Helvetica"/>
                <w:color w:val="000000"/>
                <w:sz w:val="18"/>
                <w:szCs w:val="18"/>
              </w:rPr>
              <w:t>CPUE</w:t>
            </w:r>
          </w:p>
        </w:tc>
        <w:tc>
          <w:tcPr>
            <w:tcW w:w="939"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70FE118" w14:textId="77777777" w:rsidR="00C70DC4" w:rsidRDefault="00C70DC4" w:rsidP="00614F86">
            <w:pPr>
              <w:spacing w:before="100" w:after="100"/>
              <w:ind w:left="100" w:right="100"/>
              <w:jc w:val="center"/>
            </w:pPr>
            <w:r>
              <w:rPr>
                <w:rFonts w:ascii="Helvetica" w:eastAsia="Helvetica" w:hAnsi="Helvetica" w:cs="Helvetica"/>
                <w:color w:val="000000"/>
                <w:sz w:val="18"/>
                <w:szCs w:val="18"/>
              </w:rPr>
              <w:t>Pre-recruits</w:t>
            </w:r>
          </w:p>
        </w:tc>
        <w:tc>
          <w:tcPr>
            <w:tcW w:w="895"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73B3C4C" w14:textId="77777777" w:rsidR="00C70DC4" w:rsidRDefault="00C70DC4" w:rsidP="00614F86">
            <w:pPr>
              <w:spacing w:before="100" w:after="100"/>
              <w:ind w:left="100" w:right="100"/>
              <w:jc w:val="center"/>
            </w:pPr>
            <w:r>
              <w:rPr>
                <w:rFonts w:ascii="Helvetica" w:eastAsia="Helvetica" w:hAnsi="Helvetica" w:cs="Helvetica"/>
                <w:color w:val="000000"/>
                <w:sz w:val="18"/>
                <w:szCs w:val="18"/>
              </w:rPr>
              <w:t>Recruits</w:t>
            </w:r>
          </w:p>
        </w:tc>
      </w:tr>
      <w:tr w:rsidR="00C17238" w14:paraId="6060ACA3" w14:textId="77777777" w:rsidTr="00C17238">
        <w:trPr>
          <w:cantSplit/>
          <w:trHeight w:val="218"/>
          <w:tblHeader/>
          <w:jc w:val="center"/>
        </w:trPr>
        <w:tc>
          <w:tcPr>
            <w:tcW w:w="705"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4F40DC" w14:textId="77777777" w:rsidR="00D54A14" w:rsidRDefault="00D54A14" w:rsidP="00D54A14">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7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78204C" w14:textId="77777777" w:rsidR="00D54A14" w:rsidRDefault="00D54A14" w:rsidP="00D54A14">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1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7BDE80" w14:textId="1C0891B9" w:rsidR="00D54A14" w:rsidRPr="00BA6451" w:rsidRDefault="00D54A14" w:rsidP="00D54A14">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sidR="009E6F45">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sidR="009E6F45">
              <w:rPr>
                <w:rFonts w:ascii="Helvetica" w:eastAsia="Helvetica" w:hAnsi="Helvetica" w:cs="Helvetica"/>
                <w:color w:val="000000"/>
                <w:sz w:val="16"/>
                <w:szCs w:val="16"/>
              </w:rPr>
              <w:t>3</w:t>
            </w:r>
          </w:p>
        </w:tc>
        <w:tc>
          <w:tcPr>
            <w:tcW w:w="84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1394A3" w14:textId="10CAC41A" w:rsidR="00D54A14" w:rsidRPr="00BA6451" w:rsidRDefault="00D54A14" w:rsidP="00D54A14">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sidR="009E6F45">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sidR="009E6F45">
              <w:rPr>
                <w:rFonts w:ascii="Helvetica" w:eastAsia="Helvetica" w:hAnsi="Helvetica" w:cs="Helvetica"/>
                <w:color w:val="000000"/>
                <w:sz w:val="16"/>
                <w:szCs w:val="16"/>
              </w:rPr>
              <w:t>4</w:t>
            </w:r>
          </w:p>
        </w:tc>
        <w:tc>
          <w:tcPr>
            <w:tcW w:w="84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3A1DA2" w14:textId="76953342" w:rsidR="00D54A14" w:rsidRPr="00BA6451" w:rsidRDefault="00D54A14" w:rsidP="00D54A14">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sidR="009E6F45">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sidR="009E6F45">
              <w:rPr>
                <w:rFonts w:ascii="Helvetica" w:eastAsia="Helvetica" w:hAnsi="Helvetica" w:cs="Helvetica"/>
                <w:color w:val="000000"/>
                <w:sz w:val="16"/>
                <w:szCs w:val="16"/>
              </w:rPr>
              <w:t>5</w:t>
            </w:r>
          </w:p>
        </w:tc>
        <w:tc>
          <w:tcPr>
            <w:tcW w:w="86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8FC9C3" w14:textId="77777777" w:rsidR="00D54A14" w:rsidRDefault="00D54A14" w:rsidP="00D54A14">
            <w:pPr>
              <w:spacing w:before="100" w:after="100"/>
              <w:ind w:left="100" w:right="100"/>
              <w:jc w:val="center"/>
              <w:rPr>
                <w:rFonts w:ascii="Helvetica" w:eastAsia="Helvetica" w:hAnsi="Helvetica" w:cs="Helvetica"/>
                <w:color w:val="000000"/>
                <w:sz w:val="18"/>
                <w:szCs w:val="18"/>
              </w:rPr>
            </w:pPr>
          </w:p>
        </w:tc>
        <w:tc>
          <w:tcPr>
            <w:tcW w:w="82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3C059F" w14:textId="77777777" w:rsidR="00D54A14" w:rsidRDefault="00D54A14" w:rsidP="00D54A14">
            <w:pPr>
              <w:spacing w:before="100" w:after="100"/>
              <w:ind w:left="100" w:right="100"/>
              <w:jc w:val="center"/>
              <w:rPr>
                <w:rFonts w:ascii="Helvetica" w:eastAsia="Helvetica" w:hAnsi="Helvetica" w:cs="Helvetica"/>
                <w:color w:val="000000"/>
                <w:sz w:val="18"/>
                <w:szCs w:val="18"/>
              </w:rPr>
            </w:pPr>
          </w:p>
        </w:tc>
        <w:tc>
          <w:tcPr>
            <w:tcW w:w="98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B07F0C" w14:textId="77777777" w:rsidR="00D54A14" w:rsidRDefault="00D54A14" w:rsidP="00D54A14">
            <w:pPr>
              <w:spacing w:before="100" w:after="100"/>
              <w:ind w:left="100" w:right="100"/>
              <w:jc w:val="center"/>
              <w:rPr>
                <w:rFonts w:ascii="Helvetica" w:eastAsia="Helvetica" w:hAnsi="Helvetica" w:cs="Helvetica"/>
                <w:color w:val="000000"/>
                <w:sz w:val="18"/>
                <w:szCs w:val="18"/>
              </w:rPr>
            </w:pPr>
          </w:p>
        </w:tc>
        <w:tc>
          <w:tcPr>
            <w:tcW w:w="87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06EAD7" w14:textId="77777777" w:rsidR="00D54A14" w:rsidRDefault="00D54A14" w:rsidP="00D54A14">
            <w:pPr>
              <w:spacing w:before="100" w:after="100"/>
              <w:ind w:left="100" w:right="100"/>
              <w:jc w:val="center"/>
              <w:rPr>
                <w:rFonts w:ascii="Helvetica" w:eastAsia="Helvetica" w:hAnsi="Helvetica" w:cs="Helvetica"/>
                <w:color w:val="000000"/>
                <w:sz w:val="18"/>
                <w:szCs w:val="18"/>
              </w:rPr>
            </w:pPr>
          </w:p>
        </w:tc>
        <w:tc>
          <w:tcPr>
            <w:tcW w:w="93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6C2123" w14:textId="77777777" w:rsidR="00D54A14" w:rsidRDefault="00D54A14" w:rsidP="00D54A14">
            <w:pPr>
              <w:spacing w:before="100" w:after="100"/>
              <w:ind w:left="100" w:right="100"/>
              <w:jc w:val="center"/>
              <w:rPr>
                <w:rFonts w:ascii="Helvetica" w:eastAsia="Helvetica" w:hAnsi="Helvetica" w:cs="Helvetica"/>
                <w:color w:val="000000"/>
                <w:sz w:val="18"/>
                <w:szCs w:val="18"/>
              </w:rPr>
            </w:pPr>
          </w:p>
        </w:tc>
        <w:tc>
          <w:tcPr>
            <w:tcW w:w="89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3FE5D3" w14:textId="77777777" w:rsidR="00D54A14" w:rsidRDefault="00D54A14" w:rsidP="00D54A14">
            <w:pPr>
              <w:spacing w:before="100" w:after="100"/>
              <w:ind w:left="100" w:right="100"/>
              <w:jc w:val="center"/>
              <w:rPr>
                <w:rFonts w:ascii="Helvetica" w:eastAsia="Helvetica" w:hAnsi="Helvetica" w:cs="Helvetica"/>
                <w:color w:val="000000"/>
                <w:sz w:val="18"/>
                <w:szCs w:val="18"/>
              </w:rPr>
            </w:pPr>
          </w:p>
        </w:tc>
      </w:tr>
      <w:tr w:rsidR="00C17238" w14:paraId="4F28E36D" w14:textId="77777777" w:rsidTr="00C17238">
        <w:trPr>
          <w:cantSplit/>
          <w:jc w:val="center"/>
        </w:trPr>
        <w:tc>
          <w:tcPr>
            <w:tcW w:w="70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CBD303" w14:textId="7AE44074" w:rsidR="00D54A14" w:rsidRPr="0035440E" w:rsidRDefault="00CA27CF" w:rsidP="00D54A14">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9</w:t>
            </w:r>
            <w:r w:rsidR="004131B0">
              <w:rPr>
                <w:rFonts w:ascii="Helvetica" w:eastAsia="Helvetica" w:hAnsi="Helvetica" w:cs="Helvetica"/>
                <w:color w:val="000000"/>
                <w:sz w:val="18"/>
                <w:szCs w:val="18"/>
              </w:rPr>
              <w:t>7.3</w:t>
            </w:r>
          </w:p>
        </w:tc>
        <w:tc>
          <w:tcPr>
            <w:tcW w:w="573"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6B0636" w14:textId="682A6C98" w:rsidR="00D54A14" w:rsidRPr="0035440E" w:rsidRDefault="004131B0" w:rsidP="00D54A14">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34.2</w:t>
            </w:r>
          </w:p>
        </w:tc>
        <w:tc>
          <w:tcPr>
            <w:tcW w:w="713"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1DA23A7" w14:textId="645A93BE" w:rsidR="00D54A14" w:rsidRDefault="00D54A14" w:rsidP="00D54A14">
            <w:pPr>
              <w:spacing w:before="100" w:after="100"/>
              <w:ind w:left="100" w:right="100"/>
              <w:jc w:val="center"/>
            </w:pPr>
            <w:r>
              <w:rPr>
                <w:rFonts w:ascii="Helvetica" w:eastAsia="Helvetica" w:hAnsi="Helvetica" w:cs="Helvetica"/>
                <w:color w:val="000000"/>
                <w:sz w:val="18"/>
                <w:szCs w:val="18"/>
              </w:rPr>
              <w:t>8</w:t>
            </w:r>
            <w:r w:rsidR="00FD60F0">
              <w:rPr>
                <w:rFonts w:ascii="Helvetica" w:eastAsia="Helvetica" w:hAnsi="Helvetica" w:cs="Helvetica"/>
                <w:color w:val="000000"/>
                <w:sz w:val="18"/>
                <w:szCs w:val="18"/>
              </w:rPr>
              <w:t>5.0</w:t>
            </w:r>
          </w:p>
        </w:tc>
        <w:tc>
          <w:tcPr>
            <w:tcW w:w="847" w:type="dxa"/>
            <w:tcBorders>
              <w:left w:val="single" w:sz="8" w:space="0" w:color="000000"/>
              <w:bottom w:val="single" w:sz="8" w:space="0" w:color="000000"/>
              <w:right w:val="single" w:sz="8" w:space="0" w:color="000000"/>
            </w:tcBorders>
            <w:shd w:val="clear" w:color="auto" w:fill="FFFFFF"/>
            <w:vAlign w:val="center"/>
          </w:tcPr>
          <w:p w14:paraId="089695F0" w14:textId="5340B99F" w:rsidR="00D54A14" w:rsidRDefault="00D54A14" w:rsidP="00D54A14">
            <w:pPr>
              <w:spacing w:before="100" w:after="100"/>
              <w:ind w:left="100" w:right="100"/>
              <w:jc w:val="center"/>
            </w:pPr>
            <w:r w:rsidRPr="00D54A14">
              <w:rPr>
                <w:rFonts w:ascii="Helvetica" w:eastAsia="Helvetica" w:hAnsi="Helvetica" w:cs="Helvetica"/>
                <w:color w:val="000000"/>
                <w:sz w:val="18"/>
                <w:szCs w:val="18"/>
              </w:rPr>
              <w:t>85.0</w:t>
            </w:r>
          </w:p>
        </w:tc>
        <w:tc>
          <w:tcPr>
            <w:tcW w:w="846" w:type="dxa"/>
            <w:tcBorders>
              <w:left w:val="single" w:sz="8" w:space="0" w:color="000000"/>
              <w:bottom w:val="single" w:sz="8" w:space="0" w:color="000000"/>
              <w:right w:val="single" w:sz="8" w:space="0" w:color="000000"/>
            </w:tcBorders>
            <w:shd w:val="clear" w:color="auto" w:fill="FFFFFF"/>
            <w:vAlign w:val="center"/>
          </w:tcPr>
          <w:p w14:paraId="1402CA9E" w14:textId="4FF8FE6C" w:rsidR="00D54A14" w:rsidRPr="00DC2D1C" w:rsidRDefault="00DC2D1C" w:rsidP="00D54A14">
            <w:pPr>
              <w:spacing w:before="100" w:after="100"/>
              <w:ind w:left="100" w:right="100"/>
              <w:jc w:val="center"/>
              <w:rPr>
                <w:rFonts w:ascii="Helvetica" w:eastAsia="Helvetica" w:hAnsi="Helvetica" w:cs="Helvetica"/>
                <w:color w:val="000000"/>
                <w:sz w:val="18"/>
                <w:szCs w:val="18"/>
              </w:rPr>
            </w:pPr>
            <w:r w:rsidRPr="00DC2D1C">
              <w:rPr>
                <w:rFonts w:ascii="Helvetica" w:eastAsia="Helvetica" w:hAnsi="Helvetica" w:cs="Helvetica"/>
                <w:color w:val="000000"/>
                <w:sz w:val="18"/>
                <w:szCs w:val="18"/>
              </w:rPr>
              <w:t>80.0</w:t>
            </w:r>
          </w:p>
        </w:tc>
        <w:tc>
          <w:tcPr>
            <w:tcW w:w="86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23CC3D" w14:textId="40E74F2F" w:rsidR="00D54A14" w:rsidRDefault="00DC2D1C" w:rsidP="00D54A14">
            <w:pPr>
              <w:spacing w:before="100" w:after="100"/>
              <w:ind w:left="100" w:right="100"/>
              <w:jc w:val="center"/>
            </w:pPr>
            <w:r>
              <w:rPr>
                <w:rFonts w:ascii="Helvetica" w:eastAsia="Helvetica" w:hAnsi="Helvetica" w:cs="Helvetica"/>
                <w:color w:val="000000"/>
                <w:sz w:val="18"/>
                <w:szCs w:val="18"/>
              </w:rPr>
              <w:t>15</w:t>
            </w:r>
          </w:p>
        </w:tc>
        <w:tc>
          <w:tcPr>
            <w:tcW w:w="82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A5F2CE1" w14:textId="0A6D34B7" w:rsidR="00D54A14" w:rsidRPr="00673DC9" w:rsidRDefault="00673DC9" w:rsidP="00D54A14">
            <w:pPr>
              <w:spacing w:before="100" w:after="100"/>
              <w:ind w:left="100" w:right="100"/>
              <w:jc w:val="center"/>
              <w:rPr>
                <w:rFonts w:ascii="Helvetica" w:eastAsia="Helvetica" w:hAnsi="Helvetica" w:cs="Helvetica"/>
                <w:color w:val="000000"/>
                <w:sz w:val="18"/>
                <w:szCs w:val="18"/>
              </w:rPr>
            </w:pPr>
            <w:r w:rsidRPr="00673DC9">
              <w:rPr>
                <w:rFonts w:ascii="Helvetica" w:eastAsia="Helvetica" w:hAnsi="Helvetica" w:cs="Helvetica"/>
                <w:color w:val="000000"/>
                <w:sz w:val="18"/>
                <w:szCs w:val="18"/>
              </w:rPr>
              <w:t>NA</w:t>
            </w:r>
          </w:p>
        </w:tc>
        <w:tc>
          <w:tcPr>
            <w:tcW w:w="98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49A316" w14:textId="464714A1" w:rsidR="00D54A14" w:rsidRPr="00673DC9" w:rsidRDefault="00673DC9" w:rsidP="00D54A14">
            <w:pPr>
              <w:spacing w:before="100" w:after="100"/>
              <w:ind w:left="100" w:right="100"/>
              <w:jc w:val="center"/>
              <w:rPr>
                <w:rFonts w:ascii="Helvetica" w:eastAsia="Helvetica" w:hAnsi="Helvetica" w:cs="Helvetica"/>
                <w:color w:val="000000"/>
                <w:sz w:val="18"/>
                <w:szCs w:val="18"/>
              </w:rPr>
            </w:pPr>
            <w:r w:rsidRPr="00673DC9">
              <w:rPr>
                <w:rFonts w:ascii="Helvetica" w:eastAsia="Helvetica" w:hAnsi="Helvetica" w:cs="Helvetica"/>
                <w:color w:val="000000"/>
                <w:sz w:val="18"/>
                <w:szCs w:val="18"/>
              </w:rPr>
              <w:t>NA</w:t>
            </w:r>
          </w:p>
        </w:tc>
        <w:tc>
          <w:tcPr>
            <w:tcW w:w="87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023351" w14:textId="32E33E64" w:rsidR="00D54A14" w:rsidRPr="00DC2D1C" w:rsidRDefault="00DC2D1C" w:rsidP="00D54A14">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9</w:t>
            </w:r>
          </w:p>
        </w:tc>
        <w:tc>
          <w:tcPr>
            <w:tcW w:w="93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77B0B3" w14:textId="0780CB31" w:rsidR="00D54A14" w:rsidRPr="00673DC9" w:rsidRDefault="00673DC9" w:rsidP="00D54A14">
            <w:pPr>
              <w:spacing w:before="100" w:after="100"/>
              <w:ind w:left="100" w:right="100"/>
              <w:jc w:val="center"/>
              <w:rPr>
                <w:rFonts w:ascii="Helvetica" w:eastAsia="Helvetica" w:hAnsi="Helvetica" w:cs="Helvetica"/>
                <w:color w:val="000000"/>
                <w:sz w:val="18"/>
                <w:szCs w:val="18"/>
              </w:rPr>
            </w:pPr>
            <w:r w:rsidRPr="00673DC9">
              <w:rPr>
                <w:rFonts w:ascii="Helvetica" w:eastAsia="Helvetica" w:hAnsi="Helvetica" w:cs="Helvetica"/>
                <w:color w:val="000000"/>
                <w:sz w:val="18"/>
                <w:szCs w:val="18"/>
              </w:rPr>
              <w:t>NA</w:t>
            </w:r>
          </w:p>
        </w:tc>
        <w:tc>
          <w:tcPr>
            <w:tcW w:w="89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C289AF" w14:textId="5767D557" w:rsidR="00D54A14" w:rsidRPr="00673DC9" w:rsidRDefault="00673DC9" w:rsidP="00D54A14">
            <w:pPr>
              <w:spacing w:before="100" w:after="100"/>
              <w:ind w:left="100" w:right="100"/>
              <w:jc w:val="center"/>
              <w:rPr>
                <w:rFonts w:ascii="Helvetica" w:eastAsia="Helvetica" w:hAnsi="Helvetica" w:cs="Helvetica"/>
                <w:color w:val="000000"/>
                <w:sz w:val="18"/>
                <w:szCs w:val="18"/>
              </w:rPr>
            </w:pPr>
            <w:r w:rsidRPr="00673DC9">
              <w:rPr>
                <w:rFonts w:ascii="Helvetica" w:eastAsia="Helvetica" w:hAnsi="Helvetica" w:cs="Helvetica"/>
                <w:color w:val="000000"/>
                <w:sz w:val="18"/>
                <w:szCs w:val="18"/>
              </w:rPr>
              <w:t>NA</w:t>
            </w:r>
          </w:p>
        </w:tc>
      </w:tr>
      <w:tr w:rsidR="00C17238" w14:paraId="36F9AEA1" w14:textId="77777777" w:rsidTr="00C17238">
        <w:trPr>
          <w:cantSplit/>
          <w:jc w:val="center"/>
        </w:trPr>
        <w:tc>
          <w:tcPr>
            <w:tcW w:w="2003"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A9B951" w14:textId="05FED220" w:rsidR="00C17238" w:rsidRPr="00C17238" w:rsidRDefault="00C17238" w:rsidP="00614F86">
            <w:pPr>
              <w:spacing w:before="100" w:after="100"/>
              <w:ind w:left="100" w:right="100"/>
              <w:jc w:val="center"/>
              <w:rPr>
                <w:rFonts w:ascii="Helvetica" w:eastAsia="Helvetica" w:hAnsi="Helvetica" w:cs="Helvetica"/>
                <w:color w:val="000000"/>
                <w:sz w:val="18"/>
                <w:szCs w:val="18"/>
              </w:rPr>
            </w:pPr>
            <w:bookmarkStart w:id="82" w:name="_Hlk149156727"/>
            <w:r>
              <w:rPr>
                <w:rFonts w:ascii="Helvetica" w:eastAsia="Helvetica" w:hAnsi="Helvetica" w:cs="Helvetica"/>
                <w:color w:val="000000"/>
                <w:sz w:val="18"/>
                <w:szCs w:val="18"/>
              </w:rPr>
              <w:t xml:space="preserve">LML = </w:t>
            </w:r>
            <w:r w:rsidR="00DC2D1C">
              <w:rPr>
                <w:rFonts w:ascii="Helvetica" w:eastAsia="Helvetica" w:hAnsi="Helvetica" w:cs="Helvetica"/>
                <w:color w:val="000000"/>
                <w:sz w:val="18"/>
                <w:szCs w:val="18"/>
              </w:rPr>
              <w:t>110/</w:t>
            </w:r>
            <w:r>
              <w:rPr>
                <w:rFonts w:ascii="Helvetica" w:eastAsia="Helvetica" w:hAnsi="Helvetica" w:cs="Helvetica"/>
                <w:color w:val="000000"/>
                <w:sz w:val="18"/>
                <w:szCs w:val="18"/>
              </w:rPr>
              <w:t>120 mm</w:t>
            </w:r>
          </w:p>
        </w:tc>
        <w:tc>
          <w:tcPr>
            <w:tcW w:w="2543"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7AC051" w14:textId="2555919F" w:rsidR="00C17238" w:rsidRPr="00C17238" w:rsidRDefault="00C17238" w:rsidP="00614F86">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sidR="00DC2D1C">
              <w:rPr>
                <w:rFonts w:ascii="Helvetica" w:eastAsia="Helvetica" w:hAnsi="Helvetica" w:cs="Helvetica"/>
                <w:color w:val="000000"/>
                <w:sz w:val="18"/>
                <w:szCs w:val="18"/>
              </w:rPr>
              <w:t>406</w:t>
            </w:r>
            <w:r w:rsidRPr="00C17238">
              <w:rPr>
                <w:rFonts w:ascii="Helvetica" w:eastAsia="Helvetica" w:hAnsi="Helvetica" w:cs="Helvetica"/>
                <w:color w:val="000000"/>
                <w:sz w:val="18"/>
                <w:szCs w:val="18"/>
              </w:rPr>
              <w:t xml:space="preserve"> kg</w:t>
            </w:r>
          </w:p>
        </w:tc>
        <w:tc>
          <w:tcPr>
            <w:tcW w:w="2682" w:type="dxa"/>
            <w:gridSpan w:val="3"/>
            <w:tcBorders>
              <w:left w:val="single" w:sz="8" w:space="0" w:color="000000"/>
              <w:bottom w:val="single" w:sz="8" w:space="0" w:color="000000"/>
              <w:right w:val="single" w:sz="8" w:space="0" w:color="000000"/>
            </w:tcBorders>
            <w:shd w:val="clear" w:color="auto" w:fill="FFFFFF"/>
            <w:vAlign w:val="center"/>
          </w:tcPr>
          <w:p w14:paraId="003747C6" w14:textId="0D265D56" w:rsidR="00C17238" w:rsidRPr="00C17238" w:rsidRDefault="00C17238" w:rsidP="00614F86">
            <w:pPr>
              <w:spacing w:before="100" w:after="100"/>
              <w:ind w:left="100" w:right="100"/>
              <w:jc w:val="center"/>
              <w:rPr>
                <w:rFonts w:ascii="Helvetica" w:eastAsia="Helvetica" w:hAnsi="Helvetica" w:cs="Helvetica"/>
                <w:color w:val="000000"/>
                <w:sz w:val="18"/>
                <w:szCs w:val="18"/>
              </w:rPr>
            </w:pPr>
          </w:p>
        </w:tc>
        <w:tc>
          <w:tcPr>
            <w:tcW w:w="1834"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3C92768" w14:textId="52DD417E" w:rsidR="00C17238" w:rsidRPr="00C17238" w:rsidRDefault="00C17238" w:rsidP="00614F86">
            <w:pPr>
              <w:spacing w:before="100" w:after="100"/>
              <w:ind w:left="100" w:right="100"/>
              <w:jc w:val="center"/>
              <w:rPr>
                <w:rFonts w:ascii="Helvetica" w:eastAsia="Helvetica" w:hAnsi="Helvetica" w:cs="Helvetica"/>
                <w:color w:val="000000"/>
                <w:sz w:val="18"/>
                <w:szCs w:val="18"/>
              </w:rPr>
            </w:pPr>
          </w:p>
        </w:tc>
      </w:tr>
    </w:tbl>
    <w:bookmarkEnd w:id="81"/>
    <w:bookmarkEnd w:id="82"/>
    <w:p w14:paraId="23AD234B" w14:textId="09054260" w:rsidR="00C70DC4" w:rsidRDefault="00C70DC4" w:rsidP="00C70DC4">
      <w:r>
        <w:t xml:space="preserve">The Airport is an important contributor to the Eastern Zone TACC, with an average catch of </w:t>
      </w:r>
      <w:r w:rsidR="00E70E8C">
        <w:t xml:space="preserve">93 t since 1979 and </w:t>
      </w:r>
      <w:r>
        <w:t>9</w:t>
      </w:r>
      <w:r w:rsidR="00BC1808">
        <w:t>5</w:t>
      </w:r>
      <w:r>
        <w:t xml:space="preserve"> t since 19</w:t>
      </w:r>
      <w:r w:rsidR="00BC1808">
        <w:t>88</w:t>
      </w:r>
      <w:r>
        <w:t xml:space="preserve"> and a peak catch of 126 t taken during 2003 when Marine Parks were first implemented (Figure </w:t>
      </w:r>
      <w:r w:rsidR="00E70E8C">
        <w:t>8</w:t>
      </w:r>
      <w:r>
        <w:t xml:space="preserve">). </w:t>
      </w:r>
      <w:r w:rsidR="00E70E8C">
        <w:t xml:space="preserve">Since the introduction of quota, </w:t>
      </w:r>
      <w:r w:rsidR="00B453B2">
        <w:t>c</w:t>
      </w:r>
      <w:r>
        <w:t xml:space="preserve">atches have been generally stable from this SMU, with a low catch of 76 t in 1998. </w:t>
      </w:r>
      <w:r w:rsidR="00BC0F1D">
        <w:t xml:space="preserve">The </w:t>
      </w:r>
      <w:r w:rsidR="004131B0">
        <w:t>2023/24</w:t>
      </w:r>
      <w:r w:rsidR="00BC0F1D">
        <w:t xml:space="preserve"> catch </w:t>
      </w:r>
      <w:r w:rsidR="0082540F">
        <w:t>of 9</w:t>
      </w:r>
      <w:r w:rsidR="00DC2D1C">
        <w:t>7.3</w:t>
      </w:r>
      <w:r w:rsidR="0082540F">
        <w:t xml:space="preserve"> t was </w:t>
      </w:r>
      <w:r w:rsidR="00DC2D1C">
        <w:t>around</w:t>
      </w:r>
      <w:r w:rsidR="0082540F">
        <w:t xml:space="preserve"> the long-term average. Th</w:t>
      </w:r>
      <w:r w:rsidR="00DC2D1C">
        <w:t>e</w:t>
      </w:r>
      <w:r w:rsidR="0082540F">
        <w:t xml:space="preserve"> </w:t>
      </w:r>
      <w:r w:rsidR="00195BEB">
        <w:t>catch of 106</w:t>
      </w:r>
      <w:r w:rsidR="00185504">
        <w:t>.6</w:t>
      </w:r>
      <w:r w:rsidR="00195BEB">
        <w:t xml:space="preserve"> t </w:t>
      </w:r>
      <w:r w:rsidR="00DD3AD3">
        <w:t xml:space="preserve">in 2021/22 </w:t>
      </w:r>
      <w:r w:rsidR="00195BEB">
        <w:t xml:space="preserve">was </w:t>
      </w:r>
      <w:r w:rsidR="00BC0F1D">
        <w:t xml:space="preserve">the second highest catch since 2004/05 and was </w:t>
      </w:r>
      <w:r w:rsidR="0023203A">
        <w:t xml:space="preserve">the fourth highest catch for </w:t>
      </w:r>
      <w:r w:rsidR="00BC0F1D">
        <w:t xml:space="preserve">the Airport SMU </w:t>
      </w:r>
      <w:r w:rsidR="0023203A">
        <w:t xml:space="preserve">in the last 30 years. </w:t>
      </w:r>
      <w:r w:rsidR="002B4F5B">
        <w:t>The OT for 2024/25 was reduced by 5 t to 80.0 t.</w:t>
      </w:r>
    </w:p>
    <w:p w14:paraId="5D30E350" w14:textId="0CD23146" w:rsidR="00BC1808" w:rsidRDefault="00BC1808" w:rsidP="00C70DC4">
      <w:r>
        <w:t xml:space="preserve">Mean daily catch ranged from 400 to 500 kg/day from 1979 to 2019 (Figure </w:t>
      </w:r>
      <w:r w:rsidR="008C2010">
        <w:t>9</w:t>
      </w:r>
      <w:r>
        <w:t xml:space="preserve">). </w:t>
      </w:r>
      <w:r w:rsidR="00DC2D1C">
        <w:t>Mean daily catch</w:t>
      </w:r>
      <w:r w:rsidR="00516521">
        <w:t>, which is impacted by market forces,</w:t>
      </w:r>
      <w:r w:rsidR="00DC2D1C">
        <w:t xml:space="preserve"> reached a historic low in 2020 but has increased thereafter.</w:t>
      </w:r>
    </w:p>
    <w:p w14:paraId="51ED6D05" w14:textId="508EFFC1" w:rsidR="0049178A" w:rsidRDefault="00CD167E" w:rsidP="0049178A">
      <w:r w:rsidRPr="00CD167E">
        <w:rPr>
          <w:noProof/>
        </w:rPr>
        <w:drawing>
          <wp:inline distT="0" distB="0" distL="0" distR="0" wp14:anchorId="18F672C5" wp14:editId="2CA21B66">
            <wp:extent cx="5731510" cy="3446780"/>
            <wp:effectExtent l="0" t="0" r="2540" b="1270"/>
            <wp:docPr id="1736678460" name="Picture 1" descr="A graph showing a number of c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78460" name="Picture 1" descr="A graph showing a number of catch&#10;&#10;Description automatically generated with medium confidence"/>
                    <pic:cNvPicPr/>
                  </pic:nvPicPr>
                  <pic:blipFill>
                    <a:blip r:embed="rId27"/>
                    <a:stretch>
                      <a:fillRect/>
                    </a:stretch>
                  </pic:blipFill>
                  <pic:spPr>
                    <a:xfrm>
                      <a:off x="0" y="0"/>
                      <a:ext cx="5731510" cy="3446780"/>
                    </a:xfrm>
                    <a:prstGeom prst="rect">
                      <a:avLst/>
                    </a:prstGeom>
                  </pic:spPr>
                </pic:pic>
              </a:graphicData>
            </a:graphic>
          </wp:inline>
        </w:drawing>
      </w:r>
    </w:p>
    <w:p w14:paraId="2EC7F059" w14:textId="1B625EBF" w:rsidR="0049178A" w:rsidRDefault="0049178A" w:rsidP="0049178A">
      <w:pPr>
        <w:pStyle w:val="Caption"/>
      </w:pPr>
      <w:bookmarkStart w:id="83" w:name="_Toc182219810"/>
      <w:r>
        <w:t xml:space="preserve">Figure </w:t>
      </w:r>
      <w:r w:rsidR="008C2010">
        <w:t>9</w:t>
      </w:r>
      <w:r>
        <w:t xml:space="preserve">: Total catch and mean daily catch for the </w:t>
      </w:r>
      <w:r w:rsidR="00B453B2">
        <w:t>Airport</w:t>
      </w:r>
      <w:r>
        <w:t xml:space="preserve"> SMU from 1979 to 202</w:t>
      </w:r>
      <w:r w:rsidR="000B20D2">
        <w:t>3</w:t>
      </w:r>
      <w:r>
        <w:t>.</w:t>
      </w:r>
      <w:bookmarkEnd w:id="83"/>
      <w:r>
        <w:t xml:space="preserve"> </w:t>
      </w:r>
    </w:p>
    <w:p w14:paraId="360CD4ED" w14:textId="77777777" w:rsidR="00B453B2" w:rsidRDefault="00B453B2" w:rsidP="0049178A"/>
    <w:p w14:paraId="442FAEB1" w14:textId="49629419" w:rsidR="00C70DC4" w:rsidRDefault="00C70DC4" w:rsidP="0049178A">
      <w:r>
        <w:t>Nominal CPUE generally increased from 1992 to 20</w:t>
      </w:r>
      <w:r w:rsidR="000B20D2">
        <w:t xml:space="preserve">12, declined to 2017 before increasing to a historic </w:t>
      </w:r>
      <w:r>
        <w:t>peak of 125 kg/hr</w:t>
      </w:r>
      <w:r w:rsidR="0082540F">
        <w:t xml:space="preserve"> in 2019</w:t>
      </w:r>
      <w:r>
        <w:t xml:space="preserve"> (Figure </w:t>
      </w:r>
      <w:r w:rsidR="008C2010">
        <w:t>10</w:t>
      </w:r>
      <w:r>
        <w:t xml:space="preserve">). </w:t>
      </w:r>
      <w:r w:rsidR="000B20D2">
        <w:t>Standardised CPUE has shown similar annual trends between years, but has reduced over time relative to nominal CPUE.</w:t>
      </w:r>
    </w:p>
    <w:p w14:paraId="744D89D9" w14:textId="6B2A61B5" w:rsidR="00C70DC4" w:rsidRDefault="00543BBE" w:rsidP="00C70DC4">
      <w:r>
        <w:rPr>
          <w:noProof/>
        </w:rPr>
        <w:drawing>
          <wp:inline distT="0" distB="0" distL="0" distR="0" wp14:anchorId="53F33E03" wp14:editId="359ECA3D">
            <wp:extent cx="5727700" cy="3579495"/>
            <wp:effectExtent l="0" t="0" r="6350" b="1905"/>
            <wp:docPr id="2029552689" name="Picture" descr="Figure 4: Airport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34" name="Picture" descr="Figure 4: Airport SMU catch and CPUE (nominal and standardised) from 1992/1993 – 2021/22. Catch = bars, nominal CPUE = grey series (+/- SE), standardised series = black. Numbers in bars indicate changes to LMLs. MPs = introduction of Marine Parks."/>
                    <pic:cNvPicPr/>
                  </pic:nvPicPr>
                  <pic:blipFill>
                    <a:blip r:embed="rId28"/>
                    <a:stretch>
                      <a:fillRect/>
                    </a:stretch>
                  </pic:blipFill>
                  <pic:spPr bwMode="auto">
                    <a:xfrm>
                      <a:off x="0" y="0"/>
                      <a:ext cx="5727700" cy="3579495"/>
                    </a:xfrm>
                    <a:prstGeom prst="rect">
                      <a:avLst/>
                    </a:prstGeom>
                    <a:noFill/>
                    <a:ln w="9525">
                      <a:noFill/>
                      <a:headEnd/>
                      <a:tailEnd/>
                    </a:ln>
                  </pic:spPr>
                </pic:pic>
              </a:graphicData>
            </a:graphic>
          </wp:inline>
        </w:drawing>
      </w:r>
    </w:p>
    <w:p w14:paraId="5DAE49F5" w14:textId="344DD15E" w:rsidR="00C70DC4" w:rsidRDefault="00C70DC4" w:rsidP="005C49F6">
      <w:pPr>
        <w:pStyle w:val="Caption"/>
      </w:pPr>
      <w:bookmarkStart w:id="84" w:name="_Toc182219811"/>
      <w:r>
        <w:t xml:space="preserve">Figure </w:t>
      </w:r>
      <w:r w:rsidR="008C2010">
        <w:t>10</w:t>
      </w:r>
      <w:r>
        <w:t xml:space="preserve">: Airport SMU catch, and CPUE (nominal and standardised) from 1992/93 – </w:t>
      </w:r>
      <w:r w:rsidR="00CA27CF">
        <w:t>202</w:t>
      </w:r>
      <w:r w:rsidR="00954C6A">
        <w:t>3</w:t>
      </w:r>
      <w:r w:rsidR="00CA27CF">
        <w:t>/2</w:t>
      </w:r>
      <w:r w:rsidR="00954C6A">
        <w:t>4</w:t>
      </w:r>
      <w:r>
        <w:t xml:space="preserve">. </w:t>
      </w:r>
      <w:bookmarkStart w:id="85" w:name="_Hlk82524362"/>
      <w:r>
        <w:t xml:space="preserve"> </w:t>
      </w:r>
      <w:bookmarkEnd w:id="85"/>
      <w:r w:rsidR="009D6FAB" w:rsidRPr="009D6FAB">
        <w:t xml:space="preserve">Catch = bars, nominal CPUE = grey series (+/- SE), </w:t>
      </w:r>
      <w:r w:rsidR="00954C6A">
        <w:t xml:space="preserve">unadjusted </w:t>
      </w:r>
      <w:r w:rsidR="009D6FAB" w:rsidRPr="009D6FAB">
        <w:t>standardised series = black. Numbers in bars indicate changes to LMLs. MPs = introduction of Marine Parks.</w:t>
      </w:r>
      <w:bookmarkEnd w:id="84"/>
    </w:p>
    <w:p w14:paraId="0BCBA8CB" w14:textId="1C1D1464" w:rsidR="00C70DC4" w:rsidRDefault="00C70DC4" w:rsidP="006415C4">
      <w:pPr>
        <w:pStyle w:val="TableCaption"/>
      </w:pPr>
      <w:bookmarkStart w:id="86" w:name="_Toc182219867"/>
      <w:r>
        <w:t xml:space="preserve">Table </w:t>
      </w:r>
      <w:r w:rsidR="00185074">
        <w:t>7</w:t>
      </w:r>
      <w:r>
        <w:t xml:space="preserve">: Catches (kg) by reefcode for the Airport </w:t>
      </w:r>
      <w:r w:rsidR="000C4999">
        <w:t xml:space="preserve">SMU from 2018/19 to 2023/24, the five-year average catch from 2018/19 to 2022/23, and the OT for </w:t>
      </w:r>
      <w:r w:rsidR="004131B0">
        <w:t>2023/24</w:t>
      </w:r>
      <w:r>
        <w:t>.</w:t>
      </w:r>
      <w:bookmarkEnd w:id="86"/>
      <w:r w:rsidR="004B2453">
        <w:t xml:space="preserve"> </w:t>
      </w:r>
    </w:p>
    <w:p w14:paraId="1F17395C" w14:textId="4BF4F344" w:rsidR="00C70DC4" w:rsidRDefault="00A80AE5" w:rsidP="00C70DC4">
      <w:pPr>
        <w:jc w:val="center"/>
      </w:pPr>
      <w:r w:rsidRPr="00A80AE5">
        <w:rPr>
          <w:noProof/>
        </w:rPr>
        <w:drawing>
          <wp:inline distT="0" distB="0" distL="0" distR="0" wp14:anchorId="0F255B5C" wp14:editId="0DAF3FBD">
            <wp:extent cx="5731510" cy="932180"/>
            <wp:effectExtent l="0" t="0" r="2540" b="1270"/>
            <wp:docPr id="135602040" name="Picture 1" descr="A table with numbers and a few digi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2040" name="Picture 1" descr="A table with numbers and a few digits&#10;&#10;Description automatically generated with medium confidence"/>
                    <pic:cNvPicPr/>
                  </pic:nvPicPr>
                  <pic:blipFill>
                    <a:blip r:embed="rId29"/>
                    <a:stretch>
                      <a:fillRect/>
                    </a:stretch>
                  </pic:blipFill>
                  <pic:spPr>
                    <a:xfrm>
                      <a:off x="0" y="0"/>
                      <a:ext cx="5731510" cy="932180"/>
                    </a:xfrm>
                    <a:prstGeom prst="rect">
                      <a:avLst/>
                    </a:prstGeom>
                  </pic:spPr>
                </pic:pic>
              </a:graphicData>
            </a:graphic>
          </wp:inline>
        </w:drawing>
      </w:r>
    </w:p>
    <w:p w14:paraId="59003F13" w14:textId="3C5A744C" w:rsidR="00C70DC4" w:rsidRDefault="00C70DC4" w:rsidP="00C70DC4">
      <w:r>
        <w:t xml:space="preserve">The Airport SMU comprises five reefcodes each of which have contributed substantially to the Airport SMU catch in the last six years (Table </w:t>
      </w:r>
      <w:r w:rsidR="00185074">
        <w:t>7</w:t>
      </w:r>
      <w:r>
        <w:t xml:space="preserve">). </w:t>
      </w:r>
      <w:bookmarkStart w:id="87" w:name="_Hlk149206920"/>
      <w:r>
        <w:t xml:space="preserve">Catches in </w:t>
      </w:r>
      <w:r w:rsidR="004131B0">
        <w:t>2023/24</w:t>
      </w:r>
      <w:r>
        <w:t xml:space="preserve"> were </w:t>
      </w:r>
      <w:r w:rsidR="00D02D29">
        <w:t xml:space="preserve">above </w:t>
      </w:r>
      <w:r>
        <w:t xml:space="preserve">the previous 5-year average at </w:t>
      </w:r>
      <w:r w:rsidR="00A67DCA">
        <w:t xml:space="preserve">Quarry Beach / Betka and </w:t>
      </w:r>
      <w:r w:rsidR="000C4999">
        <w:t xml:space="preserve">Little Rame Lee </w:t>
      </w:r>
      <w:r w:rsidR="00A67DCA">
        <w:t>reefcodes</w:t>
      </w:r>
      <w:r w:rsidR="00D02D29">
        <w:t xml:space="preserve"> </w:t>
      </w:r>
      <w:r w:rsidR="00A67DCA">
        <w:t xml:space="preserve">and well below the previous 5-year average at </w:t>
      </w:r>
      <w:r w:rsidR="000C4999">
        <w:t>all other reefcodes</w:t>
      </w:r>
      <w:r w:rsidR="00A67DCA">
        <w:t xml:space="preserve">. </w:t>
      </w:r>
      <w:r w:rsidR="00D02D29">
        <w:t>T</w:t>
      </w:r>
      <w:r>
        <w:t xml:space="preserve">he catch from </w:t>
      </w:r>
      <w:r w:rsidR="000C4999">
        <w:t xml:space="preserve">Quarry Beach / Betka and Little Rame Lee reefcodes was 30% and 29% above </w:t>
      </w:r>
      <w:r w:rsidR="00A67DCA">
        <w:t xml:space="preserve">the suggested OT, </w:t>
      </w:r>
      <w:r w:rsidR="000C4999">
        <w:t xml:space="preserve">respectively, </w:t>
      </w:r>
      <w:r w:rsidR="00A67DCA">
        <w:t xml:space="preserve">while the catch from </w:t>
      </w:r>
      <w:r w:rsidR="000C4999">
        <w:t>Gabo Harbour was 40% below the suggested OT</w:t>
      </w:r>
      <w:r w:rsidR="00A67DCA">
        <w:t xml:space="preserve">. </w:t>
      </w:r>
      <w:bookmarkEnd w:id="87"/>
    </w:p>
    <w:p w14:paraId="7980A37D" w14:textId="4FCC0AD4" w:rsidR="00C70DC4" w:rsidRDefault="00570ACF" w:rsidP="00C70DC4">
      <w:r>
        <w:t xml:space="preserve">FIS data were not collected during 2022. </w:t>
      </w:r>
      <w:r w:rsidR="002E3E94">
        <w:t xml:space="preserve">The trends from the “all sites” data series (grey dashed) are difficult to interpret because of changes in sites over time. </w:t>
      </w:r>
      <w:r w:rsidR="00C70DC4">
        <w:t xml:space="preserve">The </w:t>
      </w:r>
      <w:r w:rsidR="002E3E94">
        <w:t xml:space="preserve">standardised </w:t>
      </w:r>
      <w:r w:rsidR="00C70DC4">
        <w:t xml:space="preserve">abundance of recruit sized abalone </w:t>
      </w:r>
      <w:r w:rsidR="002E3E94">
        <w:t xml:space="preserve">at the two Airport SMU Top 15 sites declined substantially from 2003 to 2007 </w:t>
      </w:r>
      <w:r w:rsidR="00C70DC4">
        <w:t xml:space="preserve">(Figure </w:t>
      </w:r>
      <w:r w:rsidR="00F568E7">
        <w:t>1</w:t>
      </w:r>
      <w:r w:rsidR="008C2010">
        <w:t>1</w:t>
      </w:r>
      <w:r w:rsidR="00C70DC4">
        <w:t xml:space="preserve">). Standardised abundance </w:t>
      </w:r>
      <w:r w:rsidR="002E3E94">
        <w:t xml:space="preserve">generally increased from 2007 to 2020 but has declined thereafter and </w:t>
      </w:r>
      <w:r w:rsidR="000B20D2">
        <w:t xml:space="preserve">was </w:t>
      </w:r>
      <w:r w:rsidR="002E3E94">
        <w:t>at its lowest levels</w:t>
      </w:r>
      <w:r w:rsidR="000B20D2">
        <w:t xml:space="preserve"> in 2023</w:t>
      </w:r>
      <w:r w:rsidR="002E3E94">
        <w:t xml:space="preserve">. </w:t>
      </w:r>
    </w:p>
    <w:p w14:paraId="570CE400" w14:textId="49650519" w:rsidR="00C70DC4" w:rsidRDefault="005263C9" w:rsidP="00C70DC4">
      <w:r>
        <w:rPr>
          <w:noProof/>
        </w:rPr>
        <w:drawing>
          <wp:inline distT="0" distB="0" distL="0" distR="0" wp14:anchorId="438168DF" wp14:editId="72F61029">
            <wp:extent cx="5471160" cy="3312795"/>
            <wp:effectExtent l="0" t="0" r="0" b="1905"/>
            <wp:docPr id="45" name="Picture" descr="Figure 5: Recruit abundance (1992-2023) and catch (1992/93 – 2021/22) for the Airport SMU. Grey dashed series = nominal abundance across all FIS sites (+/-SE). Black series = nominal (dotted line) and standardised (solid line) abundance at the two sites located within the Airport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46" name="Picture" descr="@parent.Eastern_files/figure-docx/Recruits.fig5-54-1.png"/>
                    <pic:cNvPicPr>
                      <a:picLocks noChangeAspect="1" noChangeArrowheads="1"/>
                    </pic:cNvPicPr>
                  </pic:nvPicPr>
                  <pic:blipFill>
                    <a:blip r:embed="rId30"/>
                    <a:stretch>
                      <a:fillRect/>
                    </a:stretch>
                  </pic:blipFill>
                  <pic:spPr bwMode="auto">
                    <a:xfrm>
                      <a:off x="0" y="0"/>
                      <a:ext cx="5471649" cy="3313091"/>
                    </a:xfrm>
                    <a:prstGeom prst="rect">
                      <a:avLst/>
                    </a:prstGeom>
                    <a:noFill/>
                    <a:ln w="9525">
                      <a:noFill/>
                      <a:headEnd/>
                      <a:tailEnd/>
                    </a:ln>
                  </pic:spPr>
                </pic:pic>
              </a:graphicData>
            </a:graphic>
          </wp:inline>
        </w:drawing>
      </w:r>
    </w:p>
    <w:p w14:paraId="2493BBED" w14:textId="2283FC90" w:rsidR="00C70DC4" w:rsidRDefault="00C70DC4" w:rsidP="005C49F6">
      <w:pPr>
        <w:pStyle w:val="Caption"/>
      </w:pPr>
      <w:bookmarkStart w:id="88" w:name="_Toc182219812"/>
      <w:r>
        <w:t xml:space="preserve">Figure </w:t>
      </w:r>
      <w:r w:rsidR="00F568E7">
        <w:t>1</w:t>
      </w:r>
      <w:r w:rsidR="008C2010">
        <w:t>1</w:t>
      </w:r>
      <w:r>
        <w:t xml:space="preserve">: Recruit abundance </w:t>
      </w:r>
      <w:r w:rsidR="00EC3F82">
        <w:t xml:space="preserve">and </w:t>
      </w:r>
      <w:r>
        <w:t xml:space="preserve">catch from 1992/93 – </w:t>
      </w:r>
      <w:r w:rsidR="00CA27CF">
        <w:t>2022/23</w:t>
      </w:r>
      <w:r>
        <w:t xml:space="preserve"> for the Airport SMU. </w:t>
      </w:r>
      <w:r w:rsidR="005263C9" w:rsidRPr="005263C9">
        <w:t>Grey dashed series = nominal abundance across all FIS sites (+/-SE). Black series = nominal (dotted line) and standardised (solid line</w:t>
      </w:r>
      <w:r w:rsidR="00EC3F82">
        <w:t xml:space="preserve"> and dot point in 2023</w:t>
      </w:r>
      <w:r w:rsidR="005263C9" w:rsidRPr="005263C9">
        <w:t xml:space="preserve">) abundance at the two </w:t>
      </w:r>
      <w:r w:rsidR="00EC3F82">
        <w:t xml:space="preserve">Top 15 </w:t>
      </w:r>
      <w:r w:rsidR="005263C9" w:rsidRPr="005263C9">
        <w:t>sites located within the Airport SMU</w:t>
      </w:r>
      <w:r w:rsidR="00987E69">
        <w:t>.</w:t>
      </w:r>
      <w:bookmarkEnd w:id="88"/>
    </w:p>
    <w:p w14:paraId="529D4A77" w14:textId="06409576" w:rsidR="00C70DC4" w:rsidRDefault="002E3E94" w:rsidP="00C70DC4">
      <w:r>
        <w:t>Standardised p</w:t>
      </w:r>
      <w:r w:rsidR="00C70DC4">
        <w:t xml:space="preserve">re-recruit abundance </w:t>
      </w:r>
      <w:r>
        <w:t>at the two Top 15 sites declined from 2003 to 2021 before increasing slightly in 2023 to the levels observed in 2011 and 2013</w:t>
      </w:r>
      <w:r w:rsidR="00C70DC4">
        <w:t xml:space="preserve"> (Figure </w:t>
      </w:r>
      <w:r w:rsidR="00F568E7">
        <w:t>1</w:t>
      </w:r>
      <w:r w:rsidR="008C2010">
        <w:t>2</w:t>
      </w:r>
      <w:r w:rsidR="00C70DC4">
        <w:t xml:space="preserve">). </w:t>
      </w:r>
      <w:bookmarkStart w:id="89" w:name="_Hlk83966856"/>
    </w:p>
    <w:bookmarkEnd w:id="89"/>
    <w:p w14:paraId="773E8920" w14:textId="77777777" w:rsidR="00C70DC4" w:rsidRDefault="00C70DC4" w:rsidP="00C70DC4"/>
    <w:p w14:paraId="351F7EEC" w14:textId="2041EF90" w:rsidR="00C70DC4" w:rsidRDefault="00EC3F82" w:rsidP="00C70DC4">
      <w:r>
        <w:rPr>
          <w:noProof/>
        </w:rPr>
        <w:drawing>
          <wp:inline distT="0" distB="0" distL="0" distR="0" wp14:anchorId="1C90207C" wp14:editId="603AFF39">
            <wp:extent cx="5727700" cy="3579812"/>
            <wp:effectExtent l="0" t="0" r="0" b="0"/>
            <wp:docPr id="354240687" name="Picture 354240687" descr="Figure 6: Pre-recruit abundance (1992-2023) and catch (1992/93 – 2021/22) for the Airport SMU. Grey dashed series = nominal abundance across all FIS sites (+/-SE). Black series = nominal (dotted line, open datapoint in 2022; +/- SE) and standardised (solid line, solid datapoint in 2022) abundance at the two sites located within the Airport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49" name="Picture" descr="@parent.Eastern_files/figure-docx/PreRecruits.fig6-56-1.png"/>
                    <pic:cNvPicPr>
                      <a:picLocks noChangeAspect="1" noChangeArrowheads="1"/>
                    </pic:cNvPicPr>
                  </pic:nvPicPr>
                  <pic:blipFill>
                    <a:blip r:embed="rId31"/>
                    <a:stretch>
                      <a:fillRect/>
                    </a:stretch>
                  </pic:blipFill>
                  <pic:spPr bwMode="auto">
                    <a:xfrm>
                      <a:off x="0" y="0"/>
                      <a:ext cx="5727700" cy="3579812"/>
                    </a:xfrm>
                    <a:prstGeom prst="rect">
                      <a:avLst/>
                    </a:prstGeom>
                    <a:noFill/>
                    <a:ln w="9525">
                      <a:noFill/>
                      <a:headEnd/>
                      <a:tailEnd/>
                    </a:ln>
                  </pic:spPr>
                </pic:pic>
              </a:graphicData>
            </a:graphic>
          </wp:inline>
        </w:drawing>
      </w:r>
    </w:p>
    <w:p w14:paraId="1454E599" w14:textId="1D1A8F71" w:rsidR="00C70DC4" w:rsidRDefault="00C70DC4" w:rsidP="005C49F6">
      <w:pPr>
        <w:pStyle w:val="Caption"/>
      </w:pPr>
      <w:bookmarkStart w:id="90" w:name="_Toc182219813"/>
      <w:r>
        <w:t xml:space="preserve">Figure </w:t>
      </w:r>
      <w:r w:rsidR="00F568E7">
        <w:t>1</w:t>
      </w:r>
      <w:r w:rsidR="008C2010">
        <w:t>2</w:t>
      </w:r>
      <w:r>
        <w:t xml:space="preserve">: Pre-recruit abundance </w:t>
      </w:r>
      <w:r w:rsidR="00EC3F82">
        <w:t xml:space="preserve">and </w:t>
      </w:r>
      <w:r>
        <w:t xml:space="preserve">catch from 1992/93 – </w:t>
      </w:r>
      <w:r w:rsidR="00CA27CF">
        <w:t>2022/23</w:t>
      </w:r>
      <w:r>
        <w:t xml:space="preserve"> for the Airport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two </w:t>
      </w:r>
      <w:r w:rsidR="00EC3F82">
        <w:t xml:space="preserve">Top 15 </w:t>
      </w:r>
      <w:r w:rsidR="00EC3F82" w:rsidRPr="005263C9">
        <w:t>sites located within the Airport SMU</w:t>
      </w:r>
      <w:r w:rsidR="00EC3F82">
        <w:t>.</w:t>
      </w:r>
      <w:bookmarkEnd w:id="90"/>
    </w:p>
    <w:p w14:paraId="5EB8354B" w14:textId="5ABB9FE8" w:rsidR="00B54500" w:rsidRPr="00B54500" w:rsidRDefault="00C20351" w:rsidP="00C70DC4">
      <w:pPr>
        <w:rPr>
          <w:i/>
          <w:iCs/>
        </w:rPr>
      </w:pPr>
      <w:r w:rsidRPr="00C20351">
        <w:rPr>
          <w:i/>
          <w:iCs/>
        </w:rPr>
        <w:t>FIS length frequency data</w:t>
      </w:r>
    </w:p>
    <w:p w14:paraId="3AB0720D" w14:textId="13023A40" w:rsidR="00B54500" w:rsidRDefault="00B54500" w:rsidP="00C70DC4">
      <w:r>
        <w:t>As described in 2.1.3, length-frequency data gathered during FIS from collections at the end of each transect are biased toward the collection of larger abalone relative to the data gathered on transects within pre-recruit and recruit categories. Length frequency distributions and associated statistics are provided in Appendix 4 for (a) all sites and (b) Top 15 sites. The following summary (and for all other SMUs) is based on the “all data” time series.</w:t>
      </w:r>
    </w:p>
    <w:p w14:paraId="17F8EB76" w14:textId="03BD3285" w:rsidR="00C70DC4" w:rsidRDefault="00C70DC4" w:rsidP="00C70DC4">
      <w:r>
        <w:t xml:space="preserve">As FIS abundance has declined at the Airport SMU, the size structure of the surveyed population remained relatively stable. Modal size was 105-109 or 110-114 in most years, although this more variable as FIS abundance declined. Mean size ranged from 104 to 110 mm without clear trends. The percentage of abalone above the </w:t>
      </w:r>
      <w:r w:rsidR="00D03973">
        <w:t>LML</w:t>
      </w:r>
      <w:r>
        <w:t xml:space="preserve"> (LML) of 120 mm has ranged from 14% to 28%. This is a low proportion of the population above the 120 mm LML compared to other SMUs however it must be noted that some areas of the Airport are fished at 110 mm LML (but here we have analysed the statistics against the more conservative size limit for comparison with other SMUs).</w:t>
      </w:r>
    </w:p>
    <w:p w14:paraId="7DFA2CA4" w14:textId="77777777" w:rsidR="00C20351" w:rsidRDefault="00C20351" w:rsidP="00C70DC4">
      <w:r>
        <w:rPr>
          <w:i/>
          <w:iCs/>
        </w:rPr>
        <w:t>Commercial</w:t>
      </w:r>
      <w:r w:rsidRPr="00C20351">
        <w:rPr>
          <w:i/>
          <w:iCs/>
        </w:rPr>
        <w:t xml:space="preserve"> length frequency data</w:t>
      </w:r>
      <w:r>
        <w:t xml:space="preserve"> </w:t>
      </w:r>
    </w:p>
    <w:p w14:paraId="0681777C" w14:textId="0C47D7DC" w:rsidR="00B54500" w:rsidRDefault="00B54500" w:rsidP="00C70DC4">
      <w:r>
        <w:t>Commercial length frequency distributions are provided in Appendix 5.</w:t>
      </w:r>
    </w:p>
    <w:p w14:paraId="40E0DF2F" w14:textId="19A673D9" w:rsidR="00C20351" w:rsidRDefault="00C20351" w:rsidP="00C70DC4">
      <w:r>
        <w:t>The size structure of the commercial catch at the Airport SMU has also remained relatively stable since 2010/11. Mean size has been relatively consistent, ranging from 121 – 124 mm. The modal size was 120-124 mm in all years except 2010/11 and 2018/19 where the modal size was 115-119 mm. The interpretation of these data is complicated by a mixture of size limits applicable in this SMU (110 and 120 mm). Samples sizes were above 1000 shells measured in all years except 2015/16 (251 measured). There were no data available from 2019/20.</w:t>
      </w:r>
    </w:p>
    <w:p w14:paraId="3F499EDB" w14:textId="77777777" w:rsidR="00C70DC4" w:rsidRDefault="00C70DC4" w:rsidP="00C70DC4">
      <w:r>
        <w:rPr>
          <w:i/>
          <w:iCs/>
        </w:rPr>
        <w:t>Summary</w:t>
      </w:r>
    </w:p>
    <w:p w14:paraId="0660027E" w14:textId="76B8FDD4" w:rsidR="00C70DC4" w:rsidRDefault="00C70DC4" w:rsidP="00C70DC4">
      <w:r>
        <w:t xml:space="preserve">The Airport SMU has maintained high catches </w:t>
      </w:r>
      <w:r w:rsidR="00310DF6">
        <w:t xml:space="preserve">since 1984 </w:t>
      </w:r>
      <w:r>
        <w:t xml:space="preserve">and remains the highest producing SMU in the Eastern Zone. The </w:t>
      </w:r>
      <w:r w:rsidR="004131B0">
        <w:t>2023/24</w:t>
      </w:r>
      <w:r>
        <w:t xml:space="preserve"> catch </w:t>
      </w:r>
      <w:r w:rsidR="00C63108">
        <w:t>(</w:t>
      </w:r>
      <w:r w:rsidR="004E760F">
        <w:t>9</w:t>
      </w:r>
      <w:r w:rsidR="000F7450">
        <w:t>7.3</w:t>
      </w:r>
      <w:r w:rsidR="00C63108">
        <w:t xml:space="preserve"> t) </w:t>
      </w:r>
      <w:r w:rsidR="000F7450">
        <w:t xml:space="preserve">was above </w:t>
      </w:r>
      <w:r w:rsidR="004E760F">
        <w:t>the historic average</w:t>
      </w:r>
      <w:r w:rsidR="00310DF6">
        <w:t xml:space="preserve"> (93 t)</w:t>
      </w:r>
      <w:r w:rsidR="0023203A">
        <w:t xml:space="preserve">. </w:t>
      </w:r>
      <w:r w:rsidR="004E760F">
        <w:t xml:space="preserve">The catch was </w:t>
      </w:r>
      <w:r w:rsidR="000F7450">
        <w:t xml:space="preserve">14.5% </w:t>
      </w:r>
      <w:r w:rsidR="004E760F">
        <w:t>above the OT.</w:t>
      </w:r>
      <w:r w:rsidR="00A74278">
        <w:t xml:space="preserve"> </w:t>
      </w:r>
      <w:r w:rsidR="000F7450">
        <w:t>Catches in 2023/24 were above the previous 5-year average at Quarry Beach / Betka and Little Rame Lee reefcodes and well below the previous 5-year average at all other reefcodes. The catch from Quarry Beach / Betka and Little Rame Lee reefcodes was 30% and 29% above the suggested OT, respectively, while the catch from Gabo Harbour was 40% below the suggested OT.</w:t>
      </w:r>
      <w:r w:rsidR="000208CE">
        <w:t xml:space="preserve"> </w:t>
      </w:r>
      <w:r w:rsidR="00310DF6">
        <w:t xml:space="preserve">Mean daily catch </w:t>
      </w:r>
      <w:r w:rsidR="000F7450">
        <w:t xml:space="preserve">has increased </w:t>
      </w:r>
      <w:r w:rsidR="00310DF6">
        <w:t xml:space="preserve">in the last three years </w:t>
      </w:r>
      <w:r w:rsidR="000F7450">
        <w:t>after the low in 2020. Standardised CPUE has slightly increased in the last three years as well. The OT was reduced for 202</w:t>
      </w:r>
      <w:r w:rsidR="00EB0A43">
        <w:t>4</w:t>
      </w:r>
      <w:r w:rsidR="000F7450">
        <w:t>/2</w:t>
      </w:r>
      <w:r w:rsidR="00EB0A43">
        <w:t>5</w:t>
      </w:r>
      <w:r w:rsidR="000F7450">
        <w:t xml:space="preserve"> from 85 to 80 t.</w:t>
      </w:r>
    </w:p>
    <w:p w14:paraId="2C4C4177" w14:textId="0A9B529E" w:rsidR="00C70DC4" w:rsidRDefault="00C70DC4" w:rsidP="00C70DC4">
      <w:r>
        <w:t xml:space="preserve">Recruit abundance from </w:t>
      </w:r>
      <w:r w:rsidR="00310DF6">
        <w:t xml:space="preserve">all sites </w:t>
      </w:r>
      <w:r>
        <w:t xml:space="preserve">peaked in the early 2000s, while pre-recruit abundance was high in the early 1990s and has declined over time. While both measures are currently low relative to historic levels, both measures </w:t>
      </w:r>
      <w:r w:rsidR="00794B31">
        <w:t xml:space="preserve">were </w:t>
      </w:r>
      <w:r>
        <w:t xml:space="preserve">relatively stable </w:t>
      </w:r>
      <w:r w:rsidR="00794B31">
        <w:t xml:space="preserve">between </w:t>
      </w:r>
      <w:r>
        <w:t>2011</w:t>
      </w:r>
      <w:r w:rsidR="00794B31">
        <w:t xml:space="preserve"> and 2021</w:t>
      </w:r>
      <w:r>
        <w:t>. Size frequency data from FIS and commercial catch sampling indicate stability in the size structure of the population.</w:t>
      </w:r>
    </w:p>
    <w:p w14:paraId="1264EA3F" w14:textId="2BA7BD96" w:rsidR="00C70DC4" w:rsidRDefault="00C70DC4" w:rsidP="00C70DC4">
      <w:bookmarkStart w:id="91" w:name="_Hlk83220503"/>
      <w:r>
        <w:t xml:space="preserve">Harvest Strategy outcomes </w:t>
      </w:r>
      <w:r w:rsidR="00AF591B">
        <w:t>in 202</w:t>
      </w:r>
      <w:r w:rsidR="00A6355A">
        <w:t>3</w:t>
      </w:r>
      <w:r w:rsidR="00AF591B">
        <w:t xml:space="preserve"> we</w:t>
      </w:r>
      <w:r>
        <w:t xml:space="preserve">re driven </w:t>
      </w:r>
      <w:r w:rsidR="00A6355A">
        <w:t xml:space="preserve">only </w:t>
      </w:r>
      <w:r>
        <w:t xml:space="preserve">by trends in the last four years of commercial CPUE. For the Airport SMU, mean CPUE was above the Target level in the Draft Harvest Strategy and has been above the Threshold level for </w:t>
      </w:r>
      <w:r w:rsidR="000F7450">
        <w:t>30</w:t>
      </w:r>
      <w:r>
        <w:t xml:space="preserve"> consecutive years (</w:t>
      </w:r>
      <w:r w:rsidR="00310DF6">
        <w:t>Table 4</w:t>
      </w:r>
      <w:r>
        <w:t xml:space="preserve">). The Primary Indicator (4-year gradient) was Stable and the Secondary Indicator (ratio between years) was </w:t>
      </w:r>
      <w:r w:rsidR="00AD3413">
        <w:t>Stable</w:t>
      </w:r>
      <w:r>
        <w:t xml:space="preserve">, which gave a </w:t>
      </w:r>
      <w:r w:rsidR="00AD3413">
        <w:t xml:space="preserve">Stable </w:t>
      </w:r>
      <w:r>
        <w:t>Primary Category</w:t>
      </w:r>
      <w:r w:rsidR="00464D44">
        <w:t xml:space="preserve"> (Table 5)</w:t>
      </w:r>
      <w:r>
        <w:t xml:space="preserve">.  The Tertiary Indicator was </w:t>
      </w:r>
      <w:r w:rsidR="00AD3413">
        <w:t>not available</w:t>
      </w:r>
      <w:r>
        <w:t xml:space="preserve">, resulting in a </w:t>
      </w:r>
      <w:r w:rsidR="00AD3413">
        <w:t xml:space="preserve">Stable </w:t>
      </w:r>
      <w:r>
        <w:t xml:space="preserve">Final Category for the Airport SMU. The OT for </w:t>
      </w:r>
      <w:r w:rsidR="00CA27CF">
        <w:t>202</w:t>
      </w:r>
      <w:r w:rsidR="008E3D5F">
        <w:t>3</w:t>
      </w:r>
      <w:r w:rsidR="00CA27CF">
        <w:t>/2</w:t>
      </w:r>
      <w:r w:rsidR="008E3D5F">
        <w:t>4</w:t>
      </w:r>
      <w:r>
        <w:t xml:space="preserve"> was 8</w:t>
      </w:r>
      <w:r w:rsidR="000F7450">
        <w:t>0</w:t>
      </w:r>
      <w:r>
        <w:t xml:space="preserve"> t, and the results of the Harvest Strategy suggested an OT ranging from </w:t>
      </w:r>
      <w:r w:rsidR="000F7450">
        <w:t>76 to 84</w:t>
      </w:r>
      <w:r>
        <w:t xml:space="preserve"> t.</w:t>
      </w:r>
    </w:p>
    <w:p w14:paraId="42E8F60E" w14:textId="57AB7215" w:rsidR="00062AFC" w:rsidRDefault="003934F2" w:rsidP="00C70DC4">
      <w:pPr>
        <w:rPr>
          <w:b/>
          <w:bCs/>
        </w:rPr>
      </w:pPr>
      <w:bookmarkStart w:id="92" w:name="_Hlk118328571"/>
      <w:bookmarkStart w:id="93" w:name="_Hlk150353558"/>
      <w:r>
        <w:rPr>
          <w:b/>
          <w:bCs/>
        </w:rPr>
        <w:t xml:space="preserve">Catches in recent years remain high in an historic context, which differs to all other parts of the fishery that have shown declines in biomass and catch. Despite these relatively high catches, CPUE </w:t>
      </w:r>
      <w:r w:rsidR="00516521">
        <w:rPr>
          <w:b/>
          <w:bCs/>
        </w:rPr>
        <w:t xml:space="preserve">has </w:t>
      </w:r>
      <w:r>
        <w:rPr>
          <w:b/>
          <w:bCs/>
        </w:rPr>
        <w:t xml:space="preserve">increased in recent years. Notably, the OT was reduced from 85 to 80 t for the 2023/24 season. </w:t>
      </w:r>
      <w:r w:rsidR="00356AA2">
        <w:rPr>
          <w:b/>
          <w:bCs/>
        </w:rPr>
        <w:t>While t</w:t>
      </w:r>
      <w:r>
        <w:rPr>
          <w:b/>
          <w:bCs/>
        </w:rPr>
        <w:t xml:space="preserve">here is no </w:t>
      </w:r>
      <w:r w:rsidR="00356AA2">
        <w:rPr>
          <w:b/>
          <w:bCs/>
        </w:rPr>
        <w:t xml:space="preserve">direct </w:t>
      </w:r>
      <w:r>
        <w:rPr>
          <w:b/>
          <w:bCs/>
        </w:rPr>
        <w:t xml:space="preserve">evidence from the data that further reductions are required, diver observations will be critical in determining the OT for the Airport SMU. </w:t>
      </w:r>
      <w:bookmarkEnd w:id="92"/>
      <w:bookmarkEnd w:id="93"/>
    </w:p>
    <w:p w14:paraId="778D055A" w14:textId="77777777" w:rsidR="00062AFC" w:rsidRDefault="00062AFC" w:rsidP="00A77A9D">
      <w:pPr>
        <w:pStyle w:val="Heading3"/>
      </w:pPr>
      <w:bookmarkStart w:id="94" w:name="_Toc182219913"/>
      <w:r>
        <w:t>Mallacoota Central (Large SMU)</w:t>
      </w:r>
      <w:bookmarkEnd w:id="94"/>
    </w:p>
    <w:p w14:paraId="78135503" w14:textId="5D55BC75" w:rsidR="00062AFC" w:rsidRDefault="00062AFC" w:rsidP="00062AFC">
      <w:bookmarkStart w:id="95" w:name="_Hlk82437852"/>
      <w:r>
        <w:t xml:space="preserve">The Mallacoota Central SMU was the second highest SMU in terms of total catch with 54.3 t harvested in 2023/24 representing 19.1% of the TACC (Table 3) and 19.1% of the zone catch (Table </w:t>
      </w:r>
      <w:r w:rsidR="001B2FF0">
        <w:t>8</w:t>
      </w:r>
      <w:r>
        <w:t xml:space="preserve">). The 2023/24 catch was 17% above the Optimum Target of 46.4 t. </w:t>
      </w:r>
      <w:r w:rsidR="00070B7D">
        <w:t xml:space="preserve">Standardised </w:t>
      </w:r>
      <w:r>
        <w:t xml:space="preserve">CPUE in 2023/24 was 3% higher than in 2003/04 and </w:t>
      </w:r>
      <w:r w:rsidR="00070B7D">
        <w:t>10</w:t>
      </w:r>
      <w:r>
        <w:t xml:space="preserve">% lower than 2009/10. </w:t>
      </w:r>
    </w:p>
    <w:p w14:paraId="18B15618" w14:textId="25D39E17" w:rsidR="00062AFC" w:rsidRDefault="00062AFC" w:rsidP="00062AFC">
      <w:pPr>
        <w:pStyle w:val="TableCaption"/>
      </w:pPr>
      <w:bookmarkStart w:id="96" w:name="_Toc182219868"/>
      <w:r>
        <w:t xml:space="preserve">Table </w:t>
      </w:r>
      <w:r w:rsidR="001B2FF0">
        <w:t>8</w:t>
      </w:r>
      <w:r>
        <w:t xml:space="preserve">: Summary of Catch, Optimum Targets and </w:t>
      </w:r>
      <w:bookmarkEnd w:id="95"/>
      <w:r>
        <w:t>Performance Indicators for the Mallacoota Central SMU.</w:t>
      </w:r>
      <w:bookmarkEnd w:id="96"/>
      <w:r>
        <w:t xml:space="preserve"> </w:t>
      </w:r>
    </w:p>
    <w:tbl>
      <w:tblPr>
        <w:tblW w:w="9239" w:type="dxa"/>
        <w:jc w:val="center"/>
        <w:tblLayout w:type="fixed"/>
        <w:tblLook w:val="0420" w:firstRow="1" w:lastRow="0" w:firstColumn="0" w:lastColumn="0" w:noHBand="0" w:noVBand="1"/>
      </w:tblPr>
      <w:tblGrid>
        <w:gridCol w:w="702"/>
        <w:gridCol w:w="681"/>
        <w:gridCol w:w="709"/>
        <w:gridCol w:w="850"/>
        <w:gridCol w:w="851"/>
        <w:gridCol w:w="742"/>
        <w:gridCol w:w="845"/>
        <w:gridCol w:w="984"/>
        <w:gridCol w:w="844"/>
        <w:gridCol w:w="984"/>
        <w:gridCol w:w="1047"/>
      </w:tblGrid>
      <w:tr w:rsidR="00062AFC" w14:paraId="7B44CDFC" w14:textId="77777777" w:rsidTr="00E9281F">
        <w:trPr>
          <w:cantSplit/>
          <w:tblHeader/>
          <w:jc w:val="center"/>
        </w:trPr>
        <w:tc>
          <w:tcPr>
            <w:tcW w:w="379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408FE3" w14:textId="77777777" w:rsidR="00062AFC" w:rsidRDefault="00062AFC" w:rsidP="00E9281F">
            <w:pPr>
              <w:spacing w:before="100" w:after="100"/>
              <w:ind w:left="100" w:right="100"/>
              <w:jc w:val="center"/>
            </w:pPr>
            <w:bookmarkStart w:id="97" w:name="_Hlk118783577"/>
            <w:r>
              <w:rPr>
                <w:rFonts w:ascii="Helvetica" w:eastAsia="Helvetica" w:hAnsi="Helvetica" w:cs="Helvetica"/>
                <w:color w:val="000000"/>
                <w:sz w:val="18"/>
                <w:szCs w:val="18"/>
              </w:rPr>
              <w:t>Catch</w:t>
            </w:r>
          </w:p>
        </w:tc>
        <w:tc>
          <w:tcPr>
            <w:tcW w:w="2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DCE802" w14:textId="77777777" w:rsidR="00062AFC" w:rsidRDefault="00062AFC" w:rsidP="00E9281F">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t>CPUE 2003/04 – 2023/24</w:t>
            </w:r>
            <w:r>
              <w:rPr>
                <w:rFonts w:ascii="Helvetica" w:eastAsia="Helvetica" w:hAnsi="Helvetica" w:cs="Helvetica"/>
                <w:color w:val="000000"/>
                <w:sz w:val="18"/>
                <w:szCs w:val="18"/>
              </w:rPr>
              <w:br/>
              <w:t>Abundance 2003-2023</w:t>
            </w:r>
          </w:p>
        </w:tc>
        <w:tc>
          <w:tcPr>
            <w:tcW w:w="28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BD67D3" w14:textId="77777777" w:rsidR="00062AFC" w:rsidRDefault="00062AFC" w:rsidP="00E9281F">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CPUE 2009/10 – 2023/24</w:t>
            </w:r>
            <w:r>
              <w:rPr>
                <w:rFonts w:ascii="Helvetica" w:eastAsia="Helvetica" w:hAnsi="Helvetica" w:cs="Helvetica"/>
                <w:color w:val="000000"/>
                <w:sz w:val="18"/>
                <w:szCs w:val="18"/>
              </w:rPr>
              <w:br/>
              <w:t>Abundance 2009-2023</w:t>
            </w:r>
          </w:p>
        </w:tc>
      </w:tr>
      <w:tr w:rsidR="00062AFC" w14:paraId="5063A9AE" w14:textId="77777777" w:rsidTr="00E9281F">
        <w:trPr>
          <w:cantSplit/>
          <w:trHeight w:val="219"/>
          <w:tblHeader/>
          <w:jc w:val="center"/>
        </w:trPr>
        <w:tc>
          <w:tcPr>
            <w:tcW w:w="138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99F2F91" w14:textId="77777777" w:rsidR="00062AFC" w:rsidRDefault="00062AFC" w:rsidP="00E9281F">
            <w:pPr>
              <w:spacing w:before="100" w:after="100"/>
              <w:ind w:left="100" w:right="100"/>
              <w:jc w:val="center"/>
            </w:pPr>
            <w:r>
              <w:rPr>
                <w:rFonts w:ascii="Helvetica" w:eastAsia="Helvetica" w:hAnsi="Helvetica" w:cs="Helvetica"/>
                <w:color w:val="000000"/>
                <w:sz w:val="18"/>
                <w:szCs w:val="18"/>
              </w:rPr>
              <w:t xml:space="preserve">2023/24 </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F07A43" w14:textId="71F5C483" w:rsidR="00062AFC" w:rsidRDefault="00062AFC" w:rsidP="00E9281F">
            <w:pPr>
              <w:spacing w:before="100" w:after="100"/>
              <w:ind w:left="100" w:right="100"/>
              <w:jc w:val="center"/>
            </w:pPr>
            <w:r>
              <w:rPr>
                <w:rFonts w:ascii="Helvetica" w:eastAsia="Helvetica" w:hAnsi="Helvetica" w:cs="Helvetica"/>
                <w:color w:val="000000"/>
                <w:sz w:val="18"/>
                <w:szCs w:val="18"/>
              </w:rPr>
              <w:t>OT (t)</w:t>
            </w:r>
          </w:p>
        </w:tc>
        <w:tc>
          <w:tcPr>
            <w:tcW w:w="74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68F12BD" w14:textId="77777777" w:rsidR="00062AFC" w:rsidRDefault="00062AFC" w:rsidP="00E9281F">
            <w:pPr>
              <w:spacing w:before="100" w:after="100"/>
              <w:ind w:left="100" w:right="100"/>
              <w:jc w:val="center"/>
            </w:pPr>
            <w:r>
              <w:rPr>
                <w:rFonts w:ascii="Helvetica" w:eastAsia="Helvetica" w:hAnsi="Helvetica" w:cs="Helvetica"/>
                <w:color w:val="000000"/>
                <w:sz w:val="18"/>
                <w:szCs w:val="18"/>
              </w:rPr>
              <w:t>CPUE</w:t>
            </w:r>
          </w:p>
        </w:tc>
        <w:tc>
          <w:tcPr>
            <w:tcW w:w="845"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9CEB18D" w14:textId="77777777" w:rsidR="00062AFC" w:rsidRDefault="00062AFC" w:rsidP="00E9281F">
            <w:pPr>
              <w:spacing w:before="100" w:after="100"/>
              <w:ind w:left="100" w:right="100"/>
              <w:jc w:val="center"/>
            </w:pPr>
            <w:r>
              <w:rPr>
                <w:rFonts w:ascii="Helvetica" w:eastAsia="Helvetica" w:hAnsi="Helvetica" w:cs="Helvetica"/>
                <w:color w:val="000000"/>
                <w:sz w:val="18"/>
                <w:szCs w:val="18"/>
              </w:rPr>
              <w:t>Pre-recruits</w:t>
            </w:r>
          </w:p>
        </w:tc>
        <w:tc>
          <w:tcPr>
            <w:tcW w:w="984"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97E66B6" w14:textId="77777777" w:rsidR="00062AFC" w:rsidRDefault="00062AFC" w:rsidP="00E9281F">
            <w:pPr>
              <w:spacing w:before="100" w:after="100"/>
              <w:ind w:left="100" w:right="100"/>
              <w:jc w:val="center"/>
            </w:pPr>
            <w:r>
              <w:rPr>
                <w:rFonts w:ascii="Helvetica" w:eastAsia="Helvetica" w:hAnsi="Helvetica" w:cs="Helvetica"/>
                <w:color w:val="000000"/>
                <w:sz w:val="18"/>
                <w:szCs w:val="18"/>
              </w:rPr>
              <w:t>Recruits</w:t>
            </w:r>
          </w:p>
        </w:tc>
        <w:tc>
          <w:tcPr>
            <w:tcW w:w="844"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1370A97" w14:textId="77777777" w:rsidR="00062AFC" w:rsidRDefault="00062AFC" w:rsidP="00E9281F">
            <w:pPr>
              <w:spacing w:before="100" w:after="100"/>
              <w:ind w:left="100" w:right="100"/>
              <w:jc w:val="center"/>
            </w:pPr>
            <w:r>
              <w:rPr>
                <w:rFonts w:ascii="Helvetica" w:eastAsia="Helvetica" w:hAnsi="Helvetica" w:cs="Helvetica"/>
                <w:color w:val="000000"/>
                <w:sz w:val="18"/>
                <w:szCs w:val="18"/>
              </w:rPr>
              <w:t>CPUE</w:t>
            </w:r>
          </w:p>
        </w:tc>
        <w:tc>
          <w:tcPr>
            <w:tcW w:w="984"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79E1EB8" w14:textId="77777777" w:rsidR="00062AFC" w:rsidRDefault="00062AFC" w:rsidP="00E9281F">
            <w:pPr>
              <w:spacing w:before="100" w:after="100"/>
              <w:ind w:left="100" w:right="100"/>
              <w:jc w:val="center"/>
            </w:pPr>
            <w:r>
              <w:rPr>
                <w:rFonts w:ascii="Helvetica" w:eastAsia="Helvetica" w:hAnsi="Helvetica" w:cs="Helvetica"/>
                <w:color w:val="000000"/>
                <w:sz w:val="18"/>
                <w:szCs w:val="18"/>
              </w:rPr>
              <w:t>Pre-recruits</w:t>
            </w:r>
          </w:p>
        </w:tc>
        <w:tc>
          <w:tcPr>
            <w:tcW w:w="104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80D46D9" w14:textId="77777777" w:rsidR="00062AFC" w:rsidRDefault="00062AFC" w:rsidP="00E9281F">
            <w:pPr>
              <w:spacing w:before="100" w:after="100"/>
              <w:ind w:left="100" w:right="100"/>
              <w:jc w:val="center"/>
            </w:pPr>
            <w:r>
              <w:rPr>
                <w:rFonts w:ascii="Helvetica" w:eastAsia="Helvetica" w:hAnsi="Helvetica" w:cs="Helvetica"/>
                <w:color w:val="000000"/>
                <w:sz w:val="18"/>
                <w:szCs w:val="18"/>
              </w:rPr>
              <w:t>Recruits</w:t>
            </w:r>
          </w:p>
        </w:tc>
      </w:tr>
      <w:tr w:rsidR="00062AFC" w14:paraId="262D5368" w14:textId="77777777" w:rsidTr="00E9281F">
        <w:trPr>
          <w:cantSplit/>
          <w:trHeight w:val="218"/>
          <w:tblHeader/>
          <w:jc w:val="center"/>
        </w:trPr>
        <w:tc>
          <w:tcPr>
            <w:tcW w:w="70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71508E" w14:textId="77777777" w:rsidR="00062AFC" w:rsidRDefault="00062AFC" w:rsidP="00E9281F">
            <w:pPr>
              <w:spacing w:before="100" w:after="100"/>
              <w:ind w:left="100" w:right="100"/>
              <w:jc w:val="center"/>
              <w:rPr>
                <w:rFonts w:ascii="Helvetica" w:eastAsia="Helvetica" w:hAnsi="Helvetica" w:cs="Helvetica"/>
                <w:color w:val="000000"/>
                <w:sz w:val="18"/>
                <w:szCs w:val="18"/>
              </w:rPr>
            </w:pPr>
            <w:r w:rsidRPr="00F51238">
              <w:rPr>
                <w:rFonts w:ascii="Helvetica" w:eastAsia="Helvetica" w:hAnsi="Helvetica" w:cs="Helvetica"/>
                <w:color w:val="000000"/>
                <w:sz w:val="18"/>
                <w:szCs w:val="18"/>
              </w:rPr>
              <w:t>(t)</w:t>
            </w:r>
          </w:p>
        </w:tc>
        <w:tc>
          <w:tcPr>
            <w:tcW w:w="6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82C10FC" w14:textId="77777777" w:rsidR="00062AFC" w:rsidRDefault="00062AFC"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944C45" w14:textId="77777777" w:rsidR="00062AFC" w:rsidRPr="00F00EF3" w:rsidRDefault="00062AFC" w:rsidP="00E9281F">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D3EB9CC" w14:textId="77777777" w:rsidR="00062AFC" w:rsidRPr="00F00EF3" w:rsidRDefault="00062AFC" w:rsidP="00E9281F">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A6AB2EE" w14:textId="77777777" w:rsidR="00062AFC" w:rsidRPr="00F00EF3" w:rsidRDefault="00062AFC" w:rsidP="00E9281F">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5</w:t>
            </w:r>
          </w:p>
        </w:tc>
        <w:tc>
          <w:tcPr>
            <w:tcW w:w="74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5F3CE8" w14:textId="77777777" w:rsidR="00062AFC" w:rsidRDefault="00062AFC" w:rsidP="00E9281F">
            <w:pPr>
              <w:spacing w:before="100" w:after="100"/>
              <w:ind w:left="100" w:right="100"/>
              <w:jc w:val="center"/>
              <w:rPr>
                <w:rFonts w:ascii="Helvetica" w:eastAsia="Helvetica" w:hAnsi="Helvetica" w:cs="Helvetica"/>
                <w:color w:val="000000"/>
                <w:sz w:val="18"/>
                <w:szCs w:val="18"/>
              </w:rPr>
            </w:pPr>
          </w:p>
        </w:tc>
        <w:tc>
          <w:tcPr>
            <w:tcW w:w="845"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B0986D" w14:textId="77777777" w:rsidR="00062AFC" w:rsidRDefault="00062AFC" w:rsidP="00E9281F">
            <w:pPr>
              <w:spacing w:before="100" w:after="100"/>
              <w:ind w:left="100" w:right="100"/>
              <w:jc w:val="center"/>
              <w:rPr>
                <w:rFonts w:ascii="Helvetica" w:eastAsia="Helvetica" w:hAnsi="Helvetica" w:cs="Helvetica"/>
                <w:color w:val="000000"/>
                <w:sz w:val="18"/>
                <w:szCs w:val="18"/>
              </w:rPr>
            </w:pPr>
          </w:p>
        </w:tc>
        <w:tc>
          <w:tcPr>
            <w:tcW w:w="984"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D46916" w14:textId="77777777" w:rsidR="00062AFC" w:rsidRDefault="00062AFC" w:rsidP="00E9281F">
            <w:pPr>
              <w:spacing w:before="100" w:after="100"/>
              <w:ind w:left="100" w:right="100"/>
              <w:jc w:val="center"/>
              <w:rPr>
                <w:rFonts w:ascii="Helvetica" w:eastAsia="Helvetica" w:hAnsi="Helvetica" w:cs="Helvetica"/>
                <w:color w:val="000000"/>
                <w:sz w:val="18"/>
                <w:szCs w:val="18"/>
              </w:rPr>
            </w:pPr>
          </w:p>
        </w:tc>
        <w:tc>
          <w:tcPr>
            <w:tcW w:w="844"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D04283" w14:textId="77777777" w:rsidR="00062AFC" w:rsidRDefault="00062AFC" w:rsidP="00E9281F">
            <w:pPr>
              <w:spacing w:before="100" w:after="100"/>
              <w:ind w:left="100" w:right="100"/>
              <w:jc w:val="center"/>
              <w:rPr>
                <w:rFonts w:ascii="Helvetica" w:eastAsia="Helvetica" w:hAnsi="Helvetica" w:cs="Helvetica"/>
                <w:color w:val="000000"/>
                <w:sz w:val="18"/>
                <w:szCs w:val="18"/>
              </w:rPr>
            </w:pPr>
          </w:p>
        </w:tc>
        <w:tc>
          <w:tcPr>
            <w:tcW w:w="984"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948D67" w14:textId="77777777" w:rsidR="00062AFC" w:rsidRDefault="00062AFC" w:rsidP="00E9281F">
            <w:pPr>
              <w:spacing w:before="100" w:after="100"/>
              <w:ind w:left="100" w:right="100"/>
              <w:jc w:val="center"/>
              <w:rPr>
                <w:rFonts w:ascii="Helvetica" w:eastAsia="Helvetica" w:hAnsi="Helvetica" w:cs="Helvetica"/>
                <w:color w:val="000000"/>
                <w:sz w:val="18"/>
                <w:szCs w:val="18"/>
              </w:rPr>
            </w:pPr>
          </w:p>
        </w:tc>
        <w:tc>
          <w:tcPr>
            <w:tcW w:w="104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01A540" w14:textId="77777777" w:rsidR="00062AFC" w:rsidRDefault="00062AFC" w:rsidP="00E9281F">
            <w:pPr>
              <w:spacing w:before="100" w:after="100"/>
              <w:ind w:left="100" w:right="100"/>
              <w:jc w:val="center"/>
              <w:rPr>
                <w:rFonts w:ascii="Helvetica" w:eastAsia="Helvetica" w:hAnsi="Helvetica" w:cs="Helvetica"/>
                <w:color w:val="000000"/>
                <w:sz w:val="18"/>
                <w:szCs w:val="18"/>
              </w:rPr>
            </w:pPr>
          </w:p>
        </w:tc>
      </w:tr>
      <w:tr w:rsidR="00062AFC" w14:paraId="46362D1C" w14:textId="77777777" w:rsidTr="00E9281F">
        <w:trPr>
          <w:cantSplit/>
          <w:jc w:val="center"/>
        </w:trPr>
        <w:tc>
          <w:tcPr>
            <w:tcW w:w="70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E57760" w14:textId="57C16174" w:rsidR="00062AFC" w:rsidRDefault="00062AFC" w:rsidP="00062AFC">
            <w:pPr>
              <w:spacing w:before="100" w:after="100"/>
              <w:ind w:left="100" w:right="100"/>
              <w:jc w:val="center"/>
            </w:pPr>
            <w:r>
              <w:t>54.3</w:t>
            </w:r>
          </w:p>
        </w:tc>
        <w:tc>
          <w:tcPr>
            <w:tcW w:w="681"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21795E" w14:textId="5F91BB65" w:rsidR="00062AFC" w:rsidRPr="0035440E" w:rsidRDefault="00062AFC" w:rsidP="00062AF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19.1</w:t>
            </w:r>
          </w:p>
        </w:tc>
        <w:tc>
          <w:tcPr>
            <w:tcW w:w="70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39B64E" w14:textId="63383BA1" w:rsidR="00062AFC" w:rsidRPr="0035440E" w:rsidRDefault="00062AFC" w:rsidP="00062AFC">
            <w:pPr>
              <w:spacing w:before="100" w:after="100"/>
              <w:ind w:left="100" w:right="100"/>
              <w:jc w:val="center"/>
              <w:rPr>
                <w:rFonts w:ascii="Helvetica" w:eastAsia="Helvetica" w:hAnsi="Helvetica" w:cs="Helvetica"/>
                <w:color w:val="000000"/>
                <w:sz w:val="18"/>
                <w:szCs w:val="18"/>
              </w:rPr>
            </w:pPr>
            <w:r w:rsidRPr="0035440E">
              <w:rPr>
                <w:rFonts w:ascii="Helvetica" w:eastAsia="Helvetica" w:hAnsi="Helvetica" w:cs="Helvetica"/>
                <w:color w:val="000000"/>
                <w:sz w:val="18"/>
                <w:szCs w:val="18"/>
              </w:rPr>
              <w:t>5</w:t>
            </w:r>
            <w:r>
              <w:rPr>
                <w:rFonts w:ascii="Helvetica" w:eastAsia="Helvetica" w:hAnsi="Helvetica" w:cs="Helvetica"/>
                <w:color w:val="000000"/>
                <w:sz w:val="18"/>
                <w:szCs w:val="18"/>
              </w:rPr>
              <w:t>7.0</w:t>
            </w:r>
          </w:p>
        </w:tc>
        <w:tc>
          <w:tcPr>
            <w:tcW w:w="850" w:type="dxa"/>
            <w:tcBorders>
              <w:left w:val="single" w:sz="8" w:space="0" w:color="000000"/>
              <w:bottom w:val="single" w:sz="8" w:space="0" w:color="000000"/>
              <w:right w:val="single" w:sz="8" w:space="0" w:color="000000"/>
            </w:tcBorders>
            <w:shd w:val="clear" w:color="auto" w:fill="FFFFFF"/>
            <w:vAlign w:val="center"/>
          </w:tcPr>
          <w:p w14:paraId="7113C026" w14:textId="692AB5B4" w:rsidR="00062AFC" w:rsidRPr="0035440E" w:rsidRDefault="00062AFC" w:rsidP="00062AF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46.4</w:t>
            </w:r>
          </w:p>
        </w:tc>
        <w:tc>
          <w:tcPr>
            <w:tcW w:w="851" w:type="dxa"/>
            <w:tcBorders>
              <w:left w:val="single" w:sz="8" w:space="0" w:color="000000"/>
              <w:bottom w:val="single" w:sz="8" w:space="0" w:color="000000"/>
              <w:right w:val="single" w:sz="8" w:space="0" w:color="000000"/>
            </w:tcBorders>
            <w:shd w:val="clear" w:color="auto" w:fill="FFFFFF"/>
            <w:vAlign w:val="center"/>
          </w:tcPr>
          <w:p w14:paraId="1DBF6EB6" w14:textId="75D9BBE3" w:rsidR="00062AFC" w:rsidRPr="0035440E" w:rsidRDefault="00070B7D" w:rsidP="00062AFC">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34.8</w:t>
            </w:r>
          </w:p>
        </w:tc>
        <w:tc>
          <w:tcPr>
            <w:tcW w:w="74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070E2A" w14:textId="77777777" w:rsidR="00062AFC" w:rsidRDefault="00062AFC" w:rsidP="00062AFC">
            <w:pPr>
              <w:spacing w:before="100" w:after="100"/>
              <w:ind w:left="100" w:right="100"/>
              <w:jc w:val="center"/>
            </w:pPr>
            <w:r>
              <w:rPr>
                <w:rFonts w:ascii="Helvetica" w:eastAsia="Helvetica" w:hAnsi="Helvetica" w:cs="Helvetica"/>
                <w:color w:val="000000"/>
                <w:sz w:val="18"/>
                <w:szCs w:val="18"/>
              </w:rPr>
              <w:t>3</w:t>
            </w:r>
          </w:p>
        </w:tc>
        <w:tc>
          <w:tcPr>
            <w:tcW w:w="84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B73721" w14:textId="77777777" w:rsidR="00062AFC" w:rsidRDefault="00062AFC" w:rsidP="00062AFC">
            <w:pPr>
              <w:spacing w:before="100" w:after="100"/>
              <w:ind w:left="100" w:right="100"/>
              <w:jc w:val="center"/>
            </w:pPr>
            <w:r>
              <w:t>NA</w:t>
            </w:r>
          </w:p>
        </w:tc>
        <w:tc>
          <w:tcPr>
            <w:tcW w:w="98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8CAA69B" w14:textId="77777777" w:rsidR="00062AFC" w:rsidRDefault="00062AFC" w:rsidP="00062AFC">
            <w:pPr>
              <w:spacing w:before="100" w:after="100"/>
              <w:ind w:left="100" w:right="100"/>
              <w:jc w:val="center"/>
            </w:pPr>
            <w:r>
              <w:t>NA</w:t>
            </w:r>
          </w:p>
        </w:tc>
        <w:tc>
          <w:tcPr>
            <w:tcW w:w="84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667C4C" w14:textId="785F81A2" w:rsidR="00062AFC" w:rsidRDefault="00062AFC" w:rsidP="00062AFC">
            <w:pPr>
              <w:spacing w:before="100" w:after="100"/>
              <w:ind w:left="100" w:right="100"/>
              <w:jc w:val="center"/>
            </w:pPr>
            <w:r w:rsidRPr="006C0464">
              <w:rPr>
                <w:rFonts w:ascii="Helvetica" w:eastAsia="Helvetica" w:hAnsi="Helvetica" w:cs="Helvetica"/>
                <w:color w:val="000000"/>
                <w:sz w:val="18"/>
                <w:szCs w:val="18"/>
              </w:rPr>
              <w:t>-</w:t>
            </w:r>
            <w:r w:rsidR="00070B7D">
              <w:rPr>
                <w:rFonts w:ascii="Helvetica" w:eastAsia="Helvetica" w:hAnsi="Helvetica" w:cs="Helvetica"/>
                <w:color w:val="000000"/>
                <w:sz w:val="18"/>
                <w:szCs w:val="18"/>
              </w:rPr>
              <w:t>10</w:t>
            </w:r>
          </w:p>
        </w:tc>
        <w:tc>
          <w:tcPr>
            <w:tcW w:w="98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BB5058" w14:textId="77777777" w:rsidR="00062AFC" w:rsidRDefault="00062AFC" w:rsidP="00062AFC">
            <w:pPr>
              <w:spacing w:before="100" w:after="100"/>
              <w:ind w:left="100" w:right="100"/>
              <w:jc w:val="center"/>
            </w:pPr>
            <w:r>
              <w:t>NA</w:t>
            </w:r>
          </w:p>
        </w:tc>
        <w:tc>
          <w:tcPr>
            <w:tcW w:w="104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406068E" w14:textId="77777777" w:rsidR="00062AFC" w:rsidRDefault="00062AFC" w:rsidP="00062AFC">
            <w:pPr>
              <w:spacing w:before="100" w:after="100"/>
              <w:ind w:left="100" w:right="100"/>
              <w:jc w:val="center"/>
            </w:pPr>
            <w:r>
              <w:t>NA</w:t>
            </w:r>
          </w:p>
        </w:tc>
      </w:tr>
      <w:tr w:rsidR="00062AFC" w14:paraId="6219D5C3" w14:textId="77777777" w:rsidTr="00E9281F">
        <w:trPr>
          <w:cantSplit/>
          <w:jc w:val="center"/>
        </w:trPr>
        <w:tc>
          <w:tcPr>
            <w:tcW w:w="2092"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76D5581" w14:textId="77777777" w:rsidR="00062AFC" w:rsidRPr="00C17238" w:rsidRDefault="00062AFC"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 125 mm</w:t>
            </w:r>
          </w:p>
        </w:tc>
        <w:tc>
          <w:tcPr>
            <w:tcW w:w="2443"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75F089" w14:textId="400CAD5B" w:rsidR="00062AFC" w:rsidRPr="00C17238" w:rsidRDefault="00062AFC" w:rsidP="00E9281F">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Pr>
                <w:rFonts w:ascii="Helvetica" w:eastAsia="Helvetica" w:hAnsi="Helvetica" w:cs="Helvetica"/>
                <w:color w:val="000000"/>
                <w:sz w:val="18"/>
                <w:szCs w:val="18"/>
              </w:rPr>
              <w:t>3</w:t>
            </w:r>
            <w:r w:rsidR="00070B7D">
              <w:rPr>
                <w:rFonts w:ascii="Helvetica" w:eastAsia="Helvetica" w:hAnsi="Helvetica" w:cs="Helvetica"/>
                <w:color w:val="000000"/>
                <w:sz w:val="18"/>
                <w:szCs w:val="18"/>
              </w:rPr>
              <w:t>5</w:t>
            </w:r>
            <w:r>
              <w:rPr>
                <w:rFonts w:ascii="Helvetica" w:eastAsia="Helvetica" w:hAnsi="Helvetica" w:cs="Helvetica"/>
                <w:color w:val="000000"/>
                <w:sz w:val="18"/>
                <w:szCs w:val="18"/>
              </w:rPr>
              <w:t xml:space="preserve">1 </w:t>
            </w:r>
            <w:r w:rsidRPr="00C17238">
              <w:rPr>
                <w:rFonts w:ascii="Helvetica" w:eastAsia="Helvetica" w:hAnsi="Helvetica" w:cs="Helvetica"/>
                <w:color w:val="000000"/>
                <w:sz w:val="18"/>
                <w:szCs w:val="18"/>
              </w:rPr>
              <w:t>kg</w:t>
            </w:r>
          </w:p>
        </w:tc>
        <w:tc>
          <w:tcPr>
            <w:tcW w:w="2673" w:type="dxa"/>
            <w:gridSpan w:val="3"/>
            <w:tcBorders>
              <w:left w:val="single" w:sz="8" w:space="0" w:color="000000"/>
              <w:bottom w:val="single" w:sz="8" w:space="0" w:color="000000"/>
              <w:right w:val="single" w:sz="8" w:space="0" w:color="000000"/>
            </w:tcBorders>
            <w:shd w:val="clear" w:color="auto" w:fill="FFFFFF"/>
            <w:vAlign w:val="center"/>
          </w:tcPr>
          <w:p w14:paraId="4F9973DD" w14:textId="4209F987" w:rsidR="00062AFC" w:rsidRPr="00C17238" w:rsidRDefault="00062AFC" w:rsidP="00E9281F">
            <w:pPr>
              <w:spacing w:before="100" w:after="100"/>
              <w:ind w:left="100" w:right="100"/>
              <w:jc w:val="center"/>
              <w:rPr>
                <w:rFonts w:ascii="Helvetica" w:eastAsia="Helvetica" w:hAnsi="Helvetica" w:cs="Helvetica"/>
                <w:color w:val="000000"/>
                <w:sz w:val="18"/>
                <w:szCs w:val="18"/>
              </w:rPr>
            </w:pPr>
          </w:p>
        </w:tc>
        <w:tc>
          <w:tcPr>
            <w:tcW w:w="2031"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FEB2B0" w14:textId="02FD148C" w:rsidR="00062AFC" w:rsidRPr="00C17238" w:rsidRDefault="00062AFC" w:rsidP="00E9281F">
            <w:pPr>
              <w:spacing w:before="100" w:after="100"/>
              <w:ind w:left="100" w:right="100"/>
              <w:jc w:val="center"/>
              <w:rPr>
                <w:rFonts w:ascii="Helvetica" w:eastAsia="Helvetica" w:hAnsi="Helvetica" w:cs="Helvetica"/>
                <w:color w:val="000000"/>
                <w:sz w:val="18"/>
                <w:szCs w:val="18"/>
              </w:rPr>
            </w:pPr>
          </w:p>
        </w:tc>
      </w:tr>
      <w:bookmarkEnd w:id="97"/>
    </w:tbl>
    <w:p w14:paraId="142A9327" w14:textId="77777777" w:rsidR="00062AFC" w:rsidRDefault="00062AFC" w:rsidP="00062AFC">
      <w:pPr>
        <w:pStyle w:val="TableCaption"/>
      </w:pPr>
    </w:p>
    <w:p w14:paraId="405BF591" w14:textId="7F817636" w:rsidR="00062AFC" w:rsidRDefault="00062AFC" w:rsidP="00062AFC">
      <w:r>
        <w:t>The Mallacoota Central SMU is an important contributor to the Eastern Zone TACC with an average catch of 8</w:t>
      </w:r>
      <w:r w:rsidR="005E1EB1">
        <w:t>0</w:t>
      </w:r>
      <w:r>
        <w:t xml:space="preserve"> t since 1979 and 7</w:t>
      </w:r>
      <w:r w:rsidR="005E1EB1">
        <w:t>8</w:t>
      </w:r>
      <w:r>
        <w:t xml:space="preserve"> t since 1988, and a peak catch of 104 t taken during 1985 (Figure 1</w:t>
      </w:r>
      <w:r w:rsidR="008C2010">
        <w:t>3</w:t>
      </w:r>
      <w:r>
        <w:t xml:space="preserve">). Catches generally ranged from 60 to 100 t per year from 1979 to 2016 before declining to 44 to 59 t </w:t>
      </w:r>
      <w:r w:rsidR="005E1EB1">
        <w:t xml:space="preserve">since </w:t>
      </w:r>
      <w:r>
        <w:t xml:space="preserve">2017. </w:t>
      </w:r>
      <w:r w:rsidR="002B4F5B">
        <w:t>Notably, the OT for 2024/25 has been reduced to 34.8 t.</w:t>
      </w:r>
    </w:p>
    <w:p w14:paraId="22E89092" w14:textId="40461FFB" w:rsidR="00062AFC" w:rsidRDefault="00062AFC" w:rsidP="00062AFC">
      <w:r>
        <w:t>Since the introduction of quota</w:t>
      </w:r>
      <w:r w:rsidR="005E1EB1">
        <w:t>,</w:t>
      </w:r>
      <w:r>
        <w:t xml:space="preserve"> mean daily catch has ranged from 267 to 473 kg/day with an average of 417 kg/day. Mean daily catch has been </w:t>
      </w:r>
      <w:r w:rsidR="00516521">
        <w:t>affected by market forces since 2020</w:t>
      </w:r>
      <w:r>
        <w:t>.</w:t>
      </w:r>
    </w:p>
    <w:p w14:paraId="4EFF0329" w14:textId="2EDBC163" w:rsidR="00062AFC" w:rsidRDefault="00CD167E" w:rsidP="00CD167E">
      <w:pPr>
        <w:jc w:val="center"/>
      </w:pPr>
      <w:r w:rsidRPr="00CD167E">
        <w:rPr>
          <w:noProof/>
        </w:rPr>
        <w:drawing>
          <wp:inline distT="0" distB="0" distL="0" distR="0" wp14:anchorId="3F96B4C1" wp14:editId="7799987C">
            <wp:extent cx="5731510" cy="3772535"/>
            <wp:effectExtent l="0" t="0" r="2540" b="0"/>
            <wp:docPr id="26281791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17918" name="Picture 1" descr="A graph of a number of people&#10;&#10;Description automatically generated with medium confidence"/>
                    <pic:cNvPicPr/>
                  </pic:nvPicPr>
                  <pic:blipFill>
                    <a:blip r:embed="rId32"/>
                    <a:stretch>
                      <a:fillRect/>
                    </a:stretch>
                  </pic:blipFill>
                  <pic:spPr>
                    <a:xfrm>
                      <a:off x="0" y="0"/>
                      <a:ext cx="5731510" cy="3772535"/>
                    </a:xfrm>
                    <a:prstGeom prst="rect">
                      <a:avLst/>
                    </a:prstGeom>
                  </pic:spPr>
                </pic:pic>
              </a:graphicData>
            </a:graphic>
          </wp:inline>
        </w:drawing>
      </w:r>
    </w:p>
    <w:p w14:paraId="282918BC" w14:textId="7BB4C8B0" w:rsidR="00062AFC" w:rsidRDefault="00062AFC" w:rsidP="00062AFC">
      <w:pPr>
        <w:pStyle w:val="Caption"/>
      </w:pPr>
      <w:bookmarkStart w:id="98" w:name="_Toc182219814"/>
      <w:r>
        <w:t>Figure 1</w:t>
      </w:r>
      <w:r w:rsidR="008C2010">
        <w:t>3</w:t>
      </w:r>
      <w:r>
        <w:t>: Total catch and mean daily catch for the Mallacoota Central SMU from 1979 to 202</w:t>
      </w:r>
      <w:r w:rsidR="00FC5E12">
        <w:t>3</w:t>
      </w:r>
      <w:r>
        <w:t>.</w:t>
      </w:r>
      <w:bookmarkEnd w:id="98"/>
      <w:r>
        <w:t xml:space="preserve"> </w:t>
      </w:r>
    </w:p>
    <w:p w14:paraId="4BA699CC" w14:textId="77777777" w:rsidR="00062AFC" w:rsidRDefault="00062AFC" w:rsidP="00062AFC"/>
    <w:p w14:paraId="5166F51C" w14:textId="558184F4" w:rsidR="00062AFC" w:rsidRDefault="00062AFC" w:rsidP="00062AFC">
      <w:r>
        <w:t>Nominal CPUE generally increased from 1992 to reach a peak of 119 kg/hr in 2012 before declining to 90 kg/h in 2016 (Figure 1</w:t>
      </w:r>
      <w:r w:rsidR="008C2010">
        <w:t>4</w:t>
      </w:r>
      <w:r>
        <w:t>). Nominal CPUE ranged from 98 to 107 kg/h thereafter</w:t>
      </w:r>
      <w:r w:rsidR="00FC5E12">
        <w:t xml:space="preserve"> and has been stable the last three years</w:t>
      </w:r>
      <w:r>
        <w:t xml:space="preserve">. </w:t>
      </w:r>
      <w:r w:rsidR="00FC5E12">
        <w:t>Albeit slightly lower, s</w:t>
      </w:r>
      <w:r>
        <w:t xml:space="preserve">tandardised CPUE has followed </w:t>
      </w:r>
      <w:r w:rsidR="00FC5E12">
        <w:t>similar trends to nominal CPUE, however in the last three years the departure between the two measures has increased</w:t>
      </w:r>
      <w:r>
        <w:t>.</w:t>
      </w:r>
    </w:p>
    <w:p w14:paraId="75D61061" w14:textId="0B5A7E3E" w:rsidR="00062AFC" w:rsidRDefault="00543BBE" w:rsidP="00062AFC">
      <w:r>
        <w:rPr>
          <w:noProof/>
        </w:rPr>
        <w:drawing>
          <wp:inline distT="0" distB="0" distL="0" distR="0" wp14:anchorId="29A9BEE8" wp14:editId="700D8E77">
            <wp:extent cx="5727700" cy="3579495"/>
            <wp:effectExtent l="0" t="0" r="6350" b="1905"/>
            <wp:docPr id="62" name="Picture" descr="Figure 11: Mallacoota Central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62" name="Picture" descr="Figure 11: Mallacoota Central SMU catch and CPUE (nominal and standardised) from 1992/1993 – 2021/22. Catch = bars, nominal CPUE = grey series (+/- SE), standardised series = black. Numbers in bars indicate changes to LMLs. MPs = introduction of Marine Parks."/>
                    <pic:cNvPicPr/>
                  </pic:nvPicPr>
                  <pic:blipFill>
                    <a:blip r:embed="rId33"/>
                    <a:stretch>
                      <a:fillRect/>
                    </a:stretch>
                  </pic:blipFill>
                  <pic:spPr bwMode="auto">
                    <a:xfrm>
                      <a:off x="0" y="0"/>
                      <a:ext cx="5727700" cy="3579495"/>
                    </a:xfrm>
                    <a:prstGeom prst="rect">
                      <a:avLst/>
                    </a:prstGeom>
                    <a:noFill/>
                    <a:ln w="9525">
                      <a:noFill/>
                      <a:headEnd/>
                      <a:tailEnd/>
                    </a:ln>
                  </pic:spPr>
                </pic:pic>
              </a:graphicData>
            </a:graphic>
          </wp:inline>
        </w:drawing>
      </w:r>
    </w:p>
    <w:p w14:paraId="303F57F1" w14:textId="4C4D9ECC" w:rsidR="00062AFC" w:rsidRDefault="00062AFC" w:rsidP="00062AFC">
      <w:pPr>
        <w:pStyle w:val="Caption"/>
      </w:pPr>
      <w:bookmarkStart w:id="99" w:name="_Toc182219815"/>
      <w:r>
        <w:t>Figure 1</w:t>
      </w:r>
      <w:r w:rsidR="008C2010">
        <w:t>4</w:t>
      </w:r>
      <w:r>
        <w:t xml:space="preserve">: Mallacoota Central SMU catch, and CPUE (nominal and standardised) from 1992/93 – 2023/24.  </w:t>
      </w:r>
      <w:r w:rsidRPr="009D6FAB">
        <w:t>Catch = bars, nominal CPUE = grey series (+/- SE), standardised series = black. Numbers in bars indicate changes to LMLs. MPs = introduction of Marine Parks.</w:t>
      </w:r>
      <w:bookmarkEnd w:id="99"/>
    </w:p>
    <w:p w14:paraId="091D9863" w14:textId="085AC15F" w:rsidR="00062AFC" w:rsidRDefault="00062AFC" w:rsidP="00062AFC">
      <w:pPr>
        <w:pStyle w:val="TableCaption"/>
      </w:pPr>
      <w:bookmarkStart w:id="100" w:name="_Toc182219869"/>
      <w:bookmarkStart w:id="101" w:name="_Hlk118781139"/>
      <w:r>
        <w:t xml:space="preserve">Table </w:t>
      </w:r>
      <w:r w:rsidR="001B2FF0">
        <w:t>9</w:t>
      </w:r>
      <w:r>
        <w:t xml:space="preserve">: Catches by reefcode for the Mallacoota Central </w:t>
      </w:r>
      <w:r w:rsidR="000C4999">
        <w:t>SMU from 2018/19 to 2023/24, the five-year average catch from 2018/19 to 2022/23, and the OT for</w:t>
      </w:r>
      <w:r>
        <w:t xml:space="preserve"> 2023/24.</w:t>
      </w:r>
      <w:bookmarkEnd w:id="100"/>
    </w:p>
    <w:p w14:paraId="4F6BCDA7" w14:textId="47C484BE" w:rsidR="00062AFC" w:rsidRPr="00A20F7B" w:rsidRDefault="00A80AE5" w:rsidP="00062AFC">
      <w:r w:rsidRPr="00A80AE5">
        <w:rPr>
          <w:noProof/>
        </w:rPr>
        <w:drawing>
          <wp:inline distT="0" distB="0" distL="0" distR="0" wp14:anchorId="59254B35" wp14:editId="7FEA5E25">
            <wp:extent cx="5731510" cy="974725"/>
            <wp:effectExtent l="0" t="0" r="2540" b="0"/>
            <wp:docPr id="196145465" name="Picture 1" descr="A white rectangular tabl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465" name="Picture 1" descr="A white rectangular table with numbers and letters&#10;&#10;Description automatically generated with medium confidence"/>
                    <pic:cNvPicPr/>
                  </pic:nvPicPr>
                  <pic:blipFill>
                    <a:blip r:embed="rId34"/>
                    <a:stretch>
                      <a:fillRect/>
                    </a:stretch>
                  </pic:blipFill>
                  <pic:spPr>
                    <a:xfrm>
                      <a:off x="0" y="0"/>
                      <a:ext cx="5731510" cy="974725"/>
                    </a:xfrm>
                    <a:prstGeom prst="rect">
                      <a:avLst/>
                    </a:prstGeom>
                  </pic:spPr>
                </pic:pic>
              </a:graphicData>
            </a:graphic>
          </wp:inline>
        </w:drawing>
      </w:r>
    </w:p>
    <w:bookmarkEnd w:id="101"/>
    <w:p w14:paraId="75BD68A4" w14:textId="23D0D455" w:rsidR="00062AFC" w:rsidRDefault="00062AFC" w:rsidP="00062AFC">
      <w:r>
        <w:t xml:space="preserve">The Mallacoota Central SMU comprises five reefcodes however only three reefcodes contribute substantially to the annual catch (Table </w:t>
      </w:r>
      <w:r w:rsidR="001B2FF0">
        <w:t>9</w:t>
      </w:r>
      <w:r>
        <w:t xml:space="preserve">). Sandpatch Lee produces the highest catch, with Sandpatch Point around half of that catch and Benedore half of that catch again. In 2023/24, catches were </w:t>
      </w:r>
      <w:r w:rsidR="008A46CD">
        <w:t xml:space="preserve">around 5 t (22%) </w:t>
      </w:r>
      <w:r>
        <w:t xml:space="preserve">above the OT at Sandpatch </w:t>
      </w:r>
      <w:r w:rsidR="008A46CD">
        <w:t xml:space="preserve">Lee. </w:t>
      </w:r>
    </w:p>
    <w:p w14:paraId="7E6447C5" w14:textId="77777777" w:rsidR="00062AFC" w:rsidRDefault="00062AFC" w:rsidP="00062AFC"/>
    <w:p w14:paraId="68225BDB" w14:textId="35F7A099" w:rsidR="00062AFC" w:rsidRDefault="00062AFC" w:rsidP="00062AFC">
      <w:r>
        <w:t xml:space="preserve">The </w:t>
      </w:r>
      <w:r w:rsidR="00FC5E12">
        <w:t xml:space="preserve">FIS </w:t>
      </w:r>
      <w:r>
        <w:t>trends from the “all sites” data series (grey dashed) are difficult to interpret because of changes in sites over time. The standardised abundance of recruits at the three Top 15 sites has been highly variable since 2003 displaying a general decline (Figure 1</w:t>
      </w:r>
      <w:r w:rsidR="008C2010">
        <w:t>5</w:t>
      </w:r>
      <w:r>
        <w:t>). The standardised abundance in 2023 was the lowest recorded.</w:t>
      </w:r>
    </w:p>
    <w:p w14:paraId="092AD42D" w14:textId="77777777" w:rsidR="00062AFC" w:rsidRDefault="00062AFC" w:rsidP="00062AFC">
      <w:r>
        <w:rPr>
          <w:noProof/>
        </w:rPr>
        <w:drawing>
          <wp:inline distT="0" distB="0" distL="0" distR="0" wp14:anchorId="73E537CF" wp14:editId="3B9AE44E">
            <wp:extent cx="5727700" cy="3579812"/>
            <wp:effectExtent l="0" t="0" r="0" b="0"/>
            <wp:docPr id="799864147" name="Picture 799864147" descr="Figure 12: Recruit abundance (1992-2023) and catch (1992/93 – 2021/22) for the Mallacoota Central SMU. Grey dashed series = nominal abundance across all FIS sites (+/-SE). Black series = nominal (dotted line, open datapoint in 2022; +/- SE) and standardised (solid line, solid datapoint in 2022) abundance at the three sites located within the Mallacoota Central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74" name="Picture" descr="@parent.Eastern_files/figure-docx/Mallacoota.Recruits.fig12-71-1.png"/>
                    <pic:cNvPicPr>
                      <a:picLocks noChangeAspect="1" noChangeArrowheads="1"/>
                    </pic:cNvPicPr>
                  </pic:nvPicPr>
                  <pic:blipFill>
                    <a:blip r:embed="rId35"/>
                    <a:stretch>
                      <a:fillRect/>
                    </a:stretch>
                  </pic:blipFill>
                  <pic:spPr bwMode="auto">
                    <a:xfrm>
                      <a:off x="0" y="0"/>
                      <a:ext cx="5727700" cy="3579812"/>
                    </a:xfrm>
                    <a:prstGeom prst="rect">
                      <a:avLst/>
                    </a:prstGeom>
                    <a:noFill/>
                    <a:ln w="9525">
                      <a:noFill/>
                      <a:headEnd/>
                      <a:tailEnd/>
                    </a:ln>
                  </pic:spPr>
                </pic:pic>
              </a:graphicData>
            </a:graphic>
          </wp:inline>
        </w:drawing>
      </w:r>
    </w:p>
    <w:p w14:paraId="4B1A803D" w14:textId="0BE43715" w:rsidR="00062AFC" w:rsidRDefault="00062AFC" w:rsidP="00062AFC">
      <w:pPr>
        <w:pStyle w:val="Caption"/>
      </w:pPr>
      <w:bookmarkStart w:id="102" w:name="_Toc182219816"/>
      <w:r>
        <w:t>Figure 1</w:t>
      </w:r>
      <w:r w:rsidR="008C2010">
        <w:t>5</w:t>
      </w:r>
      <w:r>
        <w:t xml:space="preserve">: </w:t>
      </w:r>
      <w:bookmarkStart w:id="103" w:name="mallacoota-central"/>
      <w:r>
        <w:t xml:space="preserve">Recruit abundance and catch from 1992/93 – 2022/23 for the Mallacoota Central SMU. </w:t>
      </w:r>
      <w:r w:rsidRPr="005263C9">
        <w:t>Grey dashed series = nominal abundance across all FIS sites (+/-SE). Black series = nominal (dotted line) and standardised (solid line</w:t>
      </w:r>
      <w:r w:rsidRPr="00EC3F82">
        <w:t xml:space="preserve"> </w:t>
      </w:r>
      <w:r>
        <w:t>and dot point in 2023</w:t>
      </w:r>
      <w:r w:rsidRPr="005263C9">
        <w:t xml:space="preserve">) abundance at the </w:t>
      </w:r>
      <w:r>
        <w:t xml:space="preserve">three Top 15 </w:t>
      </w:r>
      <w:r w:rsidRPr="005263C9">
        <w:t xml:space="preserve">sites located within the </w:t>
      </w:r>
      <w:r>
        <w:t xml:space="preserve">Mallacoota Central </w:t>
      </w:r>
      <w:r w:rsidRPr="005263C9">
        <w:t>SMU</w:t>
      </w:r>
      <w:r>
        <w:t>.</w:t>
      </w:r>
      <w:bookmarkEnd w:id="102"/>
    </w:p>
    <w:p w14:paraId="52B67F59" w14:textId="2720527B" w:rsidR="00062AFC" w:rsidRDefault="00062AFC" w:rsidP="00062AFC">
      <w:r>
        <w:t>Standardised pre-recruit abundance at the three Top 15 sites generally declined from 2003 to 2011 and has remained relatively stable thereafter (Figure 1</w:t>
      </w:r>
      <w:r w:rsidR="008C2010">
        <w:t>6</w:t>
      </w:r>
      <w:r>
        <w:t xml:space="preserve">). </w:t>
      </w:r>
    </w:p>
    <w:p w14:paraId="3E405558" w14:textId="77777777" w:rsidR="00062AFC" w:rsidRDefault="00062AFC" w:rsidP="00062AFC">
      <w:r>
        <w:rPr>
          <w:noProof/>
        </w:rPr>
        <w:drawing>
          <wp:inline distT="0" distB="0" distL="0" distR="0" wp14:anchorId="40355196" wp14:editId="5887CBBF">
            <wp:extent cx="5727700" cy="3579812"/>
            <wp:effectExtent l="0" t="0" r="0" b="0"/>
            <wp:docPr id="1179860172" name="Picture 1179860172" descr="Figure 13: Pre-recruit abundance (1992-2023) and catch (1992/93 – 2021/22) for the Mallacoota Central SMU. Grey dashed series = nominal abundance across all FIS sites (+/-SE). Black series = nominal (dotted line, open datapoint in 2022; +/- SE) and standardised (solid line, solid datapoint in 2022) abundance at the three sites located within the Mallacoota Central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77" name="Picture" descr="@parent.Eastern_files/figure-docx/Mallacoota.PreRecruits.fig13-73-1.png"/>
                    <pic:cNvPicPr>
                      <a:picLocks noChangeAspect="1" noChangeArrowheads="1"/>
                    </pic:cNvPicPr>
                  </pic:nvPicPr>
                  <pic:blipFill>
                    <a:blip r:embed="rId36"/>
                    <a:stretch>
                      <a:fillRect/>
                    </a:stretch>
                  </pic:blipFill>
                  <pic:spPr bwMode="auto">
                    <a:xfrm>
                      <a:off x="0" y="0"/>
                      <a:ext cx="5727700" cy="3579812"/>
                    </a:xfrm>
                    <a:prstGeom prst="rect">
                      <a:avLst/>
                    </a:prstGeom>
                    <a:noFill/>
                    <a:ln w="9525">
                      <a:noFill/>
                      <a:headEnd/>
                      <a:tailEnd/>
                    </a:ln>
                  </pic:spPr>
                </pic:pic>
              </a:graphicData>
            </a:graphic>
          </wp:inline>
        </w:drawing>
      </w:r>
    </w:p>
    <w:p w14:paraId="4516ECE8" w14:textId="5A60CFA6" w:rsidR="00062AFC" w:rsidRDefault="00062AFC" w:rsidP="00062AFC">
      <w:pPr>
        <w:pStyle w:val="Caption"/>
      </w:pPr>
      <w:bookmarkStart w:id="104" w:name="_Toc182219817"/>
      <w:r>
        <w:t>Figure 1</w:t>
      </w:r>
      <w:r w:rsidR="008C2010">
        <w:t>6</w:t>
      </w:r>
      <w:r>
        <w:t xml:space="preserve">: Pre-recruit abundance and catch from 1992/93 – 2022/23 for the Mallacoota Central SMU. </w:t>
      </w:r>
      <w:r w:rsidRPr="005263C9">
        <w:t>Grey dashed series = nominal abundance across all FIS sites (+/-SE). Black series = nominal (dotted line) and standardised (solid line</w:t>
      </w:r>
      <w:r w:rsidRPr="00EC3F82">
        <w:t xml:space="preserve"> </w:t>
      </w:r>
      <w:r>
        <w:t>and dot point in 2023</w:t>
      </w:r>
      <w:r w:rsidRPr="005263C9">
        <w:t xml:space="preserve">) abundance at the </w:t>
      </w:r>
      <w:r>
        <w:t xml:space="preserve">three Top 15 </w:t>
      </w:r>
      <w:r w:rsidRPr="005263C9">
        <w:t xml:space="preserve">sites located within the </w:t>
      </w:r>
      <w:r>
        <w:t xml:space="preserve">Mallacoota Central </w:t>
      </w:r>
      <w:r w:rsidRPr="005263C9">
        <w:t>SMU</w:t>
      </w:r>
      <w:r>
        <w:t>.</w:t>
      </w:r>
      <w:bookmarkEnd w:id="104"/>
    </w:p>
    <w:p w14:paraId="4B525157" w14:textId="77777777" w:rsidR="00062AFC" w:rsidRDefault="00062AFC" w:rsidP="00062AFC">
      <w:r w:rsidRPr="00C20351">
        <w:rPr>
          <w:i/>
          <w:iCs/>
        </w:rPr>
        <w:t>FIS length frequency data</w:t>
      </w:r>
    </w:p>
    <w:p w14:paraId="30074F52" w14:textId="77777777" w:rsidR="00062AFC" w:rsidRDefault="00062AFC" w:rsidP="00062AFC">
      <w:r>
        <w:t>The size structure of the population at Mallacoota Central has been variable since 2003 (Appendix 4). From 2003 to 2010 the mean size was generally stable from 117 to 118 mm, with the proportion above the LML being 37 to 40%. From 2011 to 2014, mean size increased to 120 to 123 mm and the proportion above LML ranged from 43 to 55%, before declining rapidly to 114 mm and 32% above LML in 2016. In the last five years the mean size (range 119 to 124 mm) and the proportion above LML (range 48 to 59%) have been variable.</w:t>
      </w:r>
    </w:p>
    <w:p w14:paraId="237AD907" w14:textId="77777777" w:rsidR="00062AFC" w:rsidRDefault="00062AFC" w:rsidP="00062AFC">
      <w:pPr>
        <w:spacing w:before="0" w:after="160" w:line="259" w:lineRule="auto"/>
      </w:pPr>
      <w:r>
        <w:rPr>
          <w:i/>
          <w:iCs/>
        </w:rPr>
        <w:t xml:space="preserve">Commercial </w:t>
      </w:r>
      <w:r w:rsidRPr="00C20351">
        <w:rPr>
          <w:i/>
          <w:iCs/>
        </w:rPr>
        <w:t>length frequency data</w:t>
      </w:r>
    </w:p>
    <w:p w14:paraId="3AE4AC06" w14:textId="77777777" w:rsidR="00062AFC" w:rsidRDefault="00062AFC" w:rsidP="00062AFC">
      <w:r>
        <w:t>From 2010/11 to 2016/17 a strong modal size class of 130-134 mm was present in the sampled commercial catch in all years (Appendix 5). From 2010/11 to 2013/14, the proportion of abalone just above the size limit (i.e. 125-129 mm size class) was generally around half of the modal size class. However, in 2016/17 22% of the catch was in the 125-129 mm size class compared to 28% in the 130-134 mm size class, and in 2018/19 the proportions in the sampled catch were equal (both 25%). It is unclear how reductions in size limits in 2014/15 and 2016/17 have affected these samples. No data are available from 2019/20.</w:t>
      </w:r>
      <w:r w:rsidRPr="0018192F">
        <w:t xml:space="preserve"> </w:t>
      </w:r>
      <w:r>
        <w:t>Higher numbers of shells sampled would increase the certainty in this measure in future years.</w:t>
      </w:r>
      <w:r w:rsidRPr="0018192F">
        <w:t xml:space="preserve"> </w:t>
      </w:r>
    </w:p>
    <w:p w14:paraId="5B7E3B3B" w14:textId="77777777" w:rsidR="00062AFC" w:rsidRDefault="00062AFC" w:rsidP="00062AFC">
      <w:r>
        <w:rPr>
          <w:i/>
          <w:iCs/>
        </w:rPr>
        <w:t>Summary</w:t>
      </w:r>
    </w:p>
    <w:p w14:paraId="14B33AF3" w14:textId="7678C24E" w:rsidR="00062AFC" w:rsidRDefault="00062AFC" w:rsidP="00062AFC">
      <w:bookmarkStart w:id="105" w:name="_Hlk118783861"/>
      <w:r>
        <w:t xml:space="preserve">The Mallacoota Central SMU has contributed an average of 79 t to the Eastern Zone TACC since the introduction of quota. </w:t>
      </w:r>
      <w:bookmarkEnd w:id="105"/>
      <w:r>
        <w:t xml:space="preserve">Following a peak catch of 102 t taken during 1999, catches have generally declined thereafter. </w:t>
      </w:r>
      <w:bookmarkStart w:id="106" w:name="_Hlk118783904"/>
      <w:r>
        <w:t xml:space="preserve">Catches in the last </w:t>
      </w:r>
      <w:r w:rsidR="003934F2">
        <w:t>7</w:t>
      </w:r>
      <w:r>
        <w:t xml:space="preserve"> years have been among the lowest observed despite size limit reductions in 2015 and 2017. </w:t>
      </w:r>
      <w:bookmarkEnd w:id="106"/>
      <w:r>
        <w:t xml:space="preserve">Three of the five reefcodes in the Mallacoota Central SMU produce most of the SMU catch. </w:t>
      </w:r>
      <w:r w:rsidR="003934F2">
        <w:t>In 2023/24, catches were around 5 t (22%) above the OT at Sandpatch Lee.</w:t>
      </w:r>
      <w:r>
        <w:t xml:space="preserve"> CPUE has declined </w:t>
      </w:r>
      <w:r w:rsidR="003934F2">
        <w:t>since 2019</w:t>
      </w:r>
      <w:r>
        <w:t xml:space="preserve">. </w:t>
      </w:r>
      <w:r w:rsidR="00EB0A43">
        <w:t>The OT in 2023/24 was reduced by around 10 t, however the total catch exceeded the OT by 8 t. It is noted that the OT was further reduced for 2024/25 from 46.4 to 34.8 t.</w:t>
      </w:r>
    </w:p>
    <w:p w14:paraId="2171D2EA" w14:textId="0F761E9A" w:rsidR="00062AFC" w:rsidRDefault="00062AFC" w:rsidP="00062AFC">
      <w:r>
        <w:t xml:space="preserve">Recruit and pre-recruit abundances from all sites declined substantially from 2003 to 2021. Recruit abundance from the two Top 15 sites was the lowest observed in 2023, while pre-recruit abundance increased slightly at these sites. Despite declines in abundance, the length frequency distributions from FIS showed no clear trends over time. Commercial catch sampling data up to 2018/19 suggested that a higher proportion of abalone were being harvested close to the LML, however this may have been affected by reductions in size limit. </w:t>
      </w:r>
    </w:p>
    <w:p w14:paraId="26B51527" w14:textId="25C3B1BB" w:rsidR="00062AFC" w:rsidRDefault="00062AFC" w:rsidP="00062AFC">
      <w:r>
        <w:t>For the Mallacoota Central SMU, mean CPUE was above the Threshold level in the Draft Harvest Strategy, and it has been above the Threshold level for 3</w:t>
      </w:r>
      <w:r w:rsidR="003934F2">
        <w:t>1</w:t>
      </w:r>
      <w:r>
        <w:t xml:space="preserve"> consecutive years (Table 4). The Primary Indicator was Stable and the Secondary Indicator was </w:t>
      </w:r>
      <w:r w:rsidR="00EB0A43">
        <w:t>Stable</w:t>
      </w:r>
      <w:r>
        <w:t xml:space="preserve">, which gave a </w:t>
      </w:r>
      <w:r w:rsidR="00EB0A43">
        <w:t xml:space="preserve">Stable </w:t>
      </w:r>
      <w:r>
        <w:t xml:space="preserve">Primary Category (Table 5).  The Tertiary Indicator was not available, resulting in a </w:t>
      </w:r>
      <w:r w:rsidR="00EB0A43">
        <w:t>Stable</w:t>
      </w:r>
      <w:r>
        <w:t xml:space="preserve"> Final Category for the SMU. The OT for 2023/24 was </w:t>
      </w:r>
      <w:r w:rsidR="00EB0A43">
        <w:t>34.8</w:t>
      </w:r>
      <w:r>
        <w:t xml:space="preserve"> t, and the results of the Harvest Strategy suggest </w:t>
      </w:r>
      <w:r w:rsidR="00EB0A43">
        <w:t xml:space="preserve">an </w:t>
      </w:r>
      <w:r>
        <w:t xml:space="preserve">OT </w:t>
      </w:r>
      <w:r w:rsidR="00EB0A43">
        <w:t>from</w:t>
      </w:r>
      <w:r>
        <w:t xml:space="preserve"> 3</w:t>
      </w:r>
      <w:r w:rsidR="00EB0A43">
        <w:t>3.1</w:t>
      </w:r>
      <w:r>
        <w:t xml:space="preserve"> to </w:t>
      </w:r>
      <w:r w:rsidR="00EB0A43">
        <w:t>36.5</w:t>
      </w:r>
      <w:r>
        <w:t xml:space="preserve"> t. </w:t>
      </w:r>
    </w:p>
    <w:p w14:paraId="0BF95136" w14:textId="2CB13A26" w:rsidR="00062AFC" w:rsidRDefault="00062AFC" w:rsidP="00062AFC">
      <w:pPr>
        <w:rPr>
          <w:b/>
          <w:bCs/>
        </w:rPr>
      </w:pPr>
      <w:r>
        <w:t xml:space="preserve">CPUE has declined </w:t>
      </w:r>
      <w:r w:rsidR="00EB0A43">
        <w:t>since 2019</w:t>
      </w:r>
      <w:r>
        <w:t xml:space="preserve">. While abundance at FIS sites has declined substantially from an historic perspective, recruit and pre-recruit abundance appear to have stabilized in recent years. </w:t>
      </w:r>
      <w:bookmarkStart w:id="107" w:name="_Hlk119063595"/>
      <w:r w:rsidR="00EB0A43">
        <w:rPr>
          <w:b/>
          <w:bCs/>
        </w:rPr>
        <w:t xml:space="preserve">While the </w:t>
      </w:r>
      <w:r w:rsidRPr="00EB0A43">
        <w:rPr>
          <w:b/>
          <w:bCs/>
        </w:rPr>
        <w:t>OT was reduced by around 10 t for 2023/24</w:t>
      </w:r>
      <w:r w:rsidR="00EB0A43">
        <w:rPr>
          <w:b/>
          <w:bCs/>
        </w:rPr>
        <w:t xml:space="preserve">, catches were 8 t (17%) over the OT. </w:t>
      </w:r>
      <w:r w:rsidR="00EB0A43" w:rsidRPr="00EB0A43">
        <w:rPr>
          <w:b/>
          <w:bCs/>
        </w:rPr>
        <w:t xml:space="preserve"> </w:t>
      </w:r>
      <w:r w:rsidR="00C42E0B" w:rsidRPr="00C42E0B">
        <w:rPr>
          <w:b/>
          <w:bCs/>
        </w:rPr>
        <w:t xml:space="preserve">The OT was further reduced by around </w:t>
      </w:r>
      <w:r w:rsidR="00EB0A43" w:rsidRPr="00C42E0B">
        <w:rPr>
          <w:b/>
          <w:bCs/>
        </w:rPr>
        <w:t xml:space="preserve">11 t for 2024/25. </w:t>
      </w:r>
      <w:bookmarkEnd w:id="107"/>
      <w:r w:rsidR="00C42E0B" w:rsidRPr="00C42E0B">
        <w:rPr>
          <w:b/>
          <w:bCs/>
        </w:rPr>
        <w:t xml:space="preserve">While there is no </w:t>
      </w:r>
      <w:r w:rsidR="00516521">
        <w:rPr>
          <w:b/>
          <w:bCs/>
        </w:rPr>
        <w:t xml:space="preserve">clear </w:t>
      </w:r>
      <w:r w:rsidR="00C42E0B" w:rsidRPr="00C42E0B">
        <w:rPr>
          <w:b/>
          <w:bCs/>
        </w:rPr>
        <w:t>evidence to suggest that the OT needs further reductions, d</w:t>
      </w:r>
      <w:r w:rsidRPr="00C42E0B">
        <w:rPr>
          <w:b/>
          <w:bCs/>
        </w:rPr>
        <w:t>iver observations will be critical i</w:t>
      </w:r>
      <w:r w:rsidRPr="00180C83">
        <w:rPr>
          <w:b/>
          <w:bCs/>
        </w:rPr>
        <w:t xml:space="preserve">n determining the </w:t>
      </w:r>
      <w:r w:rsidR="00C42E0B">
        <w:rPr>
          <w:b/>
          <w:bCs/>
        </w:rPr>
        <w:t>status of</w:t>
      </w:r>
      <w:r w:rsidR="008C7C23">
        <w:rPr>
          <w:b/>
          <w:bCs/>
        </w:rPr>
        <w:t xml:space="preserve"> the</w:t>
      </w:r>
      <w:r w:rsidR="00C42E0B">
        <w:rPr>
          <w:b/>
          <w:bCs/>
        </w:rPr>
        <w:t xml:space="preserve"> Mallacoota Central SMU</w:t>
      </w:r>
      <w:r w:rsidRPr="00180C83">
        <w:rPr>
          <w:b/>
          <w:bCs/>
        </w:rPr>
        <w:t>.</w:t>
      </w:r>
    </w:p>
    <w:p w14:paraId="76AD4880" w14:textId="77777777" w:rsidR="00062AFC" w:rsidRDefault="00062AFC" w:rsidP="00062AFC">
      <w:pPr>
        <w:spacing w:before="0" w:after="160" w:line="259" w:lineRule="auto"/>
        <w:rPr>
          <w:b/>
          <w:bCs/>
        </w:rPr>
      </w:pPr>
    </w:p>
    <w:bookmarkEnd w:id="103"/>
    <w:p w14:paraId="7420EC90" w14:textId="77777777" w:rsidR="007631C7" w:rsidRDefault="007631C7">
      <w:pPr>
        <w:spacing w:before="0" w:after="160" w:line="259" w:lineRule="auto"/>
      </w:pPr>
      <w:r>
        <w:br w:type="page"/>
      </w:r>
    </w:p>
    <w:p w14:paraId="0424D18C" w14:textId="41F2FA39" w:rsidR="007631C7" w:rsidRDefault="007631C7" w:rsidP="00A77A9D">
      <w:pPr>
        <w:pStyle w:val="Heading3"/>
      </w:pPr>
      <w:bookmarkStart w:id="108" w:name="_Toc182219914"/>
      <w:r>
        <w:t>Marlo</w:t>
      </w:r>
      <w:r w:rsidR="00C11118">
        <w:t xml:space="preserve"> (Large SMU)</w:t>
      </w:r>
      <w:bookmarkEnd w:id="108"/>
    </w:p>
    <w:p w14:paraId="0DC95752" w14:textId="02A882C2" w:rsidR="000B7AD9" w:rsidRDefault="000B7AD9" w:rsidP="000B7AD9">
      <w:r>
        <w:t xml:space="preserve">The Marlo SMU was </w:t>
      </w:r>
      <w:r w:rsidR="00062AFC">
        <w:t xml:space="preserve">the third </w:t>
      </w:r>
      <w:r>
        <w:t xml:space="preserve">highest contributor to the Eastern Zone total catch with </w:t>
      </w:r>
      <w:r w:rsidR="00062AFC">
        <w:t>48.0</w:t>
      </w:r>
      <w:r>
        <w:t xml:space="preserve"> t harvested in </w:t>
      </w:r>
      <w:r w:rsidR="004131B0">
        <w:t>2023/24</w:t>
      </w:r>
      <w:r>
        <w:t xml:space="preserve"> representing </w:t>
      </w:r>
      <w:r w:rsidR="00062AFC">
        <w:t>16.9</w:t>
      </w:r>
      <w:r>
        <w:t xml:space="preserve">% of the TACC (Table 3) and </w:t>
      </w:r>
      <w:r w:rsidR="00062AFC">
        <w:t>16.9</w:t>
      </w:r>
      <w:r>
        <w:t xml:space="preserve">% of the zone catch (Table </w:t>
      </w:r>
      <w:r w:rsidR="001B2FF0">
        <w:t>10</w:t>
      </w:r>
      <w:r>
        <w:t xml:space="preserve">). The catch was </w:t>
      </w:r>
      <w:r w:rsidR="00062AFC">
        <w:t>33</w:t>
      </w:r>
      <w:r w:rsidR="00DB05E1">
        <w:t>%</w:t>
      </w:r>
      <w:r>
        <w:t xml:space="preserve"> below the Optimal Target of </w:t>
      </w:r>
      <w:r w:rsidR="00A77A9D">
        <w:t>71.5</w:t>
      </w:r>
      <w:r>
        <w:t xml:space="preserve"> t. </w:t>
      </w:r>
      <w:r w:rsidR="00A76F8A">
        <w:t xml:space="preserve">In 2023/24, standardised </w:t>
      </w:r>
      <w:r>
        <w:t xml:space="preserve">CPUE </w:t>
      </w:r>
      <w:r w:rsidR="00A76F8A">
        <w:t>was 18% lower than 2003/04 and 27% lower than</w:t>
      </w:r>
      <w:r w:rsidR="006C0464">
        <w:t xml:space="preserve"> 2009/10. </w:t>
      </w:r>
    </w:p>
    <w:p w14:paraId="644DE6C6" w14:textId="4264A635" w:rsidR="007631C7" w:rsidRDefault="007631C7" w:rsidP="007631C7">
      <w:pPr>
        <w:pStyle w:val="TableCaption"/>
      </w:pPr>
      <w:bookmarkStart w:id="109" w:name="_Toc182219870"/>
      <w:r>
        <w:t xml:space="preserve">Table </w:t>
      </w:r>
      <w:r w:rsidR="001B2FF0">
        <w:t>10</w:t>
      </w:r>
      <w:r>
        <w:t>: Summary of Catch, Optimum Targets and Performance Indicators for the Marlo SMU.</w:t>
      </w:r>
      <w:bookmarkEnd w:id="109"/>
      <w:r>
        <w:t xml:space="preserve"> </w:t>
      </w:r>
    </w:p>
    <w:tbl>
      <w:tblPr>
        <w:tblW w:w="9359" w:type="dxa"/>
        <w:jc w:val="center"/>
        <w:tblLayout w:type="fixed"/>
        <w:tblLook w:val="0420" w:firstRow="1" w:lastRow="0" w:firstColumn="0" w:lastColumn="0" w:noHBand="0" w:noVBand="1"/>
      </w:tblPr>
      <w:tblGrid>
        <w:gridCol w:w="703"/>
        <w:gridCol w:w="702"/>
        <w:gridCol w:w="739"/>
        <w:gridCol w:w="844"/>
        <w:gridCol w:w="845"/>
        <w:gridCol w:w="874"/>
        <w:gridCol w:w="854"/>
        <w:gridCol w:w="982"/>
        <w:gridCol w:w="859"/>
        <w:gridCol w:w="982"/>
        <w:gridCol w:w="975"/>
      </w:tblGrid>
      <w:tr w:rsidR="00906401" w14:paraId="23E49ED2" w14:textId="77777777" w:rsidTr="00C17238">
        <w:trPr>
          <w:cantSplit/>
          <w:tblHeader/>
          <w:jc w:val="center"/>
        </w:trPr>
        <w:tc>
          <w:tcPr>
            <w:tcW w:w="3833"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9B289A" w14:textId="77777777" w:rsidR="00906401" w:rsidRDefault="00906401" w:rsidP="00906401">
            <w:pPr>
              <w:spacing w:before="100" w:after="100"/>
              <w:ind w:left="100" w:right="100"/>
              <w:jc w:val="center"/>
            </w:pPr>
            <w:r>
              <w:rPr>
                <w:rFonts w:ascii="Helvetica" w:eastAsia="Helvetica" w:hAnsi="Helvetica" w:cs="Helvetica"/>
                <w:color w:val="000000"/>
                <w:sz w:val="18"/>
                <w:szCs w:val="18"/>
              </w:rPr>
              <w:t>Catch</w:t>
            </w:r>
          </w:p>
        </w:tc>
        <w:tc>
          <w:tcPr>
            <w:tcW w:w="27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715A4A" w14:textId="57CB14F8" w:rsidR="00906401" w:rsidRDefault="00906401" w:rsidP="00906401">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t xml:space="preserve">CPUE 2003/04 – </w:t>
            </w:r>
            <w:r w:rsidR="004131B0">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2003-2023</w:t>
            </w:r>
          </w:p>
        </w:tc>
        <w:tc>
          <w:tcPr>
            <w:tcW w:w="281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A18127" w14:textId="2FF91986" w:rsidR="00906401" w:rsidRDefault="00906401" w:rsidP="00906401">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 xml:space="preserve">CPUE 2009/10 – </w:t>
            </w:r>
            <w:r w:rsidR="004131B0">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2009-2023</w:t>
            </w:r>
          </w:p>
        </w:tc>
      </w:tr>
      <w:tr w:rsidR="007631C7" w14:paraId="53AD312A" w14:textId="77777777" w:rsidTr="00C17238">
        <w:trPr>
          <w:cantSplit/>
          <w:trHeight w:val="219"/>
          <w:tblHeader/>
          <w:jc w:val="center"/>
        </w:trPr>
        <w:tc>
          <w:tcPr>
            <w:tcW w:w="1405" w:type="dxa"/>
            <w:gridSpan w:val="2"/>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4AD961D" w14:textId="34CA1E32" w:rsidR="007631C7" w:rsidRDefault="00696A8A" w:rsidP="00CB6CDA">
            <w:pPr>
              <w:spacing w:before="100" w:after="100"/>
              <w:ind w:left="100" w:right="100"/>
              <w:jc w:val="center"/>
            </w:pPr>
            <w:r>
              <w:rPr>
                <w:rFonts w:ascii="Helvetica" w:eastAsia="Helvetica" w:hAnsi="Helvetica" w:cs="Helvetica"/>
                <w:color w:val="000000"/>
                <w:sz w:val="18"/>
                <w:szCs w:val="18"/>
              </w:rPr>
              <w:t>2023/24</w:t>
            </w:r>
          </w:p>
        </w:tc>
        <w:tc>
          <w:tcPr>
            <w:tcW w:w="242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64965F" w14:textId="77777777" w:rsidR="007631C7" w:rsidRDefault="007631C7" w:rsidP="00CB6CDA">
            <w:pPr>
              <w:spacing w:before="100" w:after="100"/>
              <w:ind w:left="100" w:right="100"/>
              <w:jc w:val="center"/>
            </w:pPr>
            <w:r>
              <w:rPr>
                <w:rFonts w:ascii="Helvetica" w:eastAsia="Helvetica" w:hAnsi="Helvetica" w:cs="Helvetica"/>
                <w:color w:val="000000"/>
                <w:sz w:val="18"/>
                <w:szCs w:val="18"/>
              </w:rPr>
              <w:t>OT + carryover* (t)</w:t>
            </w:r>
          </w:p>
        </w:tc>
        <w:tc>
          <w:tcPr>
            <w:tcW w:w="874"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7E9B16C" w14:textId="77777777" w:rsidR="007631C7" w:rsidRDefault="007631C7" w:rsidP="00CB6CDA">
            <w:pPr>
              <w:spacing w:before="100" w:after="100"/>
              <w:ind w:left="100" w:right="100"/>
              <w:jc w:val="center"/>
            </w:pPr>
            <w:r>
              <w:rPr>
                <w:rFonts w:ascii="Helvetica" w:eastAsia="Helvetica" w:hAnsi="Helvetica" w:cs="Helvetica"/>
                <w:color w:val="000000"/>
                <w:sz w:val="18"/>
                <w:szCs w:val="18"/>
              </w:rPr>
              <w:t>CPUE</w:t>
            </w:r>
          </w:p>
        </w:tc>
        <w:tc>
          <w:tcPr>
            <w:tcW w:w="854"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6B486030" w14:textId="77777777" w:rsidR="007631C7" w:rsidRDefault="007631C7" w:rsidP="00CB6CDA">
            <w:pPr>
              <w:spacing w:before="100" w:after="100"/>
              <w:ind w:left="100" w:right="100"/>
              <w:jc w:val="center"/>
            </w:pPr>
            <w:r>
              <w:rPr>
                <w:rFonts w:ascii="Helvetica" w:eastAsia="Helvetica" w:hAnsi="Helvetica" w:cs="Helvetica"/>
                <w:color w:val="000000"/>
                <w:sz w:val="18"/>
                <w:szCs w:val="18"/>
              </w:rPr>
              <w:t>Pre-recruits</w:t>
            </w:r>
          </w:p>
        </w:tc>
        <w:tc>
          <w:tcPr>
            <w:tcW w:w="98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29EF71D" w14:textId="77777777" w:rsidR="007631C7" w:rsidRDefault="007631C7" w:rsidP="00CB6CDA">
            <w:pPr>
              <w:spacing w:before="100" w:after="100"/>
              <w:ind w:left="100" w:right="100"/>
              <w:jc w:val="center"/>
            </w:pPr>
            <w:r>
              <w:rPr>
                <w:rFonts w:ascii="Helvetica" w:eastAsia="Helvetica" w:hAnsi="Helvetica" w:cs="Helvetica"/>
                <w:color w:val="000000"/>
                <w:sz w:val="18"/>
                <w:szCs w:val="18"/>
              </w:rPr>
              <w:t>Recruits</w:t>
            </w:r>
          </w:p>
        </w:tc>
        <w:tc>
          <w:tcPr>
            <w:tcW w:w="859"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77B001B" w14:textId="77777777" w:rsidR="007631C7" w:rsidRDefault="007631C7" w:rsidP="00CB6CDA">
            <w:pPr>
              <w:spacing w:before="100" w:after="100"/>
              <w:ind w:left="100" w:right="100"/>
              <w:jc w:val="center"/>
            </w:pPr>
            <w:r>
              <w:rPr>
                <w:rFonts w:ascii="Helvetica" w:eastAsia="Helvetica" w:hAnsi="Helvetica" w:cs="Helvetica"/>
                <w:color w:val="000000"/>
                <w:sz w:val="18"/>
                <w:szCs w:val="18"/>
              </w:rPr>
              <w:t>CPUE</w:t>
            </w:r>
          </w:p>
        </w:tc>
        <w:tc>
          <w:tcPr>
            <w:tcW w:w="98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4BFED38" w14:textId="77777777" w:rsidR="007631C7" w:rsidRDefault="007631C7" w:rsidP="00CB6CDA">
            <w:pPr>
              <w:spacing w:before="100" w:after="100"/>
              <w:ind w:left="100" w:right="100"/>
              <w:jc w:val="center"/>
            </w:pPr>
            <w:r>
              <w:rPr>
                <w:rFonts w:ascii="Helvetica" w:eastAsia="Helvetica" w:hAnsi="Helvetica" w:cs="Helvetica"/>
                <w:color w:val="000000"/>
                <w:sz w:val="18"/>
                <w:szCs w:val="18"/>
              </w:rPr>
              <w:t>Pre-recruits</w:t>
            </w:r>
          </w:p>
        </w:tc>
        <w:tc>
          <w:tcPr>
            <w:tcW w:w="975"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1FC35EA" w14:textId="77777777" w:rsidR="007631C7" w:rsidRDefault="007631C7" w:rsidP="00CB6CDA">
            <w:pPr>
              <w:spacing w:before="100" w:after="100"/>
              <w:ind w:left="100" w:right="100"/>
              <w:jc w:val="center"/>
            </w:pPr>
            <w:r>
              <w:rPr>
                <w:rFonts w:ascii="Helvetica" w:eastAsia="Helvetica" w:hAnsi="Helvetica" w:cs="Helvetica"/>
                <w:color w:val="000000"/>
                <w:sz w:val="18"/>
                <w:szCs w:val="18"/>
              </w:rPr>
              <w:t>Recruits</w:t>
            </w:r>
          </w:p>
        </w:tc>
      </w:tr>
      <w:tr w:rsidR="009E6F45" w14:paraId="47F14B6F" w14:textId="77777777" w:rsidTr="00C17238">
        <w:trPr>
          <w:cantSplit/>
          <w:trHeight w:val="218"/>
          <w:tblHeader/>
          <w:jc w:val="center"/>
        </w:trPr>
        <w:tc>
          <w:tcPr>
            <w:tcW w:w="703"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6440C53" w14:textId="77777777" w:rsidR="009E6F45" w:rsidRDefault="009E6F45" w:rsidP="009E6F45">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70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B998D7D" w14:textId="77777777" w:rsidR="009E6F45" w:rsidRDefault="009E6F45" w:rsidP="009E6F45">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3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D5DD3B" w14:textId="0A772D12" w:rsidR="009E6F45" w:rsidRPr="008F4C64"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p>
        </w:tc>
        <w:tc>
          <w:tcPr>
            <w:tcW w:w="84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952522" w14:textId="015819D3" w:rsidR="009E6F45" w:rsidRPr="008F4C64"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p>
        </w:tc>
        <w:tc>
          <w:tcPr>
            <w:tcW w:w="84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BE5733" w14:textId="4EAD4683" w:rsidR="009E6F45" w:rsidRPr="008F4C64"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5</w:t>
            </w:r>
          </w:p>
        </w:tc>
        <w:tc>
          <w:tcPr>
            <w:tcW w:w="874"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024352A"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54"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186CFE"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1A12DA"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59"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F523972"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7294D1"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75"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C3FDEE"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r>
      <w:tr w:rsidR="00A77A9D" w14:paraId="5605FA57" w14:textId="77777777" w:rsidTr="00C17238">
        <w:trPr>
          <w:cantSplit/>
          <w:jc w:val="center"/>
        </w:trPr>
        <w:tc>
          <w:tcPr>
            <w:tcW w:w="703"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E7AF1A" w14:textId="2FB4A7D0" w:rsidR="00A77A9D" w:rsidRPr="00A77A9D" w:rsidRDefault="00A77A9D" w:rsidP="00A77A9D">
            <w:pPr>
              <w:spacing w:before="100" w:after="100"/>
              <w:ind w:left="100" w:right="100"/>
              <w:jc w:val="center"/>
              <w:rPr>
                <w:rFonts w:ascii="Helvetica" w:eastAsia="Helvetica" w:hAnsi="Helvetica" w:cs="Helvetica"/>
                <w:color w:val="000000"/>
                <w:sz w:val="18"/>
                <w:szCs w:val="18"/>
              </w:rPr>
            </w:pPr>
            <w:r w:rsidRPr="00A77A9D">
              <w:rPr>
                <w:rFonts w:ascii="Helvetica" w:eastAsia="Helvetica" w:hAnsi="Helvetica" w:cs="Helvetica"/>
                <w:color w:val="000000"/>
                <w:sz w:val="18"/>
                <w:szCs w:val="18"/>
              </w:rPr>
              <w:t>48.0</w:t>
            </w:r>
          </w:p>
        </w:tc>
        <w:tc>
          <w:tcPr>
            <w:tcW w:w="70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3540C0" w14:textId="327D8E7B" w:rsidR="00A77A9D" w:rsidRPr="00A77A9D" w:rsidRDefault="00A77A9D" w:rsidP="00A77A9D">
            <w:pPr>
              <w:spacing w:before="100" w:after="100"/>
              <w:ind w:left="100" w:right="100"/>
              <w:jc w:val="center"/>
              <w:rPr>
                <w:rFonts w:ascii="Helvetica" w:eastAsia="Helvetica" w:hAnsi="Helvetica" w:cs="Helvetica"/>
                <w:color w:val="000000"/>
                <w:sz w:val="18"/>
                <w:szCs w:val="18"/>
              </w:rPr>
            </w:pPr>
            <w:r w:rsidRPr="00A77A9D">
              <w:rPr>
                <w:rFonts w:ascii="Helvetica" w:eastAsia="Helvetica" w:hAnsi="Helvetica" w:cs="Helvetica"/>
                <w:color w:val="000000"/>
                <w:sz w:val="18"/>
                <w:szCs w:val="18"/>
              </w:rPr>
              <w:t>16.9</w:t>
            </w:r>
          </w:p>
        </w:tc>
        <w:tc>
          <w:tcPr>
            <w:tcW w:w="73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01EA74" w14:textId="2E4A472A" w:rsidR="00A77A9D" w:rsidRDefault="00A77A9D" w:rsidP="00A77A9D">
            <w:pPr>
              <w:spacing w:before="100" w:after="100"/>
              <w:ind w:left="100" w:right="100"/>
              <w:jc w:val="center"/>
            </w:pPr>
            <w:r>
              <w:rPr>
                <w:rFonts w:ascii="Helvetica" w:eastAsia="Helvetica" w:hAnsi="Helvetica" w:cs="Helvetica"/>
                <w:color w:val="000000"/>
                <w:sz w:val="18"/>
                <w:szCs w:val="18"/>
              </w:rPr>
              <w:t>91.0*</w:t>
            </w:r>
          </w:p>
        </w:tc>
        <w:tc>
          <w:tcPr>
            <w:tcW w:w="844" w:type="dxa"/>
            <w:tcBorders>
              <w:left w:val="single" w:sz="8" w:space="0" w:color="000000"/>
              <w:bottom w:val="single" w:sz="8" w:space="0" w:color="000000"/>
              <w:right w:val="single" w:sz="8" w:space="0" w:color="000000"/>
            </w:tcBorders>
            <w:shd w:val="clear" w:color="auto" w:fill="FFFFFF"/>
            <w:vAlign w:val="center"/>
          </w:tcPr>
          <w:p w14:paraId="538C42C6" w14:textId="6C4BEE46" w:rsidR="00A77A9D" w:rsidRDefault="00A77A9D" w:rsidP="00A77A9D">
            <w:pPr>
              <w:spacing w:before="100" w:after="100"/>
              <w:ind w:left="100" w:right="100"/>
              <w:jc w:val="center"/>
            </w:pPr>
            <w:r w:rsidRPr="00A77A9D">
              <w:rPr>
                <w:rFonts w:ascii="Helvetica" w:eastAsia="Helvetica" w:hAnsi="Helvetica" w:cs="Helvetica"/>
                <w:color w:val="000000"/>
                <w:sz w:val="18"/>
                <w:szCs w:val="18"/>
              </w:rPr>
              <w:t>71.5</w:t>
            </w:r>
          </w:p>
        </w:tc>
        <w:tc>
          <w:tcPr>
            <w:tcW w:w="845" w:type="dxa"/>
            <w:tcBorders>
              <w:left w:val="single" w:sz="8" w:space="0" w:color="000000"/>
              <w:bottom w:val="single" w:sz="8" w:space="0" w:color="000000"/>
              <w:right w:val="single" w:sz="8" w:space="0" w:color="000000"/>
            </w:tcBorders>
            <w:shd w:val="clear" w:color="auto" w:fill="FFFFFF"/>
            <w:vAlign w:val="center"/>
          </w:tcPr>
          <w:p w14:paraId="46EA8F94" w14:textId="38260A84" w:rsidR="00A77A9D" w:rsidRDefault="00A76F8A" w:rsidP="00A77A9D">
            <w:pPr>
              <w:spacing w:before="100" w:after="100"/>
              <w:ind w:left="100" w:right="100"/>
              <w:jc w:val="center"/>
            </w:pPr>
            <w:r>
              <w:rPr>
                <w:rFonts w:ascii="Helvetica" w:eastAsia="Helvetica" w:hAnsi="Helvetica" w:cs="Helvetica"/>
                <w:color w:val="000000"/>
                <w:sz w:val="18"/>
                <w:szCs w:val="18"/>
              </w:rPr>
              <w:t>35.8</w:t>
            </w:r>
          </w:p>
        </w:tc>
        <w:tc>
          <w:tcPr>
            <w:tcW w:w="87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92FEF4" w14:textId="595207D3" w:rsidR="00A77A9D" w:rsidRDefault="00FC5E12" w:rsidP="00A77A9D">
            <w:pPr>
              <w:spacing w:before="100" w:after="100"/>
              <w:ind w:left="100" w:right="100"/>
              <w:jc w:val="center"/>
            </w:pPr>
            <w:r>
              <w:rPr>
                <w:rFonts w:ascii="Helvetica" w:eastAsia="Helvetica" w:hAnsi="Helvetica" w:cs="Helvetica"/>
                <w:color w:val="000000"/>
                <w:sz w:val="18"/>
                <w:szCs w:val="18"/>
              </w:rPr>
              <w:t>-18</w:t>
            </w:r>
          </w:p>
        </w:tc>
        <w:tc>
          <w:tcPr>
            <w:tcW w:w="85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4B967B" w14:textId="1BDDBB87" w:rsidR="00A77A9D" w:rsidRDefault="00A77A9D" w:rsidP="00A77A9D">
            <w:pPr>
              <w:spacing w:before="100" w:after="100"/>
              <w:ind w:left="100" w:right="100"/>
              <w:jc w:val="center"/>
            </w:pPr>
            <w:r>
              <w:t>NA</w:t>
            </w:r>
          </w:p>
        </w:tc>
        <w:tc>
          <w:tcPr>
            <w:tcW w:w="98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D8BD3C" w14:textId="246FE696" w:rsidR="00A77A9D" w:rsidRDefault="00A77A9D" w:rsidP="00A77A9D">
            <w:pPr>
              <w:spacing w:before="100" w:after="100"/>
              <w:ind w:left="100" w:right="100"/>
              <w:jc w:val="center"/>
            </w:pPr>
            <w:r>
              <w:t>NA</w:t>
            </w:r>
          </w:p>
        </w:tc>
        <w:tc>
          <w:tcPr>
            <w:tcW w:w="85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8E06464" w14:textId="3B030298" w:rsidR="00A77A9D" w:rsidRDefault="00A77A9D" w:rsidP="00A77A9D">
            <w:pPr>
              <w:spacing w:before="100" w:after="100"/>
              <w:ind w:left="100" w:right="100"/>
              <w:jc w:val="center"/>
            </w:pPr>
            <w:r>
              <w:t>-2</w:t>
            </w:r>
            <w:r w:rsidR="00FC5E12">
              <w:t>7</w:t>
            </w:r>
          </w:p>
        </w:tc>
        <w:tc>
          <w:tcPr>
            <w:tcW w:w="98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3780FA5" w14:textId="73EDD956" w:rsidR="00A77A9D" w:rsidRDefault="00A77A9D" w:rsidP="00A77A9D">
            <w:pPr>
              <w:spacing w:before="100" w:after="100"/>
              <w:ind w:left="100" w:right="100"/>
              <w:jc w:val="center"/>
            </w:pPr>
            <w:r>
              <w:t>NA</w:t>
            </w:r>
          </w:p>
        </w:tc>
        <w:tc>
          <w:tcPr>
            <w:tcW w:w="97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FCF312" w14:textId="06B7B813" w:rsidR="00A77A9D" w:rsidRDefault="00A77A9D" w:rsidP="00A77A9D">
            <w:pPr>
              <w:spacing w:before="100" w:after="100"/>
              <w:ind w:left="100" w:right="100"/>
              <w:jc w:val="center"/>
            </w:pPr>
            <w:r>
              <w:t>NA</w:t>
            </w:r>
          </w:p>
        </w:tc>
      </w:tr>
      <w:tr w:rsidR="00C17238" w14:paraId="6610F28F" w14:textId="77777777" w:rsidTr="00C17238">
        <w:trPr>
          <w:cantSplit/>
          <w:jc w:val="center"/>
        </w:trPr>
        <w:tc>
          <w:tcPr>
            <w:tcW w:w="2144"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A23A01" w14:textId="44EC7858" w:rsidR="00C17238" w:rsidRPr="00C17238" w:rsidRDefault="00C17238" w:rsidP="00E9281F">
            <w:pPr>
              <w:spacing w:before="100" w:after="100"/>
              <w:ind w:left="100" w:right="100"/>
              <w:jc w:val="center"/>
              <w:rPr>
                <w:rFonts w:ascii="Helvetica" w:eastAsia="Helvetica" w:hAnsi="Helvetica" w:cs="Helvetica"/>
                <w:color w:val="000000"/>
                <w:sz w:val="18"/>
                <w:szCs w:val="18"/>
              </w:rPr>
            </w:pPr>
            <w:bookmarkStart w:id="110" w:name="_Hlk149156830"/>
            <w:r>
              <w:rPr>
                <w:rFonts w:ascii="Helvetica" w:eastAsia="Helvetica" w:hAnsi="Helvetica" w:cs="Helvetica"/>
                <w:color w:val="000000"/>
                <w:sz w:val="18"/>
                <w:szCs w:val="18"/>
              </w:rPr>
              <w:t>LML = 125 mm</w:t>
            </w:r>
          </w:p>
        </w:tc>
        <w:tc>
          <w:tcPr>
            <w:tcW w:w="2563"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A97F907" w14:textId="2D82A40F" w:rsidR="00C17238" w:rsidRPr="00C17238" w:rsidRDefault="00C17238" w:rsidP="00E9281F">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sidR="00A76F8A">
              <w:rPr>
                <w:rFonts w:ascii="Helvetica" w:eastAsia="Helvetica" w:hAnsi="Helvetica" w:cs="Helvetica"/>
                <w:color w:val="000000"/>
                <w:sz w:val="18"/>
                <w:szCs w:val="18"/>
              </w:rPr>
              <w:t>370</w:t>
            </w:r>
            <w:r w:rsidRPr="00C17238">
              <w:rPr>
                <w:rFonts w:ascii="Helvetica" w:eastAsia="Helvetica" w:hAnsi="Helvetica" w:cs="Helvetica"/>
                <w:color w:val="000000"/>
                <w:sz w:val="18"/>
                <w:szCs w:val="18"/>
              </w:rPr>
              <w:t xml:space="preserve"> kg</w:t>
            </w:r>
          </w:p>
        </w:tc>
        <w:tc>
          <w:tcPr>
            <w:tcW w:w="2695" w:type="dxa"/>
            <w:gridSpan w:val="3"/>
            <w:tcBorders>
              <w:left w:val="single" w:sz="8" w:space="0" w:color="000000"/>
              <w:bottom w:val="single" w:sz="8" w:space="0" w:color="000000"/>
              <w:right w:val="single" w:sz="8" w:space="0" w:color="000000"/>
            </w:tcBorders>
            <w:shd w:val="clear" w:color="auto" w:fill="FFFFFF"/>
            <w:vAlign w:val="center"/>
          </w:tcPr>
          <w:p w14:paraId="73395203" w14:textId="3E29B20B" w:rsidR="00C17238" w:rsidRPr="00C17238" w:rsidRDefault="00C17238" w:rsidP="00E9281F">
            <w:pPr>
              <w:spacing w:before="100" w:after="100"/>
              <w:ind w:left="100" w:right="100"/>
              <w:jc w:val="center"/>
              <w:rPr>
                <w:rFonts w:ascii="Helvetica" w:eastAsia="Helvetica" w:hAnsi="Helvetica" w:cs="Helvetica"/>
                <w:color w:val="000000"/>
                <w:sz w:val="18"/>
                <w:szCs w:val="18"/>
              </w:rPr>
            </w:pPr>
          </w:p>
        </w:tc>
        <w:tc>
          <w:tcPr>
            <w:tcW w:w="1957"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0C4070" w14:textId="3E6EDD39" w:rsidR="00C17238" w:rsidRPr="00C17238" w:rsidRDefault="00C17238" w:rsidP="00E9281F">
            <w:pPr>
              <w:spacing w:before="100" w:after="100"/>
              <w:ind w:left="100" w:right="100"/>
              <w:jc w:val="center"/>
              <w:rPr>
                <w:rFonts w:ascii="Helvetica" w:eastAsia="Helvetica" w:hAnsi="Helvetica" w:cs="Helvetica"/>
                <w:color w:val="000000"/>
                <w:sz w:val="18"/>
                <w:szCs w:val="18"/>
              </w:rPr>
            </w:pPr>
          </w:p>
        </w:tc>
      </w:tr>
    </w:tbl>
    <w:bookmarkEnd w:id="110"/>
    <w:p w14:paraId="2B42A086" w14:textId="396D7A09" w:rsidR="007631C7" w:rsidRDefault="007631C7" w:rsidP="007631C7">
      <w:r>
        <w:t xml:space="preserve">The Marlo SMU has been a historically important contributor to the Eastern Zone TACC, with an average catch of </w:t>
      </w:r>
      <w:r w:rsidR="00BC1808">
        <w:t>6</w:t>
      </w:r>
      <w:r w:rsidR="00A76F8A">
        <w:t>8</w:t>
      </w:r>
      <w:r w:rsidR="00BC1808">
        <w:t xml:space="preserve"> t since 1979 and 67</w:t>
      </w:r>
      <w:r>
        <w:t xml:space="preserve"> t since 19</w:t>
      </w:r>
      <w:r w:rsidR="00BC1808">
        <w:t>88</w:t>
      </w:r>
      <w:r>
        <w:t xml:space="preserve"> (Figure 1</w:t>
      </w:r>
      <w:r w:rsidR="008C2010">
        <w:t>7</w:t>
      </w:r>
      <w:r>
        <w:t xml:space="preserve">). </w:t>
      </w:r>
      <w:r w:rsidR="00BC1808">
        <w:t xml:space="preserve">Since the introduction of quota, catches </w:t>
      </w:r>
      <w:r>
        <w:t>increased from 199</w:t>
      </w:r>
      <w:r w:rsidR="00BC1808">
        <w:t>0</w:t>
      </w:r>
      <w:r>
        <w:t xml:space="preserve"> to 2005 and from 2005 to 2012 catches averaged 102 t per year, with a peak catch of 109 t taken during 2011. Catch declined steadily thereafter, reaching 47 t in 2016. Following a decrease in LML in 2017, catches returned to around 70 t in 2017 and 2018 before reducing again in 2019. The 202</w:t>
      </w:r>
      <w:r w:rsidR="00936C9B">
        <w:t>0</w:t>
      </w:r>
      <w:r>
        <w:t>/2</w:t>
      </w:r>
      <w:r w:rsidR="00936C9B">
        <w:t>1</w:t>
      </w:r>
      <w:r>
        <w:t xml:space="preserve"> catch of 36 t was the lowest recorded</w:t>
      </w:r>
      <w:r w:rsidR="00936C9B">
        <w:t xml:space="preserve">, with catch increasing to 58.7 t in </w:t>
      </w:r>
      <w:r w:rsidR="00CA27CF">
        <w:t>202</w:t>
      </w:r>
      <w:r w:rsidR="00C66B04">
        <w:t>1</w:t>
      </w:r>
      <w:r w:rsidR="00CA27CF">
        <w:t>/2</w:t>
      </w:r>
      <w:r w:rsidR="00C66B04">
        <w:t xml:space="preserve">2 and 72.6 t in </w:t>
      </w:r>
      <w:r w:rsidR="004131B0">
        <w:t>2023/24</w:t>
      </w:r>
      <w:r w:rsidR="00A76F8A">
        <w:t xml:space="preserve"> before decreasing to 48.0 t in 2023/24</w:t>
      </w:r>
      <w:r>
        <w:t>.</w:t>
      </w:r>
      <w:r w:rsidR="002B4F5B">
        <w:t xml:space="preserve"> Notably, the OT for 2024/25 has been halved to 35.8 t.</w:t>
      </w:r>
    </w:p>
    <w:p w14:paraId="3864E80E" w14:textId="7CC9B48A" w:rsidR="00BC1808" w:rsidRDefault="00BC1808" w:rsidP="007631C7">
      <w:r>
        <w:t>Mean daily catch ranged from 417 to 499 kg/day between 1990 and 2019 before dropping to 26</w:t>
      </w:r>
      <w:r w:rsidR="00981C6B">
        <w:t>9</w:t>
      </w:r>
      <w:r>
        <w:t xml:space="preserve"> kg/day in 2020</w:t>
      </w:r>
      <w:r w:rsidR="00A76F8A">
        <w:t xml:space="preserve">. </w:t>
      </w:r>
      <w:r w:rsidR="00516521">
        <w:t>Mean daily catch has been affected by market forces since 2020</w:t>
      </w:r>
      <w:r>
        <w:t>.</w:t>
      </w:r>
    </w:p>
    <w:p w14:paraId="7BE5FF19" w14:textId="53A29E57" w:rsidR="00EB28E2" w:rsidRDefault="00CD167E" w:rsidP="007631C7">
      <w:r w:rsidRPr="00CD167E">
        <w:rPr>
          <w:noProof/>
        </w:rPr>
        <w:drawing>
          <wp:inline distT="0" distB="0" distL="0" distR="0" wp14:anchorId="20A14E3E" wp14:editId="44FD0F73">
            <wp:extent cx="5731510" cy="3512820"/>
            <wp:effectExtent l="0" t="0" r="2540" b="0"/>
            <wp:docPr id="1072386806" name="Picture 1" descr="A graph of a graph showing the growth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86806" name="Picture 1" descr="A graph of a graph showing the growth of a company&#10;&#10;Description automatically generated with medium confidence"/>
                    <pic:cNvPicPr/>
                  </pic:nvPicPr>
                  <pic:blipFill>
                    <a:blip r:embed="rId37"/>
                    <a:stretch>
                      <a:fillRect/>
                    </a:stretch>
                  </pic:blipFill>
                  <pic:spPr>
                    <a:xfrm>
                      <a:off x="0" y="0"/>
                      <a:ext cx="5731510" cy="3512820"/>
                    </a:xfrm>
                    <a:prstGeom prst="rect">
                      <a:avLst/>
                    </a:prstGeom>
                  </pic:spPr>
                </pic:pic>
              </a:graphicData>
            </a:graphic>
          </wp:inline>
        </w:drawing>
      </w:r>
    </w:p>
    <w:p w14:paraId="73D60EE9" w14:textId="22D14C76" w:rsidR="00EB28E2" w:rsidRDefault="00EB28E2" w:rsidP="00EB28E2">
      <w:pPr>
        <w:pStyle w:val="Caption"/>
      </w:pPr>
      <w:bookmarkStart w:id="111" w:name="_Toc182219818"/>
      <w:r>
        <w:t>Figure 1</w:t>
      </w:r>
      <w:r w:rsidR="008C2010">
        <w:t>7</w:t>
      </w:r>
      <w:r>
        <w:t>: Total catch and mean daily catch for the Marlo SMU from 1979 to 202</w:t>
      </w:r>
      <w:r w:rsidR="00FC5E12">
        <w:t>3</w:t>
      </w:r>
      <w:r>
        <w:t>.</w:t>
      </w:r>
      <w:bookmarkEnd w:id="111"/>
      <w:r>
        <w:t xml:space="preserve"> </w:t>
      </w:r>
    </w:p>
    <w:p w14:paraId="36150FF1" w14:textId="7F29FC0C" w:rsidR="007631C7" w:rsidRDefault="007631C7" w:rsidP="007631C7">
      <w:r>
        <w:t xml:space="preserve">Nominal CPUE generally increased from 1992 to 2011, reaching a peak of 131 kg/hr </w:t>
      </w:r>
      <w:r w:rsidR="00C66B04">
        <w:t xml:space="preserve">before declining to 100 kg/h in 2016 </w:t>
      </w:r>
      <w:r w:rsidR="00C16051">
        <w:t xml:space="preserve">and increasing again until 2018 </w:t>
      </w:r>
      <w:r>
        <w:t>(Figure 1</w:t>
      </w:r>
      <w:r w:rsidR="008C2010">
        <w:t>8</w:t>
      </w:r>
      <w:r>
        <w:t xml:space="preserve">). </w:t>
      </w:r>
      <w:r w:rsidR="00C66B04">
        <w:t xml:space="preserve">Nominal </w:t>
      </w:r>
      <w:r>
        <w:t xml:space="preserve">CPUE </w:t>
      </w:r>
      <w:r w:rsidR="00C66B04">
        <w:t xml:space="preserve">has </w:t>
      </w:r>
      <w:r w:rsidR="00C16051">
        <w:t xml:space="preserve">declined substantially thereafter, decreasing by 28% in the last 5 years. </w:t>
      </w:r>
      <w:bookmarkStart w:id="112" w:name="_Hlk149061257"/>
      <w:r w:rsidR="00C66B04">
        <w:t>Standardised CPUE has followed the nominal trends</w:t>
      </w:r>
      <w:r w:rsidR="00C16051">
        <w:t xml:space="preserve"> since 2011</w:t>
      </w:r>
      <w:r w:rsidR="00C66B04">
        <w:t>.</w:t>
      </w:r>
      <w:bookmarkEnd w:id="112"/>
      <w:r w:rsidR="004B288F">
        <w:t xml:space="preserve"> </w:t>
      </w:r>
    </w:p>
    <w:p w14:paraId="61117388" w14:textId="5EB9F1FE" w:rsidR="007631C7" w:rsidRDefault="00543BBE" w:rsidP="007631C7">
      <w:r>
        <w:rPr>
          <w:noProof/>
        </w:rPr>
        <w:drawing>
          <wp:inline distT="0" distB="0" distL="0" distR="0" wp14:anchorId="1E858A99" wp14:editId="0422C396">
            <wp:extent cx="5727700" cy="3579495"/>
            <wp:effectExtent l="0" t="0" r="6350" b="1905"/>
            <wp:docPr id="90" name="Picture" descr="Figure 18: Marlo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90" name="Picture" descr="Figure 18: Marlo SMU catch and CPUE (nominal and standardised) from 1992/1993 – 2021/22. Catch = bars, nominal CPUE = grey series (+/- SE), standardised series = black. Numbers in bars indicate changes to LMLs. MPs = introduction of Marine Parks."/>
                    <pic:cNvPicPr/>
                  </pic:nvPicPr>
                  <pic:blipFill>
                    <a:blip r:embed="rId38"/>
                    <a:stretch>
                      <a:fillRect/>
                    </a:stretch>
                  </pic:blipFill>
                  <pic:spPr bwMode="auto">
                    <a:xfrm>
                      <a:off x="0" y="0"/>
                      <a:ext cx="5727700" cy="3579495"/>
                    </a:xfrm>
                    <a:prstGeom prst="rect">
                      <a:avLst/>
                    </a:prstGeom>
                    <a:noFill/>
                    <a:ln w="9525">
                      <a:noFill/>
                      <a:headEnd/>
                      <a:tailEnd/>
                    </a:ln>
                  </pic:spPr>
                </pic:pic>
              </a:graphicData>
            </a:graphic>
          </wp:inline>
        </w:drawing>
      </w:r>
    </w:p>
    <w:p w14:paraId="758A0038" w14:textId="661998B5" w:rsidR="007631C7" w:rsidRDefault="007631C7" w:rsidP="005C49F6">
      <w:pPr>
        <w:pStyle w:val="Caption"/>
      </w:pPr>
      <w:bookmarkStart w:id="113" w:name="_Toc182219819"/>
      <w:r>
        <w:t>Figure 1</w:t>
      </w:r>
      <w:r w:rsidR="008C2010">
        <w:t>8</w:t>
      </w:r>
      <w:r>
        <w:t xml:space="preserve">: Marlo </w:t>
      </w:r>
      <w:r w:rsidR="00F568E7">
        <w:t xml:space="preserve">SMU catch, and CPUE (nominal and standardised) </w:t>
      </w:r>
      <w:r w:rsidR="00954C6A">
        <w:t>from 1992/93 – 2023/24</w:t>
      </w:r>
      <w:r w:rsidR="00F568E7">
        <w:t xml:space="preserve">.  </w:t>
      </w:r>
      <w:r w:rsidR="00F568E7" w:rsidRPr="009D6FAB">
        <w:t>Catch = bars, nominal CPUE = grey series (+/- SE), standardised series = black. Numbers in bars indicate changes to LMLs. MPs = introduction of Marine Parks.</w:t>
      </w:r>
      <w:bookmarkEnd w:id="113"/>
    </w:p>
    <w:p w14:paraId="496CA85E" w14:textId="0EC432C6" w:rsidR="007631C7" w:rsidRDefault="007631C7" w:rsidP="007631C7">
      <w:pPr>
        <w:pStyle w:val="TableCaption"/>
      </w:pPr>
      <w:bookmarkStart w:id="114" w:name="_Toc182219871"/>
      <w:r>
        <w:t xml:space="preserve">Table </w:t>
      </w:r>
      <w:r w:rsidR="001B2FF0">
        <w:t>11</w:t>
      </w:r>
      <w:r>
        <w:t xml:space="preserve">: Catches by reefcode for the Marlo </w:t>
      </w:r>
      <w:r w:rsidR="000C4999">
        <w:t>SMU from 2018/19 to 2023/24, the five-year average catch from 2018/19 to 2022/23, and the OT for</w:t>
      </w:r>
      <w:r>
        <w:t xml:space="preserve"> </w:t>
      </w:r>
      <w:r w:rsidR="004131B0">
        <w:t>2023/24</w:t>
      </w:r>
      <w:r>
        <w:t>.</w:t>
      </w:r>
      <w:bookmarkEnd w:id="114"/>
    </w:p>
    <w:p w14:paraId="1482C626" w14:textId="4E4401D8" w:rsidR="00A205DF" w:rsidRPr="00A205DF" w:rsidRDefault="00A80AE5" w:rsidP="00185074">
      <w:r w:rsidRPr="00A80AE5">
        <w:rPr>
          <w:noProof/>
        </w:rPr>
        <w:drawing>
          <wp:inline distT="0" distB="0" distL="0" distR="0" wp14:anchorId="22079BFB" wp14:editId="65E23C3E">
            <wp:extent cx="5731510" cy="1830070"/>
            <wp:effectExtent l="0" t="0" r="2540" b="0"/>
            <wp:docPr id="1280159940"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9940" name="Picture 1" descr="A table with numbers and numbers&#10;&#10;Description automatically generated"/>
                    <pic:cNvPicPr/>
                  </pic:nvPicPr>
                  <pic:blipFill>
                    <a:blip r:embed="rId39"/>
                    <a:stretch>
                      <a:fillRect/>
                    </a:stretch>
                  </pic:blipFill>
                  <pic:spPr>
                    <a:xfrm>
                      <a:off x="0" y="0"/>
                      <a:ext cx="5731510" cy="1830070"/>
                    </a:xfrm>
                    <a:prstGeom prst="rect">
                      <a:avLst/>
                    </a:prstGeom>
                  </pic:spPr>
                </pic:pic>
              </a:graphicData>
            </a:graphic>
          </wp:inline>
        </w:drawing>
      </w:r>
    </w:p>
    <w:p w14:paraId="27973010" w14:textId="20C9A033" w:rsidR="007631C7" w:rsidRDefault="007631C7" w:rsidP="007631C7">
      <w:r>
        <w:t xml:space="preserve">The Marlo SMU comprises ten reefcodes however only six reefcodes contribute meaningful annual catches (Table </w:t>
      </w:r>
      <w:r w:rsidR="001B2FF0">
        <w:t>11</w:t>
      </w:r>
      <w:r>
        <w:t xml:space="preserve">). </w:t>
      </w:r>
      <w:r w:rsidR="002731F0">
        <w:t>T</w:t>
      </w:r>
      <w:r>
        <w:t xml:space="preserve">he </w:t>
      </w:r>
      <w:r w:rsidR="008A46CD">
        <w:t xml:space="preserve">overall </w:t>
      </w:r>
      <w:r>
        <w:t xml:space="preserve">Marlo SMU catch was </w:t>
      </w:r>
      <w:r w:rsidR="002731F0">
        <w:t xml:space="preserve">well below </w:t>
      </w:r>
      <w:r>
        <w:t xml:space="preserve">the OT, </w:t>
      </w:r>
      <w:r w:rsidR="002731F0">
        <w:t xml:space="preserve">and this was reflected at </w:t>
      </w:r>
      <w:r w:rsidR="008A46CD">
        <w:t xml:space="preserve">all </w:t>
      </w:r>
      <w:r w:rsidR="002731F0">
        <w:t>reefcode</w:t>
      </w:r>
      <w:r w:rsidR="008A46CD">
        <w:t>s</w:t>
      </w:r>
      <w:r w:rsidR="002731F0">
        <w:t xml:space="preserve"> </w:t>
      </w:r>
      <w:r w:rsidR="008A46CD">
        <w:t xml:space="preserve">except Cape Conron and Point Ricardo. Catches were particularly low at East Cape (50% of the OT), Yeerung Reef (62% below the OT) and Frenches (85% below the OT). </w:t>
      </w:r>
    </w:p>
    <w:p w14:paraId="324C0399" w14:textId="3BF7E28F" w:rsidR="007631C7" w:rsidRDefault="002E3E94" w:rsidP="007631C7">
      <w:r>
        <w:t xml:space="preserve">The </w:t>
      </w:r>
      <w:r w:rsidR="00C16051">
        <w:t xml:space="preserve">FIS </w:t>
      </w:r>
      <w:r>
        <w:t xml:space="preserve">trends from the “all sites” data series (grey dashed) are difficult to interpret because of changes in sites over time. </w:t>
      </w:r>
      <w:r w:rsidR="00945ECB">
        <w:t xml:space="preserve">Standardised abundance from the four Top 15 sites declined substantially from 2003 to 2006 and have been generally stable thereafter. </w:t>
      </w:r>
    </w:p>
    <w:p w14:paraId="2932D3A2" w14:textId="13D66F80" w:rsidR="007631C7" w:rsidRDefault="00167FCA" w:rsidP="007631C7">
      <w:r w:rsidRPr="00167FCA">
        <w:rPr>
          <w:noProof/>
        </w:rPr>
        <w:drawing>
          <wp:inline distT="0" distB="0" distL="0" distR="0" wp14:anchorId="50A2C6BC" wp14:editId="3067A94B">
            <wp:extent cx="5730240" cy="3581400"/>
            <wp:effectExtent l="0" t="0" r="3810" b="0"/>
            <wp:docPr id="139180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3581400"/>
                    </a:xfrm>
                    <a:prstGeom prst="rect">
                      <a:avLst/>
                    </a:prstGeom>
                    <a:noFill/>
                    <a:ln>
                      <a:noFill/>
                    </a:ln>
                  </pic:spPr>
                </pic:pic>
              </a:graphicData>
            </a:graphic>
          </wp:inline>
        </w:drawing>
      </w:r>
    </w:p>
    <w:p w14:paraId="1DEDB988" w14:textId="638FB09B" w:rsidR="007631C7" w:rsidRDefault="007631C7" w:rsidP="005C49F6">
      <w:pPr>
        <w:pStyle w:val="Caption"/>
      </w:pPr>
      <w:bookmarkStart w:id="115" w:name="_Toc182219820"/>
      <w:r>
        <w:t>Figure 1</w:t>
      </w:r>
      <w:r w:rsidR="008C2010">
        <w:t>9</w:t>
      </w:r>
      <w:r>
        <w:t xml:space="preserve">: Recruit </w:t>
      </w:r>
      <w:r w:rsidR="00EC3F82">
        <w:t xml:space="preserve">abundance and catch from 1992/93 – 2022/23 for the Marlo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EC3F82">
        <w:t>four</w:t>
      </w:r>
      <w:r w:rsidR="00EC3F82" w:rsidRPr="005263C9">
        <w:t xml:space="preserve"> </w:t>
      </w:r>
      <w:r w:rsidR="00EC3F82">
        <w:t xml:space="preserve">Top 15 </w:t>
      </w:r>
      <w:r w:rsidR="00EC3F82" w:rsidRPr="005263C9">
        <w:t xml:space="preserve">sites located within the </w:t>
      </w:r>
      <w:r w:rsidR="00EC3F82">
        <w:t xml:space="preserve">Marlo </w:t>
      </w:r>
      <w:r w:rsidR="00EC3F82" w:rsidRPr="005263C9">
        <w:t>SMU</w:t>
      </w:r>
      <w:r w:rsidR="00EC3F82">
        <w:t>.</w:t>
      </w:r>
      <w:bookmarkEnd w:id="115"/>
    </w:p>
    <w:p w14:paraId="43F35B6A" w14:textId="7496A7E0" w:rsidR="007631C7" w:rsidRDefault="00945ECB" w:rsidP="007631C7">
      <w:r>
        <w:t xml:space="preserve">The standardised abundance of pre-recruits at the four Top 15 sites has been highly variable since 2003. The standardised abundance in 2023 was around 15 abalone per transect, which was above the long-term average of 12 abalone per transect. </w:t>
      </w:r>
    </w:p>
    <w:p w14:paraId="6A06D682" w14:textId="39A937D9" w:rsidR="007631C7" w:rsidRDefault="00167FCA" w:rsidP="007631C7">
      <w:r w:rsidRPr="00167FCA">
        <w:rPr>
          <w:noProof/>
        </w:rPr>
        <w:drawing>
          <wp:inline distT="0" distB="0" distL="0" distR="0" wp14:anchorId="38050BCC" wp14:editId="20C5028C">
            <wp:extent cx="5654040" cy="3533775"/>
            <wp:effectExtent l="0" t="0" r="3810" b="9525"/>
            <wp:docPr id="1576343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6576" cy="3535360"/>
                    </a:xfrm>
                    <a:prstGeom prst="rect">
                      <a:avLst/>
                    </a:prstGeom>
                    <a:noFill/>
                    <a:ln>
                      <a:noFill/>
                    </a:ln>
                  </pic:spPr>
                </pic:pic>
              </a:graphicData>
            </a:graphic>
          </wp:inline>
        </w:drawing>
      </w:r>
    </w:p>
    <w:p w14:paraId="236033BD" w14:textId="6125CC95" w:rsidR="007631C7" w:rsidRDefault="007631C7" w:rsidP="005C49F6">
      <w:pPr>
        <w:pStyle w:val="Caption"/>
      </w:pPr>
      <w:bookmarkStart w:id="116" w:name="_Toc182219821"/>
      <w:r>
        <w:t xml:space="preserve">Figure </w:t>
      </w:r>
      <w:r w:rsidR="008C2010">
        <w:t>20</w:t>
      </w:r>
      <w:r>
        <w:t xml:space="preserve">: Pre-recruit </w:t>
      </w:r>
      <w:r w:rsidR="00EC3F82">
        <w:t xml:space="preserve">abundance and catch from 1992/93 – 2022/23 for the Marlo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EC3F82">
        <w:t>four</w:t>
      </w:r>
      <w:r w:rsidR="00EC3F82" w:rsidRPr="005263C9">
        <w:t xml:space="preserve"> </w:t>
      </w:r>
      <w:r w:rsidR="00EC3F82">
        <w:t xml:space="preserve">Top 15 </w:t>
      </w:r>
      <w:r w:rsidR="00EC3F82" w:rsidRPr="005263C9">
        <w:t xml:space="preserve">sites located within the </w:t>
      </w:r>
      <w:r w:rsidR="00EC3F82">
        <w:t xml:space="preserve">Marlo </w:t>
      </w:r>
      <w:r w:rsidR="00EC3F82" w:rsidRPr="005263C9">
        <w:t>SMU</w:t>
      </w:r>
      <w:r w:rsidR="00EC3F82">
        <w:t>.</w:t>
      </w:r>
      <w:bookmarkEnd w:id="116"/>
    </w:p>
    <w:p w14:paraId="2C0E4289" w14:textId="43E0B219" w:rsidR="009D38A4" w:rsidRDefault="004C4A6C" w:rsidP="00E502D3">
      <w:r w:rsidRPr="00C20351">
        <w:rPr>
          <w:i/>
          <w:iCs/>
        </w:rPr>
        <w:t>FIS length frequency data</w:t>
      </w:r>
    </w:p>
    <w:p w14:paraId="36EE7B57" w14:textId="558322DB" w:rsidR="007631C7" w:rsidRDefault="007631C7" w:rsidP="00B352BA">
      <w:r>
        <w:t>From 2005 to 2007, the Marlo SMU surveyed population contained a high proportion of large abalone, with mean size ranging from 120 to 122 mm, modal size of 125-129 mm and a proportion above the LML of 61 to 64%</w:t>
      </w:r>
      <w:r w:rsidR="00BD4E61">
        <w:t xml:space="preserve"> (Appendix 4)</w:t>
      </w:r>
      <w:r>
        <w:t>. While densities remained high until 2012, mean size declined (115 to 119 mm) and the proportion above the LML also decreased (range 50 to 55%). Since 2013 total abundance has declined, mean size has ranged from 115 to 119 mm, modal size has been 120-124 mm or below in all years and the proportion above the LML has ranged from 45 to 57%. While there appeared to be a relatively high proportion of abalone &lt;70 mm in 2019, this did not appear to result in a distinct cohort in 2020 reflective of a strong recruitment pulse nor was there a substantial increase in pre-recruit abundance.</w:t>
      </w:r>
    </w:p>
    <w:p w14:paraId="35D519E5" w14:textId="001E050B" w:rsidR="00E502D3" w:rsidRDefault="004C4A6C">
      <w:pPr>
        <w:spacing w:before="0" w:after="160" w:line="259" w:lineRule="auto"/>
      </w:pPr>
      <w:r>
        <w:rPr>
          <w:i/>
          <w:iCs/>
        </w:rPr>
        <w:t xml:space="preserve">Commercial </w:t>
      </w:r>
      <w:r w:rsidRPr="00C20351">
        <w:rPr>
          <w:i/>
          <w:iCs/>
        </w:rPr>
        <w:t>length frequency data</w:t>
      </w:r>
    </w:p>
    <w:p w14:paraId="7FC59BBC" w14:textId="7521ED25" w:rsidR="007631C7" w:rsidRDefault="00E502D3" w:rsidP="007631C7">
      <w:r>
        <w:t xml:space="preserve">In 2010/11 and 2011/12, the size structure of the commercial catch primarily comprised abalone in the 125-129 </w:t>
      </w:r>
      <w:r w:rsidR="0018192F">
        <w:t xml:space="preserve">mm </w:t>
      </w:r>
      <w:r>
        <w:t xml:space="preserve">and 130-134 </w:t>
      </w:r>
      <w:r w:rsidR="0018192F">
        <w:t xml:space="preserve">mm </w:t>
      </w:r>
      <w:r>
        <w:t>size classes, well above the size limit of 120 mm</w:t>
      </w:r>
      <w:r w:rsidR="00BD4E61">
        <w:t xml:space="preserve"> (Appendix 5)</w:t>
      </w:r>
      <w:r>
        <w:t>. However, in 2017/18 and 2018/19, a much higher proportion of abalone sampled were in the 120-124 mm size class, immediately above the LML, resulting in a decline in the mean size to 131 and 129 mm, respectively. It is not clear whether these trends were affected by changes in size limits in recent years, or whether this pattern reflects more knife-edge selection. It should be noted that the sample sizes were smaller from these years and higher numbers of shells sampled would increase the certainty in this measure in the future. No data are available from 2018/19.</w:t>
      </w:r>
    </w:p>
    <w:p w14:paraId="0DCDF8A0" w14:textId="22DD0A7F" w:rsidR="007631C7" w:rsidRDefault="007631C7" w:rsidP="007631C7">
      <w:r>
        <w:rPr>
          <w:i/>
          <w:iCs/>
        </w:rPr>
        <w:t>Summary</w:t>
      </w:r>
    </w:p>
    <w:p w14:paraId="31C7D69C" w14:textId="21064094" w:rsidR="007631C7" w:rsidRDefault="007631C7" w:rsidP="007631C7">
      <w:r>
        <w:t>The Marlo SMU is an important contributor to the Eastern Zone TACC</w:t>
      </w:r>
      <w:r w:rsidR="00B12EBF">
        <w:t xml:space="preserve">. </w:t>
      </w:r>
      <w:r w:rsidR="00B352BA">
        <w:t>T</w:t>
      </w:r>
      <w:r w:rsidR="00B12EBF">
        <w:t xml:space="preserve">he </w:t>
      </w:r>
      <w:r w:rsidR="004131B0">
        <w:t>2023/24</w:t>
      </w:r>
      <w:r w:rsidR="00B12EBF">
        <w:t xml:space="preserve"> catch of </w:t>
      </w:r>
      <w:r w:rsidR="001454B7">
        <w:t>48.0</w:t>
      </w:r>
      <w:r w:rsidR="00B12EBF">
        <w:t xml:space="preserve"> t </w:t>
      </w:r>
      <w:r w:rsidR="00B352BA">
        <w:t>was well below the OT</w:t>
      </w:r>
      <w:r w:rsidR="001454B7">
        <w:t>,</w:t>
      </w:r>
      <w:r w:rsidR="001454B7" w:rsidRPr="001454B7">
        <w:t xml:space="preserve"> </w:t>
      </w:r>
      <w:r w:rsidR="001454B7">
        <w:t xml:space="preserve">and this was reflected at all reefcodes except Cape Conron and Point Ricardo. Catches were particularly low at East Cape (50% of the OT), Yeerung Reef (62% below the OT) and Frenches (85% below the OT). </w:t>
      </w:r>
      <w:r w:rsidR="00F25348">
        <w:t xml:space="preserve">The mean daily catch </w:t>
      </w:r>
      <w:r w:rsidR="001454B7">
        <w:t xml:space="preserve">has been low in the last three years but </w:t>
      </w:r>
      <w:r w:rsidR="00516521">
        <w:t>is</w:t>
      </w:r>
      <w:r w:rsidR="001454B7">
        <w:t xml:space="preserve"> affected by market conditions. </w:t>
      </w:r>
      <w:r w:rsidR="004B288F">
        <w:t xml:space="preserve">CPUE </w:t>
      </w:r>
      <w:r w:rsidR="00F25348">
        <w:t xml:space="preserve">has </w:t>
      </w:r>
      <w:r w:rsidR="001454B7">
        <w:t>declined since 2018</w:t>
      </w:r>
      <w:r w:rsidR="004B288F">
        <w:t>.</w:t>
      </w:r>
      <w:r>
        <w:t xml:space="preserve"> </w:t>
      </w:r>
    </w:p>
    <w:p w14:paraId="5A80F942" w14:textId="698C3266" w:rsidR="007631C7" w:rsidRDefault="007631C7" w:rsidP="007631C7">
      <w:r>
        <w:t xml:space="preserve">The abundance of recruits has not varied significantly, and </w:t>
      </w:r>
      <w:r w:rsidR="003564A0">
        <w:t xml:space="preserve">from 2013 to 2021 </w:t>
      </w:r>
      <w:r>
        <w:t>abundances ranged (without trend) from 5.5 to 8.5 abalone per transect. Pre-recruit abundance has fluctuated without any clear trends since 2003.</w:t>
      </w:r>
      <w:r w:rsidR="00F25348">
        <w:t xml:space="preserve"> At the Top 15 sites, recruit abundance was similar to recent years and on a positive note, pre-recruit abundance </w:t>
      </w:r>
      <w:r w:rsidR="001454B7">
        <w:t xml:space="preserve">in 2023 </w:t>
      </w:r>
      <w:r w:rsidR="00F25348">
        <w:t>was the highest observed since 2013.</w:t>
      </w:r>
    </w:p>
    <w:p w14:paraId="20E749F8" w14:textId="4276579C" w:rsidR="007631C7" w:rsidRDefault="007631C7" w:rsidP="007631C7">
      <w:r>
        <w:t xml:space="preserve">Size structure from </w:t>
      </w:r>
      <w:r w:rsidR="00160A32">
        <w:t xml:space="preserve">all </w:t>
      </w:r>
      <w:r>
        <w:t xml:space="preserve">FIS </w:t>
      </w:r>
      <w:r w:rsidR="00160A32">
        <w:t xml:space="preserve">sites </w:t>
      </w:r>
      <w:r>
        <w:t xml:space="preserve">suggested that the mean and modal size of the population, as well as the proportion of abalone above the size limit, has declined since 2010/11. Similarly, commercial catch sampling data </w:t>
      </w:r>
      <w:r w:rsidR="00160A32">
        <w:t xml:space="preserve">up to 2018/19 </w:t>
      </w:r>
      <w:r>
        <w:t>suggest that the mean size of the catch ha</w:t>
      </w:r>
      <w:r w:rsidR="00160A32">
        <w:t>d</w:t>
      </w:r>
      <w:r>
        <w:t xml:space="preserve"> also declined</w:t>
      </w:r>
      <w:r w:rsidR="00160A32">
        <w:t xml:space="preserve"> to that time</w:t>
      </w:r>
      <w:r>
        <w:t xml:space="preserve">, however </w:t>
      </w:r>
      <w:r w:rsidR="00160A32">
        <w:t xml:space="preserve">this was likely affected by changes in LML. </w:t>
      </w:r>
    </w:p>
    <w:p w14:paraId="640D85A2" w14:textId="4DA89949" w:rsidR="007631C7" w:rsidRDefault="007631C7" w:rsidP="007631C7">
      <w:r>
        <w:t>M</w:t>
      </w:r>
      <w:r w:rsidRPr="003762D0">
        <w:t xml:space="preserve">ean CPUE was above the </w:t>
      </w:r>
      <w:r>
        <w:t>Threshold</w:t>
      </w:r>
      <w:r w:rsidRPr="003762D0">
        <w:t xml:space="preserve"> level in the Draft Harvest Strategy and has been above the Threshold level for </w:t>
      </w:r>
      <w:r w:rsidR="00F93092">
        <w:t>3</w:t>
      </w:r>
      <w:r w:rsidR="001454B7">
        <w:t>3</w:t>
      </w:r>
      <w:r w:rsidRPr="003762D0">
        <w:t xml:space="preserve"> consecutive years (</w:t>
      </w:r>
      <w:r w:rsidR="00160A32">
        <w:t>Table 4</w:t>
      </w:r>
      <w:r w:rsidRPr="003762D0">
        <w:t xml:space="preserve">). </w:t>
      </w:r>
      <w:r w:rsidR="00F93092">
        <w:t>T</w:t>
      </w:r>
      <w:r w:rsidRPr="003762D0">
        <w:t xml:space="preserve">he Primary Indicator was </w:t>
      </w:r>
      <w:r w:rsidR="001454B7">
        <w:t xml:space="preserve">Decreasing </w:t>
      </w:r>
      <w:r w:rsidRPr="003762D0">
        <w:t xml:space="preserve">and the Secondary Indicator was </w:t>
      </w:r>
      <w:r w:rsidR="001D044D">
        <w:t>Decreasing</w:t>
      </w:r>
      <w:r w:rsidRPr="003762D0">
        <w:t xml:space="preserve">, which gave a </w:t>
      </w:r>
      <w:r w:rsidR="001D044D">
        <w:t xml:space="preserve">Decreasing </w:t>
      </w:r>
      <w:r w:rsidRPr="003762D0">
        <w:t xml:space="preserve">Primary Category. The Tertiary Indicator was </w:t>
      </w:r>
      <w:r w:rsidR="00F93092">
        <w:t>not available</w:t>
      </w:r>
      <w:r w:rsidR="00464D44">
        <w:t xml:space="preserve"> (Table 5)</w:t>
      </w:r>
      <w:r w:rsidRPr="003762D0">
        <w:t xml:space="preserve">. The </w:t>
      </w:r>
      <w:r w:rsidR="001D044D">
        <w:t xml:space="preserve">base </w:t>
      </w:r>
      <w:r w:rsidRPr="003762D0">
        <w:t xml:space="preserve">OT </w:t>
      </w:r>
      <w:r w:rsidR="001D044D">
        <w:t xml:space="preserve">(i.e. without carryover) </w:t>
      </w:r>
      <w:r w:rsidRPr="003762D0">
        <w:t xml:space="preserve">for </w:t>
      </w:r>
      <w:r w:rsidR="00CA27CF">
        <w:t>202</w:t>
      </w:r>
      <w:r w:rsidR="001454B7">
        <w:t>4</w:t>
      </w:r>
      <w:r w:rsidR="00CA27CF">
        <w:t>/2</w:t>
      </w:r>
      <w:r w:rsidR="001454B7">
        <w:t>5</w:t>
      </w:r>
      <w:r w:rsidRPr="003762D0">
        <w:t xml:space="preserve"> was </w:t>
      </w:r>
      <w:r w:rsidR="001454B7">
        <w:t>35.8</w:t>
      </w:r>
      <w:r w:rsidRPr="003762D0">
        <w:t xml:space="preserve"> t</w:t>
      </w:r>
      <w:r w:rsidR="00F93092">
        <w:t>. T</w:t>
      </w:r>
      <w:r w:rsidRPr="003762D0">
        <w:t xml:space="preserve">he </w:t>
      </w:r>
      <w:r w:rsidR="001D044D">
        <w:t xml:space="preserve">Decreasing </w:t>
      </w:r>
      <w:r w:rsidRPr="003762D0">
        <w:t>result of the Harvest Strategy suggest</w:t>
      </w:r>
      <w:r w:rsidR="00F93092">
        <w:t xml:space="preserve">s that the </w:t>
      </w:r>
      <w:r w:rsidRPr="003762D0">
        <w:t xml:space="preserve">OT </w:t>
      </w:r>
      <w:r w:rsidR="00F93092">
        <w:t xml:space="preserve">should be </w:t>
      </w:r>
      <w:r w:rsidR="001D044D">
        <w:t>reduced</w:t>
      </w:r>
      <w:r w:rsidR="003C44E2">
        <w:t xml:space="preserve">, with a range of </w:t>
      </w:r>
      <w:r w:rsidR="001454B7">
        <w:t>30.4</w:t>
      </w:r>
      <w:r w:rsidR="003C44E2">
        <w:t xml:space="preserve"> to </w:t>
      </w:r>
      <w:r w:rsidR="001454B7">
        <w:t>34.0</w:t>
      </w:r>
      <w:r w:rsidR="003C44E2">
        <w:t xml:space="preserve"> t</w:t>
      </w:r>
      <w:r w:rsidR="00F93092">
        <w:t>.</w:t>
      </w:r>
    </w:p>
    <w:p w14:paraId="75CC902F" w14:textId="16D13BBD" w:rsidR="007631C7" w:rsidRDefault="001454B7" w:rsidP="007631C7">
      <w:r>
        <w:t>Industry strongly suggests that environmental factors have affected both the fishing activity and productivity of the Marlo stocks in recent years.</w:t>
      </w:r>
      <w:r w:rsidR="0099084A">
        <w:t xml:space="preserve"> During this time, average catches have been low in an historic sense, so it is plausible that flood conditions experienced in recent years may have influenced productivity. As a result, CPUE has declined substantially since 2018 and is currently at low historic levels. </w:t>
      </w:r>
      <w:r w:rsidR="0099084A" w:rsidRPr="0099084A">
        <w:rPr>
          <w:b/>
          <w:bCs/>
        </w:rPr>
        <w:t>In response</w:t>
      </w:r>
      <w:r w:rsidR="0099084A">
        <w:t xml:space="preserve"> </w:t>
      </w:r>
      <w:r w:rsidR="0099084A">
        <w:rPr>
          <w:b/>
          <w:bCs/>
        </w:rPr>
        <w:t xml:space="preserve">to poor stock status, the </w:t>
      </w:r>
      <w:r w:rsidR="00ED27EC">
        <w:rPr>
          <w:b/>
          <w:bCs/>
        </w:rPr>
        <w:t>OT</w:t>
      </w:r>
      <w:r w:rsidR="00B24379">
        <w:rPr>
          <w:b/>
          <w:bCs/>
        </w:rPr>
        <w:t xml:space="preserve"> </w:t>
      </w:r>
      <w:r w:rsidR="0099084A">
        <w:rPr>
          <w:b/>
          <w:bCs/>
        </w:rPr>
        <w:t>was halved for 2024/25. More time is required to determine whether these cuts were sufficient to improve stock status. D</w:t>
      </w:r>
      <w:r w:rsidR="00ED27EC" w:rsidRPr="00180C83">
        <w:rPr>
          <w:b/>
          <w:bCs/>
        </w:rPr>
        <w:t xml:space="preserve">iver observations will be </w:t>
      </w:r>
      <w:r w:rsidR="00ED27EC">
        <w:rPr>
          <w:b/>
          <w:bCs/>
        </w:rPr>
        <w:t xml:space="preserve">critical </w:t>
      </w:r>
      <w:r w:rsidR="00ED27EC" w:rsidRPr="00180C83">
        <w:rPr>
          <w:b/>
          <w:bCs/>
        </w:rPr>
        <w:t xml:space="preserve">in determining </w:t>
      </w:r>
      <w:r w:rsidR="0099084A">
        <w:rPr>
          <w:b/>
          <w:bCs/>
        </w:rPr>
        <w:t>whether the reductions were sufficient in the short-term</w:t>
      </w:r>
      <w:r w:rsidR="00ED27EC" w:rsidRPr="00180C83">
        <w:rPr>
          <w:b/>
          <w:bCs/>
        </w:rPr>
        <w:t>.</w:t>
      </w:r>
      <w:r w:rsidR="00AB73A1">
        <w:t xml:space="preserve"> </w:t>
      </w:r>
    </w:p>
    <w:p w14:paraId="1DC01EF3" w14:textId="7245A5AF" w:rsidR="00296656" w:rsidRDefault="00296656" w:rsidP="00A77A9D">
      <w:pPr>
        <w:pStyle w:val="Heading3"/>
      </w:pPr>
      <w:bookmarkStart w:id="117" w:name="_Toc182219915"/>
      <w:bookmarkStart w:id="118" w:name="marlo"/>
      <w:bookmarkEnd w:id="79"/>
      <w:bookmarkEnd w:id="91"/>
      <w:r>
        <w:t>Mallacoota East</w:t>
      </w:r>
      <w:r w:rsidR="00C11118">
        <w:t xml:space="preserve"> (Medium SMU)</w:t>
      </w:r>
      <w:bookmarkEnd w:id="117"/>
    </w:p>
    <w:p w14:paraId="6E700493" w14:textId="2964B436" w:rsidR="00296656" w:rsidRDefault="00296656" w:rsidP="00296656">
      <w:r>
        <w:t>The Mallacoota East SMU contributed 3</w:t>
      </w:r>
      <w:r w:rsidR="00A77A9D">
        <w:t>0.5</w:t>
      </w:r>
      <w:r>
        <w:t xml:space="preserve"> t in </w:t>
      </w:r>
      <w:r w:rsidR="00062AFC">
        <w:t>2023/24</w:t>
      </w:r>
      <w:r>
        <w:t xml:space="preserve"> representing 10.</w:t>
      </w:r>
      <w:r w:rsidR="00A77A9D">
        <w:t>7</w:t>
      </w:r>
      <w:r>
        <w:t>% of the TACC (Table 3) and 10.</w:t>
      </w:r>
      <w:r w:rsidR="00A77A9D">
        <w:t>7%</w:t>
      </w:r>
      <w:r>
        <w:t xml:space="preserve"> of the zone catch (Table 12). The </w:t>
      </w:r>
      <w:r w:rsidR="00062AFC">
        <w:t>2023/24</w:t>
      </w:r>
      <w:r>
        <w:t xml:space="preserve"> catch was </w:t>
      </w:r>
      <w:r w:rsidR="00A77A9D">
        <w:t xml:space="preserve">16% </w:t>
      </w:r>
      <w:r>
        <w:t xml:space="preserve">over the </w:t>
      </w:r>
      <w:r w:rsidR="00E6400C">
        <w:t>OT</w:t>
      </w:r>
      <w:r w:rsidR="006C0464">
        <w:t xml:space="preserve"> of </w:t>
      </w:r>
      <w:r w:rsidR="00A77A9D">
        <w:t>26.2</w:t>
      </w:r>
      <w:r w:rsidR="006C0464">
        <w:t xml:space="preserve"> t</w:t>
      </w:r>
      <w:r>
        <w:t xml:space="preserve">. </w:t>
      </w:r>
      <w:r w:rsidR="00C16051">
        <w:t xml:space="preserve">Standardised </w:t>
      </w:r>
      <w:r w:rsidR="006C0464">
        <w:t xml:space="preserve">CPUE in </w:t>
      </w:r>
      <w:r w:rsidR="00062AFC">
        <w:t>2023/24</w:t>
      </w:r>
      <w:r w:rsidR="006C0464">
        <w:t xml:space="preserve"> was 1% higher than in 2003/04 and 1</w:t>
      </w:r>
      <w:r w:rsidR="00C16051">
        <w:t>3</w:t>
      </w:r>
      <w:r w:rsidR="006C0464">
        <w:t xml:space="preserve">% lower than 2009/10. </w:t>
      </w:r>
    </w:p>
    <w:p w14:paraId="5A6C735C" w14:textId="2A490E88" w:rsidR="00296656" w:rsidRDefault="00296656" w:rsidP="00296656">
      <w:pPr>
        <w:pStyle w:val="TableCaption"/>
      </w:pPr>
      <w:bookmarkStart w:id="119" w:name="_Toc182219872"/>
      <w:r>
        <w:t>Table 12: Summary of Catch, Optimum Targets and Performance Indicators for the Mallacoota East SMU.</w:t>
      </w:r>
      <w:bookmarkEnd w:id="119"/>
      <w:r>
        <w:t xml:space="preserve"> </w:t>
      </w:r>
    </w:p>
    <w:tbl>
      <w:tblPr>
        <w:tblW w:w="9239" w:type="dxa"/>
        <w:jc w:val="center"/>
        <w:tblLayout w:type="fixed"/>
        <w:tblLook w:val="0420" w:firstRow="1" w:lastRow="0" w:firstColumn="0" w:lastColumn="0" w:noHBand="0" w:noVBand="1"/>
      </w:tblPr>
      <w:tblGrid>
        <w:gridCol w:w="704"/>
        <w:gridCol w:w="571"/>
        <w:gridCol w:w="708"/>
        <w:gridCol w:w="839"/>
        <w:gridCol w:w="855"/>
        <w:gridCol w:w="883"/>
        <w:gridCol w:w="843"/>
        <w:gridCol w:w="982"/>
        <w:gridCol w:w="843"/>
        <w:gridCol w:w="982"/>
        <w:gridCol w:w="1029"/>
      </w:tblGrid>
      <w:tr w:rsidR="00296656" w14:paraId="0BB05ADC" w14:textId="77777777" w:rsidTr="000E5167">
        <w:trPr>
          <w:cantSplit/>
          <w:tblHeader/>
          <w:jc w:val="center"/>
        </w:trPr>
        <w:tc>
          <w:tcPr>
            <w:tcW w:w="367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928949" w14:textId="77777777" w:rsidR="00296656" w:rsidRDefault="00296656" w:rsidP="00E9281F">
            <w:pPr>
              <w:spacing w:before="100" w:after="100"/>
              <w:ind w:left="100" w:right="100"/>
              <w:jc w:val="center"/>
            </w:pPr>
            <w:bookmarkStart w:id="120" w:name="_Hlk118784514"/>
            <w:r>
              <w:rPr>
                <w:rFonts w:ascii="Helvetica" w:eastAsia="Helvetica" w:hAnsi="Helvetica" w:cs="Helvetica"/>
                <w:color w:val="000000"/>
                <w:sz w:val="18"/>
                <w:szCs w:val="18"/>
              </w:rPr>
              <w:t>Catch</w:t>
            </w:r>
          </w:p>
        </w:tc>
        <w:tc>
          <w:tcPr>
            <w:tcW w:w="270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9A96878" w14:textId="6F54AEE3" w:rsidR="00296656" w:rsidRDefault="00296656" w:rsidP="00E9281F">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t xml:space="preserve">CPUE 2003/04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2003-2023</w:t>
            </w:r>
          </w:p>
        </w:tc>
        <w:tc>
          <w:tcPr>
            <w:tcW w:w="285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19B138" w14:textId="3281096E" w:rsidR="00296656" w:rsidRDefault="00296656" w:rsidP="00E9281F">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 xml:space="preserve">CPUE 2009/10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2009-2023</w:t>
            </w:r>
          </w:p>
        </w:tc>
      </w:tr>
      <w:tr w:rsidR="000E5167" w14:paraId="65E83620" w14:textId="77777777" w:rsidTr="000E5167">
        <w:trPr>
          <w:cantSplit/>
          <w:trHeight w:val="219"/>
          <w:tblHeader/>
          <w:jc w:val="center"/>
        </w:trPr>
        <w:tc>
          <w:tcPr>
            <w:tcW w:w="1275"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079A4F2B" w14:textId="0CEB9ACE" w:rsidR="00296656" w:rsidRPr="00ED7B2A" w:rsidRDefault="00696A8A"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2023/24</w:t>
            </w:r>
          </w:p>
        </w:tc>
        <w:tc>
          <w:tcPr>
            <w:tcW w:w="240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5DBD34B" w14:textId="2C756F76" w:rsidR="00296656" w:rsidRDefault="00296656" w:rsidP="00E9281F">
            <w:pPr>
              <w:spacing w:before="100" w:after="100"/>
              <w:ind w:left="100" w:right="100"/>
              <w:jc w:val="center"/>
            </w:pPr>
            <w:r>
              <w:rPr>
                <w:rFonts w:ascii="Helvetica" w:eastAsia="Helvetica" w:hAnsi="Helvetica" w:cs="Helvetica"/>
                <w:color w:val="000000"/>
                <w:sz w:val="18"/>
                <w:szCs w:val="18"/>
              </w:rPr>
              <w:t xml:space="preserve">OT </w:t>
            </w:r>
            <w:r w:rsidR="00A77A9D">
              <w:rPr>
                <w:rFonts w:ascii="Helvetica" w:eastAsia="Helvetica" w:hAnsi="Helvetica" w:cs="Helvetica"/>
                <w:color w:val="000000"/>
                <w:sz w:val="18"/>
                <w:szCs w:val="18"/>
              </w:rPr>
              <w:t>(</w:t>
            </w:r>
            <w:r>
              <w:rPr>
                <w:rFonts w:ascii="Helvetica" w:eastAsia="Helvetica" w:hAnsi="Helvetica" w:cs="Helvetica"/>
                <w:color w:val="000000"/>
                <w:sz w:val="18"/>
                <w:szCs w:val="18"/>
              </w:rPr>
              <w:t>t)</w:t>
            </w:r>
          </w:p>
        </w:tc>
        <w:tc>
          <w:tcPr>
            <w:tcW w:w="883"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D45B50D" w14:textId="77777777" w:rsidR="00296656" w:rsidRDefault="00296656" w:rsidP="00E9281F">
            <w:pPr>
              <w:spacing w:before="100" w:after="100"/>
              <w:ind w:left="100" w:right="100"/>
              <w:jc w:val="center"/>
            </w:pPr>
            <w:r>
              <w:rPr>
                <w:rFonts w:ascii="Helvetica" w:eastAsia="Helvetica" w:hAnsi="Helvetica" w:cs="Helvetica"/>
                <w:color w:val="000000"/>
                <w:sz w:val="18"/>
                <w:szCs w:val="18"/>
              </w:rPr>
              <w:t>CPUE</w:t>
            </w:r>
          </w:p>
        </w:tc>
        <w:tc>
          <w:tcPr>
            <w:tcW w:w="843"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63F6747" w14:textId="77777777" w:rsidR="00296656" w:rsidRDefault="00296656" w:rsidP="00E9281F">
            <w:pPr>
              <w:spacing w:before="100" w:after="100"/>
              <w:ind w:left="100" w:right="100"/>
              <w:jc w:val="center"/>
            </w:pPr>
            <w:r>
              <w:rPr>
                <w:rFonts w:ascii="Helvetica" w:eastAsia="Helvetica" w:hAnsi="Helvetica" w:cs="Helvetica"/>
                <w:color w:val="000000"/>
                <w:sz w:val="18"/>
                <w:szCs w:val="18"/>
              </w:rPr>
              <w:t>Pre-recruits</w:t>
            </w:r>
          </w:p>
        </w:tc>
        <w:tc>
          <w:tcPr>
            <w:tcW w:w="98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969C113" w14:textId="77777777" w:rsidR="00296656" w:rsidRDefault="00296656" w:rsidP="00E9281F">
            <w:pPr>
              <w:spacing w:before="100" w:after="100"/>
              <w:ind w:left="100" w:right="100"/>
              <w:jc w:val="center"/>
            </w:pPr>
            <w:r>
              <w:rPr>
                <w:rFonts w:ascii="Helvetica" w:eastAsia="Helvetica" w:hAnsi="Helvetica" w:cs="Helvetica"/>
                <w:color w:val="000000"/>
                <w:sz w:val="18"/>
                <w:szCs w:val="18"/>
              </w:rPr>
              <w:t>Recruits</w:t>
            </w:r>
          </w:p>
        </w:tc>
        <w:tc>
          <w:tcPr>
            <w:tcW w:w="843"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920A4D0" w14:textId="77777777" w:rsidR="00296656" w:rsidRDefault="00296656" w:rsidP="00E9281F">
            <w:pPr>
              <w:spacing w:before="100" w:after="100"/>
              <w:ind w:left="100" w:right="100"/>
              <w:jc w:val="center"/>
            </w:pPr>
            <w:r>
              <w:rPr>
                <w:rFonts w:ascii="Helvetica" w:eastAsia="Helvetica" w:hAnsi="Helvetica" w:cs="Helvetica"/>
                <w:color w:val="000000"/>
                <w:sz w:val="18"/>
                <w:szCs w:val="18"/>
              </w:rPr>
              <w:t>CPUE</w:t>
            </w:r>
          </w:p>
        </w:tc>
        <w:tc>
          <w:tcPr>
            <w:tcW w:w="98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45F67CD" w14:textId="77777777" w:rsidR="00296656" w:rsidRDefault="00296656" w:rsidP="00E9281F">
            <w:pPr>
              <w:spacing w:before="100" w:after="100"/>
              <w:ind w:left="100" w:right="100"/>
              <w:jc w:val="center"/>
            </w:pPr>
            <w:r>
              <w:rPr>
                <w:rFonts w:ascii="Helvetica" w:eastAsia="Helvetica" w:hAnsi="Helvetica" w:cs="Helvetica"/>
                <w:color w:val="000000"/>
                <w:sz w:val="18"/>
                <w:szCs w:val="18"/>
              </w:rPr>
              <w:t>Pre-recruits</w:t>
            </w:r>
          </w:p>
        </w:tc>
        <w:tc>
          <w:tcPr>
            <w:tcW w:w="1029"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B1DEBB5" w14:textId="77777777" w:rsidR="00296656" w:rsidRDefault="00296656" w:rsidP="00E9281F">
            <w:pPr>
              <w:spacing w:before="100" w:after="100"/>
              <w:ind w:left="100" w:right="100"/>
              <w:jc w:val="center"/>
            </w:pPr>
            <w:r>
              <w:rPr>
                <w:rFonts w:ascii="Helvetica" w:eastAsia="Helvetica" w:hAnsi="Helvetica" w:cs="Helvetica"/>
                <w:color w:val="000000"/>
                <w:sz w:val="18"/>
                <w:szCs w:val="18"/>
              </w:rPr>
              <w:t>Recruits</w:t>
            </w:r>
          </w:p>
        </w:tc>
      </w:tr>
      <w:tr w:rsidR="009E6F45" w14:paraId="35ED5916" w14:textId="77777777" w:rsidTr="000E5167">
        <w:trPr>
          <w:cantSplit/>
          <w:trHeight w:val="218"/>
          <w:tblHeader/>
          <w:jc w:val="center"/>
        </w:trPr>
        <w:tc>
          <w:tcPr>
            <w:tcW w:w="704"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714C62" w14:textId="77777777" w:rsidR="009E6F45" w:rsidRPr="00ED7B2A" w:rsidRDefault="009E6F45" w:rsidP="009E6F45">
            <w:pPr>
              <w:spacing w:before="100" w:after="100"/>
              <w:ind w:left="100" w:right="100"/>
              <w:jc w:val="center"/>
              <w:rPr>
                <w:rFonts w:ascii="Helvetica" w:eastAsia="Helvetica" w:hAnsi="Helvetica" w:cs="Helvetica"/>
                <w:color w:val="000000"/>
                <w:sz w:val="18"/>
                <w:szCs w:val="18"/>
              </w:rPr>
            </w:pPr>
            <w:r w:rsidRPr="00ED7B2A">
              <w:rPr>
                <w:rFonts w:ascii="Helvetica" w:eastAsia="Helvetica" w:hAnsi="Helvetica" w:cs="Helvetica"/>
                <w:color w:val="000000"/>
                <w:sz w:val="18"/>
                <w:szCs w:val="18"/>
              </w:rPr>
              <w:t>(t)</w:t>
            </w:r>
          </w:p>
        </w:tc>
        <w:tc>
          <w:tcPr>
            <w:tcW w:w="571"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D8C0E83" w14:textId="77777777" w:rsidR="009E6F45" w:rsidRPr="00ED7B2A" w:rsidRDefault="009E6F45" w:rsidP="009E6F45">
            <w:pPr>
              <w:spacing w:before="100" w:after="100"/>
              <w:ind w:left="100" w:right="100"/>
              <w:jc w:val="center"/>
              <w:rPr>
                <w:rFonts w:ascii="Helvetica" w:eastAsia="Helvetica" w:hAnsi="Helvetica" w:cs="Helvetica"/>
                <w:color w:val="000000"/>
                <w:sz w:val="18"/>
                <w:szCs w:val="18"/>
              </w:rPr>
            </w:pPr>
            <w:r w:rsidRPr="00ED7B2A">
              <w:rPr>
                <w:rFonts w:ascii="Helvetica" w:eastAsia="Helvetica" w:hAnsi="Helvetica" w:cs="Helvetica"/>
                <w:color w:val="000000"/>
                <w:sz w:val="18"/>
                <w:szCs w:val="18"/>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15994D" w14:textId="6D2F9266" w:rsidR="009E6F45" w:rsidRPr="009734FD"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p>
        </w:tc>
        <w:tc>
          <w:tcPr>
            <w:tcW w:w="83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A6CD0F" w14:textId="69F00F6B" w:rsidR="009E6F45" w:rsidRPr="009734FD"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p>
        </w:tc>
        <w:tc>
          <w:tcPr>
            <w:tcW w:w="8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1560C4" w14:textId="595C064B" w:rsidR="009E6F45" w:rsidRPr="009734FD"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5</w:t>
            </w:r>
          </w:p>
        </w:tc>
        <w:tc>
          <w:tcPr>
            <w:tcW w:w="883"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2DE809"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43"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D2BA140"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D5D103"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43"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C06C36"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03FA82"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1029"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AE0B1E"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r>
      <w:tr w:rsidR="00A77A9D" w14:paraId="3546601C" w14:textId="77777777" w:rsidTr="000E5167">
        <w:trPr>
          <w:cantSplit/>
          <w:jc w:val="center"/>
        </w:trPr>
        <w:tc>
          <w:tcPr>
            <w:tcW w:w="70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7F7D00" w14:textId="720DD159" w:rsidR="00A77A9D" w:rsidRPr="00ED7B2A"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30.5</w:t>
            </w:r>
          </w:p>
        </w:tc>
        <w:tc>
          <w:tcPr>
            <w:tcW w:w="571"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EB6B4D" w14:textId="0B29B5B1" w:rsidR="00A77A9D" w:rsidRPr="00ED7B2A"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10.7</w:t>
            </w:r>
          </w:p>
        </w:tc>
        <w:tc>
          <w:tcPr>
            <w:tcW w:w="70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803E04" w14:textId="46168DD1" w:rsidR="00A77A9D" w:rsidRPr="00A77A9D"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32.5</w:t>
            </w:r>
          </w:p>
        </w:tc>
        <w:tc>
          <w:tcPr>
            <w:tcW w:w="839" w:type="dxa"/>
            <w:tcBorders>
              <w:left w:val="single" w:sz="8" w:space="0" w:color="000000"/>
              <w:bottom w:val="single" w:sz="8" w:space="0" w:color="000000"/>
              <w:right w:val="single" w:sz="8" w:space="0" w:color="000000"/>
            </w:tcBorders>
            <w:shd w:val="clear" w:color="auto" w:fill="FFFFFF"/>
            <w:vAlign w:val="center"/>
          </w:tcPr>
          <w:p w14:paraId="2AD7FF83" w14:textId="6903C945" w:rsidR="00A77A9D" w:rsidRPr="00A77A9D" w:rsidRDefault="00A77A9D" w:rsidP="00A77A9D">
            <w:pPr>
              <w:spacing w:before="100" w:after="100"/>
              <w:ind w:left="100" w:right="100"/>
              <w:jc w:val="center"/>
              <w:rPr>
                <w:rFonts w:ascii="Helvetica" w:eastAsia="Helvetica" w:hAnsi="Helvetica" w:cs="Helvetica"/>
                <w:color w:val="000000"/>
                <w:sz w:val="18"/>
                <w:szCs w:val="18"/>
              </w:rPr>
            </w:pPr>
            <w:r w:rsidRPr="00A77A9D">
              <w:rPr>
                <w:rFonts w:ascii="Helvetica" w:eastAsia="Helvetica" w:hAnsi="Helvetica" w:cs="Helvetica"/>
                <w:color w:val="000000"/>
                <w:sz w:val="18"/>
                <w:szCs w:val="18"/>
              </w:rPr>
              <w:t>26.2</w:t>
            </w:r>
          </w:p>
        </w:tc>
        <w:tc>
          <w:tcPr>
            <w:tcW w:w="855" w:type="dxa"/>
            <w:tcBorders>
              <w:left w:val="single" w:sz="8" w:space="0" w:color="000000"/>
              <w:bottom w:val="single" w:sz="8" w:space="0" w:color="000000"/>
              <w:right w:val="single" w:sz="8" w:space="0" w:color="000000"/>
            </w:tcBorders>
            <w:shd w:val="clear" w:color="auto" w:fill="FFFFFF"/>
            <w:vAlign w:val="center"/>
          </w:tcPr>
          <w:p w14:paraId="3B72192F" w14:textId="72A3E2BF" w:rsidR="00A77A9D" w:rsidRPr="00A77A9D" w:rsidRDefault="00C16051"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19.7</w:t>
            </w:r>
          </w:p>
        </w:tc>
        <w:tc>
          <w:tcPr>
            <w:tcW w:w="883"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3CFCB0" w14:textId="143EB313" w:rsidR="00A77A9D" w:rsidRDefault="00A77A9D" w:rsidP="00A77A9D">
            <w:pPr>
              <w:spacing w:before="100" w:after="100"/>
              <w:ind w:left="100" w:right="100"/>
              <w:jc w:val="center"/>
            </w:pPr>
            <w:r>
              <w:rPr>
                <w:rFonts w:ascii="Helvetica" w:eastAsia="Helvetica" w:hAnsi="Helvetica" w:cs="Helvetica"/>
                <w:color w:val="000000"/>
                <w:sz w:val="18"/>
                <w:szCs w:val="18"/>
              </w:rPr>
              <w:t>1</w:t>
            </w:r>
          </w:p>
        </w:tc>
        <w:tc>
          <w:tcPr>
            <w:tcW w:w="843"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B6B2E4" w14:textId="4ED21085" w:rsidR="00A77A9D" w:rsidRDefault="00A77A9D" w:rsidP="00A77A9D">
            <w:pPr>
              <w:spacing w:before="100" w:after="100"/>
              <w:ind w:left="100" w:right="100"/>
              <w:jc w:val="center"/>
            </w:pPr>
            <w:r>
              <w:t>NA</w:t>
            </w:r>
          </w:p>
        </w:tc>
        <w:tc>
          <w:tcPr>
            <w:tcW w:w="98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F9D58D" w14:textId="3BA0D142" w:rsidR="00A77A9D" w:rsidRDefault="00A77A9D" w:rsidP="00A77A9D">
            <w:pPr>
              <w:spacing w:before="100" w:after="100"/>
              <w:ind w:left="100" w:right="100"/>
              <w:jc w:val="center"/>
            </w:pPr>
            <w:r>
              <w:t>NA</w:t>
            </w:r>
          </w:p>
        </w:tc>
        <w:tc>
          <w:tcPr>
            <w:tcW w:w="843"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8284D3" w14:textId="446892C7" w:rsidR="00A77A9D" w:rsidRDefault="00A77A9D" w:rsidP="00A77A9D">
            <w:pPr>
              <w:spacing w:before="100" w:after="100"/>
              <w:ind w:left="100" w:right="100"/>
              <w:jc w:val="center"/>
            </w:pPr>
            <w:r>
              <w:t>-1</w:t>
            </w:r>
            <w:r w:rsidR="00C16051">
              <w:t>3</w:t>
            </w:r>
          </w:p>
        </w:tc>
        <w:tc>
          <w:tcPr>
            <w:tcW w:w="98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52E5D36" w14:textId="238897F0" w:rsidR="00A77A9D" w:rsidRDefault="00A77A9D" w:rsidP="00A77A9D">
            <w:pPr>
              <w:spacing w:before="100" w:after="100"/>
              <w:ind w:left="100" w:right="100"/>
              <w:jc w:val="center"/>
            </w:pPr>
            <w:r>
              <w:t>NA</w:t>
            </w:r>
          </w:p>
        </w:tc>
        <w:tc>
          <w:tcPr>
            <w:tcW w:w="102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EBA89D4" w14:textId="4A398630" w:rsidR="00A77A9D" w:rsidRDefault="00A77A9D" w:rsidP="00A77A9D">
            <w:pPr>
              <w:spacing w:before="100" w:after="100"/>
              <w:ind w:left="100" w:right="100"/>
              <w:jc w:val="center"/>
            </w:pPr>
            <w:r>
              <w:t>NA</w:t>
            </w:r>
          </w:p>
        </w:tc>
      </w:tr>
      <w:tr w:rsidR="000E5167" w14:paraId="7F5C94AA" w14:textId="77777777" w:rsidTr="000E5167">
        <w:trPr>
          <w:cantSplit/>
          <w:jc w:val="center"/>
        </w:trPr>
        <w:tc>
          <w:tcPr>
            <w:tcW w:w="1983"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9C24D9" w14:textId="407A9BA9" w:rsidR="000E5167" w:rsidRPr="00C17238" w:rsidRDefault="000E5167"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 120 mm</w:t>
            </w:r>
          </w:p>
        </w:tc>
        <w:tc>
          <w:tcPr>
            <w:tcW w:w="2577"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3E3FE0" w14:textId="316720B2" w:rsidR="000E5167" w:rsidRPr="00C17238" w:rsidRDefault="000E5167" w:rsidP="00E9281F">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sidR="002D7C7E">
              <w:rPr>
                <w:rFonts w:ascii="Helvetica" w:eastAsia="Helvetica" w:hAnsi="Helvetica" w:cs="Helvetica"/>
                <w:color w:val="000000"/>
                <w:sz w:val="18"/>
                <w:szCs w:val="18"/>
              </w:rPr>
              <w:t>3</w:t>
            </w:r>
            <w:r w:rsidR="00C16051">
              <w:rPr>
                <w:rFonts w:ascii="Helvetica" w:eastAsia="Helvetica" w:hAnsi="Helvetica" w:cs="Helvetica"/>
                <w:color w:val="000000"/>
                <w:sz w:val="18"/>
                <w:szCs w:val="18"/>
              </w:rPr>
              <w:t>58</w:t>
            </w:r>
            <w:r w:rsidRPr="00C17238">
              <w:rPr>
                <w:rFonts w:ascii="Helvetica" w:eastAsia="Helvetica" w:hAnsi="Helvetica" w:cs="Helvetica"/>
                <w:color w:val="000000"/>
                <w:sz w:val="18"/>
                <w:szCs w:val="18"/>
              </w:rPr>
              <w:t xml:space="preserve"> kg</w:t>
            </w:r>
          </w:p>
        </w:tc>
        <w:tc>
          <w:tcPr>
            <w:tcW w:w="2668" w:type="dxa"/>
            <w:gridSpan w:val="3"/>
            <w:tcBorders>
              <w:left w:val="single" w:sz="8" w:space="0" w:color="000000"/>
              <w:bottom w:val="single" w:sz="8" w:space="0" w:color="000000"/>
              <w:right w:val="single" w:sz="8" w:space="0" w:color="000000"/>
            </w:tcBorders>
            <w:shd w:val="clear" w:color="auto" w:fill="FFFFFF"/>
            <w:vAlign w:val="center"/>
          </w:tcPr>
          <w:p w14:paraId="4C2519D7" w14:textId="28EA91E9" w:rsidR="000E5167" w:rsidRPr="00C17238" w:rsidRDefault="000E5167" w:rsidP="00E9281F">
            <w:pPr>
              <w:spacing w:before="100" w:after="100"/>
              <w:ind w:left="100" w:right="100"/>
              <w:jc w:val="center"/>
              <w:rPr>
                <w:rFonts w:ascii="Helvetica" w:eastAsia="Helvetica" w:hAnsi="Helvetica" w:cs="Helvetica"/>
                <w:color w:val="000000"/>
                <w:sz w:val="18"/>
                <w:szCs w:val="18"/>
              </w:rPr>
            </w:pPr>
          </w:p>
        </w:tc>
        <w:tc>
          <w:tcPr>
            <w:tcW w:w="2011"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65D2B8D" w14:textId="7AD3C2F1" w:rsidR="000E5167" w:rsidRPr="00C17238" w:rsidRDefault="000E5167" w:rsidP="00E9281F">
            <w:pPr>
              <w:spacing w:before="100" w:after="100"/>
              <w:ind w:left="100" w:right="100"/>
              <w:jc w:val="center"/>
              <w:rPr>
                <w:rFonts w:ascii="Helvetica" w:eastAsia="Helvetica" w:hAnsi="Helvetica" w:cs="Helvetica"/>
                <w:color w:val="000000"/>
                <w:sz w:val="18"/>
                <w:szCs w:val="18"/>
              </w:rPr>
            </w:pPr>
          </w:p>
        </w:tc>
      </w:tr>
    </w:tbl>
    <w:bookmarkEnd w:id="120"/>
    <w:p w14:paraId="36BC296E" w14:textId="71C186F3" w:rsidR="00296656" w:rsidRDefault="00296656" w:rsidP="00296656">
      <w:r>
        <w:t xml:space="preserve">The Mallacoota East SMU has contributed an average catch of </w:t>
      </w:r>
      <w:r w:rsidR="00C16051">
        <w:t>59</w:t>
      </w:r>
      <w:r>
        <w:t xml:space="preserve"> t since 19</w:t>
      </w:r>
      <w:r w:rsidR="002D7C7E">
        <w:t>79 and 5</w:t>
      </w:r>
      <w:r w:rsidR="00C16051">
        <w:t>6</w:t>
      </w:r>
      <w:r w:rsidR="002D7C7E">
        <w:t xml:space="preserve"> t since 1988 (Figure 2</w:t>
      </w:r>
      <w:r w:rsidR="008C2010">
        <w:t>1</w:t>
      </w:r>
      <w:r w:rsidR="002D7C7E">
        <w:t>). The</w:t>
      </w:r>
      <w:r>
        <w:t xml:space="preserve"> peak catch of </w:t>
      </w:r>
      <w:r w:rsidR="002D7C7E">
        <w:t>83</w:t>
      </w:r>
      <w:r>
        <w:t xml:space="preserve"> t </w:t>
      </w:r>
      <w:r w:rsidR="002D7C7E">
        <w:t xml:space="preserve">was </w:t>
      </w:r>
      <w:r>
        <w:t xml:space="preserve">taken </w:t>
      </w:r>
      <w:r w:rsidR="002D7C7E">
        <w:t>the year before quota was introduced</w:t>
      </w:r>
      <w:r>
        <w:t xml:space="preserve">. From 2003 to 2014 catches were relatively stable averaging 56 t (range 42-63 t), however in the last </w:t>
      </w:r>
      <w:r w:rsidR="00C16051">
        <w:t xml:space="preserve">nine </w:t>
      </w:r>
      <w:r>
        <w:t>years catches have declined averaging only 3</w:t>
      </w:r>
      <w:r w:rsidR="00C16051">
        <w:t>7</w:t>
      </w:r>
      <w:r>
        <w:t xml:space="preserve"> t (range 3</w:t>
      </w:r>
      <w:r w:rsidR="00C16051">
        <w:t>0</w:t>
      </w:r>
      <w:r>
        <w:t>-47 t)</w:t>
      </w:r>
      <w:r w:rsidR="00C16051">
        <w:t>, with 2023/24 the lowest catch recorded</w:t>
      </w:r>
      <w:r>
        <w:t xml:space="preserve">. </w:t>
      </w:r>
      <w:r w:rsidR="002B4F5B">
        <w:t>Notably, the OT for 2024/25 has been reduced to 19.7 t.</w:t>
      </w:r>
    </w:p>
    <w:p w14:paraId="702E0A5D" w14:textId="41D4F939" w:rsidR="002D7C7E" w:rsidRDefault="002D7C7E" w:rsidP="00296656">
      <w:r>
        <w:t>Since the introduction of quota, mean daily catch has ranged from 258 to 504 kg/day with an average of 40</w:t>
      </w:r>
      <w:r w:rsidR="00981C6B">
        <w:t>7</w:t>
      </w:r>
      <w:r>
        <w:t xml:space="preserve"> kg/day. Mean daily catch</w:t>
      </w:r>
      <w:r w:rsidR="0095084D">
        <w:t>es</w:t>
      </w:r>
      <w:r>
        <w:t xml:space="preserve"> in the last </w:t>
      </w:r>
      <w:r w:rsidR="0095084D">
        <w:t xml:space="preserve">three </w:t>
      </w:r>
      <w:r>
        <w:t xml:space="preserve">years has been </w:t>
      </w:r>
      <w:r w:rsidR="0095084D">
        <w:t xml:space="preserve">stable and </w:t>
      </w:r>
      <w:r>
        <w:t>similar to those from 2014 to 2019</w:t>
      </w:r>
      <w:r w:rsidR="00516521">
        <w:t xml:space="preserve"> despite changes in market conditions</w:t>
      </w:r>
      <w:r>
        <w:t>.</w:t>
      </w:r>
    </w:p>
    <w:p w14:paraId="6CAC9C08" w14:textId="0D618C26" w:rsidR="000A1671" w:rsidRDefault="00CD167E" w:rsidP="00296656">
      <w:r w:rsidRPr="00CD167E">
        <w:rPr>
          <w:noProof/>
        </w:rPr>
        <w:drawing>
          <wp:inline distT="0" distB="0" distL="0" distR="0" wp14:anchorId="724A3A3C" wp14:editId="16B94195">
            <wp:extent cx="5731510" cy="3531870"/>
            <wp:effectExtent l="0" t="0" r="2540" b="0"/>
            <wp:docPr id="56824442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44424" name="Picture 1" descr="A graph of a number of people&#10;&#10;Description automatically generated with medium confidence"/>
                    <pic:cNvPicPr/>
                  </pic:nvPicPr>
                  <pic:blipFill>
                    <a:blip r:embed="rId42"/>
                    <a:stretch>
                      <a:fillRect/>
                    </a:stretch>
                  </pic:blipFill>
                  <pic:spPr>
                    <a:xfrm>
                      <a:off x="0" y="0"/>
                      <a:ext cx="5731510" cy="3531870"/>
                    </a:xfrm>
                    <a:prstGeom prst="rect">
                      <a:avLst/>
                    </a:prstGeom>
                  </pic:spPr>
                </pic:pic>
              </a:graphicData>
            </a:graphic>
          </wp:inline>
        </w:drawing>
      </w:r>
    </w:p>
    <w:p w14:paraId="22FD3646" w14:textId="0C646AFD" w:rsidR="000A1671" w:rsidRDefault="000A1671" w:rsidP="000A1671">
      <w:pPr>
        <w:pStyle w:val="Caption"/>
      </w:pPr>
      <w:bookmarkStart w:id="121" w:name="_Toc182219822"/>
      <w:r>
        <w:t>Figure 2</w:t>
      </w:r>
      <w:r w:rsidR="008C2010">
        <w:t>1</w:t>
      </w:r>
      <w:r>
        <w:t>: Total catch and mean daily catch for the Mallacoota East SMU from 1979 to 202</w:t>
      </w:r>
      <w:r w:rsidR="00FC5E12">
        <w:t>3</w:t>
      </w:r>
      <w:r>
        <w:t>.</w:t>
      </w:r>
      <w:bookmarkEnd w:id="121"/>
      <w:r>
        <w:t xml:space="preserve"> </w:t>
      </w:r>
    </w:p>
    <w:p w14:paraId="7E28B78C" w14:textId="49EDC535" w:rsidR="00905A3E" w:rsidRDefault="00296656" w:rsidP="00905A3E">
      <w:r>
        <w:t xml:space="preserve">Nominal CPUE generally increased from 1992 to 2010, reaching a peak of 122 kg/hr </w:t>
      </w:r>
      <w:r w:rsidR="00905A3E">
        <w:t xml:space="preserve">before declining to 88 kg/h in 2016 </w:t>
      </w:r>
      <w:r>
        <w:t xml:space="preserve">(Figure </w:t>
      </w:r>
      <w:r w:rsidR="00F568E7">
        <w:t>2</w:t>
      </w:r>
      <w:r w:rsidR="008C2010">
        <w:t>2</w:t>
      </w:r>
      <w:r>
        <w:t xml:space="preserve">). </w:t>
      </w:r>
      <w:r w:rsidR="00905A3E">
        <w:t xml:space="preserve">Nominal CPUE </w:t>
      </w:r>
      <w:r w:rsidR="0095084D">
        <w:t xml:space="preserve">has ranged from 100 to 114 kg/h in the last six years. generally </w:t>
      </w:r>
      <w:r w:rsidR="00905A3E">
        <w:t>increased to 106 kg/h in 2018 and has been stable thereafter. Standardised CPUE has generally followed the nominal trends</w:t>
      </w:r>
      <w:r w:rsidR="0095084D">
        <w:t>, albeit at lower levels particularly in recent years</w:t>
      </w:r>
      <w:r w:rsidR="00905A3E">
        <w:t>.</w:t>
      </w:r>
    </w:p>
    <w:p w14:paraId="48F72D37" w14:textId="476EED2F" w:rsidR="00296656" w:rsidRDefault="00E06C9F" w:rsidP="00296656">
      <w:r>
        <w:rPr>
          <w:noProof/>
        </w:rPr>
        <w:drawing>
          <wp:inline distT="0" distB="0" distL="0" distR="0" wp14:anchorId="058DFE97" wp14:editId="336CAA84">
            <wp:extent cx="5727700" cy="3579495"/>
            <wp:effectExtent l="0" t="0" r="6350" b="1905"/>
            <wp:docPr id="144" name="Picture" descr="Figure 31: Mallacoota East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44" name="Picture" descr="Figure 31: Mallacoota East SMU catch and CPUE (nominal and standardised) from 1992/1993 – 2021/22. Catch = bars, nominal CPUE = grey series (+/- SE), standardised series = black. Numbers in bars indicate changes to LMLs. MPs = introduction of Marine Parks."/>
                    <pic:cNvPicPr/>
                  </pic:nvPicPr>
                  <pic:blipFill>
                    <a:blip r:embed="rId43"/>
                    <a:stretch>
                      <a:fillRect/>
                    </a:stretch>
                  </pic:blipFill>
                  <pic:spPr bwMode="auto">
                    <a:xfrm>
                      <a:off x="0" y="0"/>
                      <a:ext cx="5727700" cy="3579495"/>
                    </a:xfrm>
                    <a:prstGeom prst="rect">
                      <a:avLst/>
                    </a:prstGeom>
                    <a:noFill/>
                    <a:ln w="9525">
                      <a:noFill/>
                      <a:headEnd/>
                      <a:tailEnd/>
                    </a:ln>
                  </pic:spPr>
                </pic:pic>
              </a:graphicData>
            </a:graphic>
          </wp:inline>
        </w:drawing>
      </w:r>
    </w:p>
    <w:p w14:paraId="1B14203C" w14:textId="1676946C" w:rsidR="00F568E7" w:rsidRDefault="00296656" w:rsidP="00F568E7">
      <w:pPr>
        <w:pStyle w:val="Caption"/>
      </w:pPr>
      <w:bookmarkStart w:id="122" w:name="_Toc182219823"/>
      <w:r w:rsidRPr="008C2010">
        <w:t xml:space="preserve">Figure </w:t>
      </w:r>
      <w:r w:rsidR="00F568E7" w:rsidRPr="008C2010">
        <w:t>2</w:t>
      </w:r>
      <w:r w:rsidR="008C2010" w:rsidRPr="008C2010">
        <w:t>2</w:t>
      </w:r>
      <w:r w:rsidRPr="008C2010">
        <w:t xml:space="preserve">: Mallacoota East </w:t>
      </w:r>
      <w:r w:rsidR="00F568E7" w:rsidRPr="008C2010">
        <w:t xml:space="preserve">SMU catch, and CPUE </w:t>
      </w:r>
      <w:r w:rsidR="00954C6A" w:rsidRPr="008C2010">
        <w:t>(nominal and standardised) from 1992/93 – 2023/24</w:t>
      </w:r>
      <w:r w:rsidR="00F568E7" w:rsidRPr="008C2010">
        <w:t>.  Catch = bars, nominal CPUE = grey series (+/- SE), standardised series = black. Numbers in bars indicate changes to LMLs. MPs = introduction of Marine Parks.</w:t>
      </w:r>
      <w:bookmarkEnd w:id="122"/>
    </w:p>
    <w:p w14:paraId="6D87EE94" w14:textId="6570F872" w:rsidR="00296656" w:rsidRDefault="00296656" w:rsidP="00185074">
      <w:pPr>
        <w:pStyle w:val="TableCaption"/>
      </w:pPr>
      <w:bookmarkStart w:id="123" w:name="_Toc182219873"/>
      <w:r>
        <w:t xml:space="preserve">Table 13: </w:t>
      </w:r>
      <w:bookmarkStart w:id="124" w:name="_Hlk118784658"/>
      <w:r>
        <w:t xml:space="preserve">Catches by reefcode for the Mallacoota East </w:t>
      </w:r>
      <w:r w:rsidR="000C4999">
        <w:t>SMU from 2018/19 to 2023/24, the five-year average catch from 2018/19 to 2022/23, and the OT for</w:t>
      </w:r>
      <w:r>
        <w:t xml:space="preserve"> </w:t>
      </w:r>
      <w:r w:rsidR="00062AFC">
        <w:t>2023/24</w:t>
      </w:r>
      <w:r>
        <w:t>.</w:t>
      </w:r>
      <w:bookmarkEnd w:id="123"/>
    </w:p>
    <w:p w14:paraId="7C7ACCB8" w14:textId="75F341A3" w:rsidR="00765CE9" w:rsidRPr="00765CE9" w:rsidRDefault="00A80AE5" w:rsidP="00185074">
      <w:r w:rsidRPr="00A80AE5">
        <w:rPr>
          <w:noProof/>
        </w:rPr>
        <w:drawing>
          <wp:inline distT="0" distB="0" distL="0" distR="0" wp14:anchorId="102A0134" wp14:editId="71DE47D7">
            <wp:extent cx="5731510" cy="701040"/>
            <wp:effectExtent l="0" t="0" r="2540" b="3810"/>
            <wp:docPr id="179717968" name="Picture 1" descr="A white rectangular box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7968" name="Picture 1" descr="A white rectangular box with black numbers&#10;&#10;Description automatically generated"/>
                    <pic:cNvPicPr/>
                  </pic:nvPicPr>
                  <pic:blipFill>
                    <a:blip r:embed="rId44"/>
                    <a:stretch>
                      <a:fillRect/>
                    </a:stretch>
                  </pic:blipFill>
                  <pic:spPr>
                    <a:xfrm>
                      <a:off x="0" y="0"/>
                      <a:ext cx="5731510" cy="701040"/>
                    </a:xfrm>
                    <a:prstGeom prst="rect">
                      <a:avLst/>
                    </a:prstGeom>
                  </pic:spPr>
                </pic:pic>
              </a:graphicData>
            </a:graphic>
          </wp:inline>
        </w:drawing>
      </w:r>
    </w:p>
    <w:bookmarkEnd w:id="124"/>
    <w:p w14:paraId="196B119F" w14:textId="308494EA" w:rsidR="00296656" w:rsidRDefault="00296656" w:rsidP="00296656">
      <w:r>
        <w:t xml:space="preserve">The Mallacoota East SMU comprises three reefcodes, with Gabo Island the highest contributor in all recent years (Table 13). The catch at Gabo Island in </w:t>
      </w:r>
      <w:r w:rsidR="00062AFC">
        <w:t>2023/24</w:t>
      </w:r>
      <w:r>
        <w:t xml:space="preserve"> was again well above the </w:t>
      </w:r>
      <w:r w:rsidR="007904C0">
        <w:t>OT (33%)</w:t>
      </w:r>
      <w:r>
        <w:t xml:space="preserve">, as it has been </w:t>
      </w:r>
      <w:r w:rsidR="007904C0">
        <w:t xml:space="preserve">in all recent </w:t>
      </w:r>
      <w:r>
        <w:t xml:space="preserve">years. </w:t>
      </w:r>
      <w:r w:rsidR="007904C0">
        <w:t xml:space="preserve">Catches at </w:t>
      </w:r>
      <w:r>
        <w:t xml:space="preserve">Iron Prince </w:t>
      </w:r>
      <w:r w:rsidR="007904C0">
        <w:t>and Gunshot were close to the OT.</w:t>
      </w:r>
      <w:r w:rsidR="00765CE9">
        <w:t xml:space="preserve"> </w:t>
      </w:r>
      <w:r>
        <w:t xml:space="preserve">  </w:t>
      </w:r>
    </w:p>
    <w:p w14:paraId="173E0914" w14:textId="059A924E" w:rsidR="00296656" w:rsidRDefault="002E3E94" w:rsidP="00296656">
      <w:r>
        <w:t xml:space="preserve">The trends from the “all sites” </w:t>
      </w:r>
      <w:r w:rsidR="0095084D">
        <w:t xml:space="preserve">FIS </w:t>
      </w:r>
      <w:r>
        <w:t xml:space="preserve">data series (grey dashed) are difficult to interpret because of changes in sites over time. </w:t>
      </w:r>
      <w:r w:rsidR="00296656">
        <w:t xml:space="preserve">The </w:t>
      </w:r>
      <w:r w:rsidR="00945ECB">
        <w:t xml:space="preserve">standardised </w:t>
      </w:r>
      <w:r w:rsidR="00296656">
        <w:t>abundance of recruit</w:t>
      </w:r>
      <w:r w:rsidR="00945ECB">
        <w:t>s at the two Top 15 sites declined from 2003 to 2009 and was generally stable up to 2021</w:t>
      </w:r>
      <w:r w:rsidR="00296656">
        <w:t xml:space="preserve"> (Figure </w:t>
      </w:r>
      <w:r w:rsidR="00F568E7">
        <w:t>2</w:t>
      </w:r>
      <w:r w:rsidR="008C2010">
        <w:t>3</w:t>
      </w:r>
      <w:r w:rsidR="00296656">
        <w:t xml:space="preserve">). </w:t>
      </w:r>
      <w:r w:rsidR="00945ECB">
        <w:t xml:space="preserve">The abundance in 2023 was the lowest recorded. </w:t>
      </w:r>
    </w:p>
    <w:p w14:paraId="41EF0A8C" w14:textId="3EED7A8E" w:rsidR="00296656" w:rsidRDefault="00BD6E37" w:rsidP="00296656">
      <w:r>
        <w:rPr>
          <w:noProof/>
        </w:rPr>
        <w:drawing>
          <wp:inline distT="0" distB="0" distL="0" distR="0" wp14:anchorId="378374A1" wp14:editId="491E0334">
            <wp:extent cx="5727700" cy="3579812"/>
            <wp:effectExtent l="0" t="0" r="0" b="0"/>
            <wp:docPr id="155" name="Picture" descr="Figure 32: Recruit abundance (1992-2023) and catch (1992/93 – 2021/22) for the Mallacoota East SMU. Grey dashed series = nominal abundance across all FIS sites (+/-SE). Black series = nominal (dotted line, open datapoint in 2022; +/- SE) and standardised (solid line, solid datapoint in 2022) abundance at the two sites located within the Mallacoota East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156" name="Picture" descr="@parent.Eastern_files/figure-docx/Mallacoota.East.Recruits.fig32-121-1.png"/>
                    <pic:cNvPicPr>
                      <a:picLocks noChangeAspect="1" noChangeArrowheads="1"/>
                    </pic:cNvPicPr>
                  </pic:nvPicPr>
                  <pic:blipFill>
                    <a:blip r:embed="rId45"/>
                    <a:stretch>
                      <a:fillRect/>
                    </a:stretch>
                  </pic:blipFill>
                  <pic:spPr bwMode="auto">
                    <a:xfrm>
                      <a:off x="0" y="0"/>
                      <a:ext cx="5727700" cy="3579812"/>
                    </a:xfrm>
                    <a:prstGeom prst="rect">
                      <a:avLst/>
                    </a:prstGeom>
                    <a:noFill/>
                    <a:ln w="9525">
                      <a:noFill/>
                      <a:headEnd/>
                      <a:tailEnd/>
                    </a:ln>
                  </pic:spPr>
                </pic:pic>
              </a:graphicData>
            </a:graphic>
          </wp:inline>
        </w:drawing>
      </w:r>
    </w:p>
    <w:p w14:paraId="0A74853D" w14:textId="7BA70F29" w:rsidR="00296656" w:rsidRDefault="00296656" w:rsidP="00296656">
      <w:pPr>
        <w:pStyle w:val="Caption"/>
      </w:pPr>
      <w:bookmarkStart w:id="125" w:name="_Toc182219824"/>
      <w:r>
        <w:t xml:space="preserve">Figure </w:t>
      </w:r>
      <w:r w:rsidR="00F568E7">
        <w:t>2</w:t>
      </w:r>
      <w:r w:rsidR="008C2010">
        <w:t>3</w:t>
      </w:r>
      <w:r>
        <w:t xml:space="preserve">: Recruit </w:t>
      </w:r>
      <w:r w:rsidR="00EC3F82">
        <w:t xml:space="preserve">abundance and catch from 1992/93 – 2022/23 for the Mallacoota East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EC3F82">
        <w:t xml:space="preserve">two Top 15 </w:t>
      </w:r>
      <w:r w:rsidR="00EC3F82" w:rsidRPr="005263C9">
        <w:t xml:space="preserve">sites located within the </w:t>
      </w:r>
      <w:r w:rsidR="00EC3F82">
        <w:t xml:space="preserve">Mallacoota East </w:t>
      </w:r>
      <w:r w:rsidR="00EC3F82" w:rsidRPr="005263C9">
        <w:t>SMU</w:t>
      </w:r>
      <w:r w:rsidR="00EC3F82">
        <w:t>.</w:t>
      </w:r>
      <w:bookmarkEnd w:id="125"/>
    </w:p>
    <w:p w14:paraId="3328299C" w14:textId="6592CAE5" w:rsidR="00296656" w:rsidRDefault="00F76EEA" w:rsidP="00296656">
      <w:r>
        <w:t xml:space="preserve">Standardised </w:t>
      </w:r>
      <w:r w:rsidR="00296656">
        <w:t xml:space="preserve">pre-recruit abundance </w:t>
      </w:r>
      <w:r>
        <w:t xml:space="preserve">at the two Top 15 sites </w:t>
      </w:r>
      <w:r w:rsidR="00296656">
        <w:t xml:space="preserve">was </w:t>
      </w:r>
      <w:r>
        <w:t>variable from 2003 to 2013 but has declined thereafter</w:t>
      </w:r>
      <w:r w:rsidR="00296656">
        <w:t xml:space="preserve"> </w:t>
      </w:r>
      <w:r w:rsidR="000A1671">
        <w:t>(</w:t>
      </w:r>
      <w:r w:rsidR="00296656">
        <w:t xml:space="preserve">Figure </w:t>
      </w:r>
      <w:r w:rsidR="00F568E7">
        <w:t>2</w:t>
      </w:r>
      <w:r w:rsidR="008C2010">
        <w:t>4</w:t>
      </w:r>
      <w:r w:rsidR="000A1671">
        <w:t>)</w:t>
      </w:r>
      <w:r w:rsidR="00296656">
        <w:t xml:space="preserve">. </w:t>
      </w:r>
      <w:r>
        <w:t xml:space="preserve">Standardised abundance in 2023 was the lowest recorded. </w:t>
      </w:r>
    </w:p>
    <w:p w14:paraId="26D12535" w14:textId="3020429B" w:rsidR="00296656" w:rsidRDefault="00BD6E37" w:rsidP="00296656">
      <w:r>
        <w:rPr>
          <w:noProof/>
        </w:rPr>
        <w:drawing>
          <wp:inline distT="0" distB="0" distL="0" distR="0" wp14:anchorId="60A80DFF" wp14:editId="2A2DD9BD">
            <wp:extent cx="5727700" cy="3579812"/>
            <wp:effectExtent l="0" t="0" r="0" b="0"/>
            <wp:docPr id="158" name="Picture" descr="Figure 33: Pre-recruit abundance (1992-2023) and catch (1992/93 – 2021/22) for the Mallacoota East SMU. Grey dashed series = nominal abundance across all FIS sites (+/-SE). Black series = nominal (dotted line, open datapoint in 2022; +/- SE) and standardised (solid line, solid datapoint in 2022) abundance at the two sites located within the Mallacoota East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159" name="Picture" descr="@parent.Eastern_files/figure-docx/Mallacoota.East.PreRecruits.fig33-123-1.png"/>
                    <pic:cNvPicPr>
                      <a:picLocks noChangeAspect="1" noChangeArrowheads="1"/>
                    </pic:cNvPicPr>
                  </pic:nvPicPr>
                  <pic:blipFill>
                    <a:blip r:embed="rId46"/>
                    <a:stretch>
                      <a:fillRect/>
                    </a:stretch>
                  </pic:blipFill>
                  <pic:spPr bwMode="auto">
                    <a:xfrm>
                      <a:off x="0" y="0"/>
                      <a:ext cx="5727700" cy="3579812"/>
                    </a:xfrm>
                    <a:prstGeom prst="rect">
                      <a:avLst/>
                    </a:prstGeom>
                    <a:noFill/>
                    <a:ln w="9525">
                      <a:noFill/>
                      <a:headEnd/>
                      <a:tailEnd/>
                    </a:ln>
                  </pic:spPr>
                </pic:pic>
              </a:graphicData>
            </a:graphic>
          </wp:inline>
        </w:drawing>
      </w:r>
    </w:p>
    <w:p w14:paraId="408D2C6F" w14:textId="561122BC" w:rsidR="00296656" w:rsidRDefault="00296656" w:rsidP="00296656">
      <w:pPr>
        <w:pStyle w:val="Caption"/>
      </w:pPr>
      <w:bookmarkStart w:id="126" w:name="_Toc182219825"/>
      <w:r>
        <w:t xml:space="preserve">Figure </w:t>
      </w:r>
      <w:r w:rsidR="00F568E7">
        <w:t>2</w:t>
      </w:r>
      <w:r w:rsidR="008C2010">
        <w:t>4</w:t>
      </w:r>
      <w:r>
        <w:t xml:space="preserve">: Pre-recruit </w:t>
      </w:r>
      <w:r w:rsidR="00EC3F82">
        <w:t xml:space="preserve">abundance and catch from 1992/93 – 2022/23 for the Mallacoota East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EC3F82">
        <w:t xml:space="preserve">two Top 15 </w:t>
      </w:r>
      <w:r w:rsidR="00EC3F82" w:rsidRPr="005263C9">
        <w:t xml:space="preserve">sites located within the </w:t>
      </w:r>
      <w:r w:rsidR="00EC3F82">
        <w:t xml:space="preserve">Mallacoota East </w:t>
      </w:r>
      <w:r w:rsidR="00EC3F82" w:rsidRPr="005263C9">
        <w:t>SMU</w:t>
      </w:r>
      <w:r w:rsidR="00EC3F82">
        <w:t>.</w:t>
      </w:r>
      <w:bookmarkEnd w:id="126"/>
    </w:p>
    <w:p w14:paraId="07F5F246" w14:textId="45308B93" w:rsidR="004C4A6C" w:rsidRDefault="004C4A6C" w:rsidP="00296656">
      <w:r w:rsidRPr="00C20351">
        <w:rPr>
          <w:i/>
          <w:iCs/>
        </w:rPr>
        <w:t>FIS length frequency data</w:t>
      </w:r>
    </w:p>
    <w:p w14:paraId="02EE716C" w14:textId="5CF2F2B6" w:rsidR="00296656" w:rsidRDefault="00296656" w:rsidP="00296656">
      <w:r>
        <w:t>There are few clear trends evident in the size structure of the population sampled during the FIS in the Mallacoota East SMU</w:t>
      </w:r>
      <w:r w:rsidR="00BD4E61">
        <w:t xml:space="preserve"> (Appendix 4)</w:t>
      </w:r>
      <w:r>
        <w:t>. Mean size was variable, ranging from 113 to 124 mm and the proportion above the size limit has ranged from 35 to 66%, although notably the highest mean size and % above the size limit occurred in 2021. The modal size class has also varied considerably, from 115-119 mm to 130-134 mm.</w:t>
      </w:r>
    </w:p>
    <w:p w14:paraId="0CF47A0F" w14:textId="1BBC3940" w:rsidR="00296656" w:rsidRDefault="004C4A6C" w:rsidP="00296656">
      <w:pPr>
        <w:spacing w:before="0" w:after="160" w:line="259" w:lineRule="auto"/>
      </w:pPr>
      <w:r>
        <w:rPr>
          <w:i/>
          <w:iCs/>
        </w:rPr>
        <w:t xml:space="preserve">Commercial </w:t>
      </w:r>
      <w:r w:rsidRPr="00C20351">
        <w:rPr>
          <w:i/>
          <w:iCs/>
        </w:rPr>
        <w:t>length frequency data</w:t>
      </w:r>
    </w:p>
    <w:p w14:paraId="19FB3950" w14:textId="610CACDE" w:rsidR="00296656" w:rsidRDefault="00296656" w:rsidP="00296656">
      <w:r>
        <w:t>While the size structure of the commercial catch was stable from 2010/11 to 2013/14, the mean and modal size has declined substantially in 2016/17 and 2018/19 with a higher proportion of abalone harvested closer to the size limit</w:t>
      </w:r>
      <w:r w:rsidR="00BD4E61">
        <w:t xml:space="preserve"> (Appendix 5)</w:t>
      </w:r>
      <w:r>
        <w:t>. No data are available from 2018/19. Higher numbers of shells sampled would increase the certainty in this measure in future years.</w:t>
      </w:r>
    </w:p>
    <w:p w14:paraId="37F088FE" w14:textId="77777777" w:rsidR="00296656" w:rsidRDefault="00296656" w:rsidP="00296656">
      <w:r>
        <w:rPr>
          <w:i/>
          <w:iCs/>
        </w:rPr>
        <w:t>Summary</w:t>
      </w:r>
    </w:p>
    <w:p w14:paraId="700C28D4" w14:textId="3BEC2AC4" w:rsidR="00344DAD" w:rsidRDefault="00296656" w:rsidP="00344DAD">
      <w:r>
        <w:t>The Mallacoota East SMU has contributed an average catch of 5</w:t>
      </w:r>
      <w:r w:rsidR="0099084A">
        <w:t>6</w:t>
      </w:r>
      <w:r>
        <w:t xml:space="preserve"> t since 19</w:t>
      </w:r>
      <w:r w:rsidR="00E43454">
        <w:t>88</w:t>
      </w:r>
      <w:r>
        <w:t xml:space="preserve">, however </w:t>
      </w:r>
      <w:r w:rsidR="0099084A">
        <w:t xml:space="preserve">catches </w:t>
      </w:r>
      <w:r>
        <w:t xml:space="preserve">in the last </w:t>
      </w:r>
      <w:r w:rsidR="0099084A">
        <w:t>seven</w:t>
      </w:r>
      <w:r>
        <w:t xml:space="preserve"> years have </w:t>
      </w:r>
      <w:r w:rsidR="00E43454">
        <w:t xml:space="preserve">been </w:t>
      </w:r>
      <w:r w:rsidR="0099084A">
        <w:t xml:space="preserve">much </w:t>
      </w:r>
      <w:r w:rsidR="00E43454">
        <w:t>lower</w:t>
      </w:r>
      <w:r>
        <w:t xml:space="preserve">. </w:t>
      </w:r>
      <w:r w:rsidR="0099084A">
        <w:t xml:space="preserve">The OT was reduced from 32.5 to 26.2 t in 2023/24, however catches were 16% above the OT and 30.5 t was caught. The OT was further reduced to 19.7 t for 2024/25. </w:t>
      </w:r>
      <w:r>
        <w:t xml:space="preserve">The Mallacoota East SMU comprises three reefcodes, with Gabo Island the highest contributor in all recent years. </w:t>
      </w:r>
      <w:r w:rsidR="0099084A">
        <w:t>The catch at Gabo Island in 2023/24 was again well above the OT (33%), as it has been in all recent years.</w:t>
      </w:r>
      <w:r>
        <w:t xml:space="preserve"> </w:t>
      </w:r>
      <w:r w:rsidR="003E26FB">
        <w:t>With the exception of 2020, m</w:t>
      </w:r>
      <w:r w:rsidR="00344DAD">
        <w:t xml:space="preserve">ean daily catch </w:t>
      </w:r>
      <w:r w:rsidR="003E26FB">
        <w:t xml:space="preserve">has been fairly stable over the last decade. </w:t>
      </w:r>
      <w:r>
        <w:t xml:space="preserve">CPUE </w:t>
      </w:r>
      <w:r w:rsidR="00344DAD">
        <w:t xml:space="preserve">has </w:t>
      </w:r>
      <w:r w:rsidR="003E26FB">
        <w:t xml:space="preserve">also </w:t>
      </w:r>
      <w:r w:rsidR="00344DAD">
        <w:t xml:space="preserve">fluctuated </w:t>
      </w:r>
      <w:r w:rsidR="00167FCA">
        <w:t xml:space="preserve">without </w:t>
      </w:r>
      <w:r w:rsidR="003E26FB">
        <w:t xml:space="preserve">major </w:t>
      </w:r>
      <w:r w:rsidR="00167FCA">
        <w:t>trend</w:t>
      </w:r>
      <w:r w:rsidR="003E26FB">
        <w:t>s</w:t>
      </w:r>
      <w:r w:rsidR="00167FCA">
        <w:t xml:space="preserve"> </w:t>
      </w:r>
      <w:r w:rsidR="00344DAD">
        <w:t xml:space="preserve">for the last </w:t>
      </w:r>
      <w:r w:rsidR="003E26FB">
        <w:t>decade</w:t>
      </w:r>
      <w:r w:rsidR="00344DAD">
        <w:t xml:space="preserve">. </w:t>
      </w:r>
    </w:p>
    <w:p w14:paraId="516CE8EF" w14:textId="7D3E5029" w:rsidR="00344DAD" w:rsidRDefault="00344DAD" w:rsidP="00344DAD">
      <w:r>
        <w:t xml:space="preserve">FIS data from all sites showed declines in </w:t>
      </w:r>
      <w:r w:rsidR="00296656">
        <w:t>recruit and pre-recruit abundances since the early 2000s</w:t>
      </w:r>
      <w:r>
        <w:t>. P</w:t>
      </w:r>
      <w:r w:rsidR="00296656">
        <w:t xml:space="preserve">re-recruit abundance has continued to decline since 2003 while recruit abundance appears to have been relatively stable since 2008, likely the result of progressively reduced catches from this SMU during this period. </w:t>
      </w:r>
      <w:r w:rsidR="003E26FB">
        <w:t>A</w:t>
      </w:r>
      <w:r>
        <w:t xml:space="preserve">bundances of both recruits and pre-recruits at the two Top 15 sites declined to their lowest levels in 2023. </w:t>
      </w:r>
    </w:p>
    <w:p w14:paraId="02EDFB74" w14:textId="1761A721" w:rsidR="00296656" w:rsidRDefault="00344DAD" w:rsidP="00344DAD">
      <w:r>
        <w:t xml:space="preserve">It is difficult to interpret </w:t>
      </w:r>
      <w:r w:rsidR="00296656">
        <w:t>trends in the size structure of the population</w:t>
      </w:r>
      <w:r>
        <w:t xml:space="preserve"> from either FIS or commercial length frequency data. </w:t>
      </w:r>
    </w:p>
    <w:p w14:paraId="7ED444C3" w14:textId="5F8D475D" w:rsidR="00296656" w:rsidRDefault="00296656" w:rsidP="00296656">
      <w:r>
        <w:t xml:space="preserve">For the Mallacoota East SMU, mean CPUE was above the </w:t>
      </w:r>
      <w:r w:rsidR="00A66459">
        <w:t xml:space="preserve">Threshold </w:t>
      </w:r>
      <w:r>
        <w:t xml:space="preserve">level in the Draft Harvest Strategy and has been above the Threshold level for </w:t>
      </w:r>
      <w:r w:rsidR="00344DAD">
        <w:t>3</w:t>
      </w:r>
      <w:r w:rsidR="003E26FB">
        <w:t>5</w:t>
      </w:r>
      <w:r>
        <w:t xml:space="preserve"> consecutive years (</w:t>
      </w:r>
      <w:r w:rsidR="00344DAD">
        <w:t>Table 4</w:t>
      </w:r>
      <w:r>
        <w:t xml:space="preserve">). The Primary Indicator was Stable and the Secondary Indicator was </w:t>
      </w:r>
      <w:r w:rsidR="00344DAD">
        <w:t>De</w:t>
      </w:r>
      <w:r>
        <w:t xml:space="preserve">creasing, which gave a </w:t>
      </w:r>
      <w:r w:rsidR="00344DAD">
        <w:t xml:space="preserve">Decreasing </w:t>
      </w:r>
      <w:r>
        <w:t>Primary Category</w:t>
      </w:r>
      <w:r w:rsidR="00464D44">
        <w:t xml:space="preserve"> (Table 5)</w:t>
      </w:r>
      <w:r>
        <w:t xml:space="preserve">.  The Tertiary Indicator was not available, resulting in a </w:t>
      </w:r>
      <w:r w:rsidR="00344DAD">
        <w:t xml:space="preserve">Decreasing </w:t>
      </w:r>
      <w:r>
        <w:t>Final Category for the SMU. The OT for 202</w:t>
      </w:r>
      <w:r w:rsidR="003E26FB">
        <w:t>4</w:t>
      </w:r>
      <w:r>
        <w:t>/2</w:t>
      </w:r>
      <w:r w:rsidR="003E26FB">
        <w:t>5</w:t>
      </w:r>
      <w:r>
        <w:t xml:space="preserve"> was </w:t>
      </w:r>
      <w:r w:rsidR="003E26FB">
        <w:t>19.7</w:t>
      </w:r>
      <w:r>
        <w:t xml:space="preserve"> t, and the results of the Harvest Strategy suggested </w:t>
      </w:r>
      <w:r w:rsidR="00344DAD">
        <w:t xml:space="preserve">decreasing </w:t>
      </w:r>
      <w:r>
        <w:t xml:space="preserve">this OT within a range of </w:t>
      </w:r>
      <w:r w:rsidR="003E26FB">
        <w:t>16.7</w:t>
      </w:r>
      <w:r>
        <w:t xml:space="preserve"> to </w:t>
      </w:r>
      <w:r w:rsidR="003E26FB">
        <w:t>18.7</w:t>
      </w:r>
      <w:r>
        <w:t xml:space="preserve"> t.</w:t>
      </w:r>
    </w:p>
    <w:p w14:paraId="305EF2D1" w14:textId="3BB70825" w:rsidR="00516521" w:rsidRDefault="00A66459" w:rsidP="00356AA2">
      <w:pPr>
        <w:rPr>
          <w:b/>
          <w:bCs/>
        </w:rPr>
      </w:pPr>
      <w:r>
        <w:t xml:space="preserve">While CPUE and mean daily catch have been relatively stable for the last </w:t>
      </w:r>
      <w:r w:rsidR="003E26FB">
        <w:t>decade</w:t>
      </w:r>
      <w:r>
        <w:t xml:space="preserve">, </w:t>
      </w:r>
      <w:r w:rsidR="003E26FB">
        <w:t>recent assessments had highlighted the ongoing high catches at Gabo island, which ha</w:t>
      </w:r>
      <w:r w:rsidR="00356AA2">
        <w:t>ve</w:t>
      </w:r>
      <w:r w:rsidR="003E26FB">
        <w:t xml:space="preserve"> been well above the OT for the last 6 years. </w:t>
      </w:r>
      <w:r w:rsidR="00356AA2">
        <w:rPr>
          <w:b/>
          <w:bCs/>
        </w:rPr>
        <w:t>While cuts to the OT were made for 2023/24, most of that was caught as the OT was again exceeded. Further substantial cuts have been made for the 2024/25 season, so it is too early to determine whether these reductions have improved stock performance. Again</w:t>
      </w:r>
      <w:r w:rsidR="00180C83" w:rsidRPr="00464D44">
        <w:rPr>
          <w:b/>
          <w:bCs/>
        </w:rPr>
        <w:t xml:space="preserve">, </w:t>
      </w:r>
      <w:r w:rsidR="00180C83">
        <w:rPr>
          <w:b/>
          <w:bCs/>
        </w:rPr>
        <w:t>d</w:t>
      </w:r>
      <w:r w:rsidR="00180C83" w:rsidRPr="00180C83">
        <w:rPr>
          <w:b/>
          <w:bCs/>
        </w:rPr>
        <w:t xml:space="preserve">iver observations will be </w:t>
      </w:r>
      <w:r w:rsidR="00ED27EC">
        <w:rPr>
          <w:b/>
          <w:bCs/>
        </w:rPr>
        <w:t xml:space="preserve">critical </w:t>
      </w:r>
      <w:r w:rsidR="00180C83" w:rsidRPr="00180C83">
        <w:rPr>
          <w:b/>
          <w:bCs/>
        </w:rPr>
        <w:t>in determining the OT</w:t>
      </w:r>
      <w:r w:rsidR="00180C83">
        <w:rPr>
          <w:b/>
          <w:bCs/>
        </w:rPr>
        <w:t xml:space="preserve"> for 202</w:t>
      </w:r>
      <w:r w:rsidR="00356AA2">
        <w:rPr>
          <w:b/>
          <w:bCs/>
        </w:rPr>
        <w:t>5</w:t>
      </w:r>
      <w:r w:rsidR="00180C83">
        <w:rPr>
          <w:b/>
          <w:bCs/>
        </w:rPr>
        <w:t>/2</w:t>
      </w:r>
      <w:r w:rsidR="00356AA2">
        <w:rPr>
          <w:b/>
          <w:bCs/>
        </w:rPr>
        <w:t>6</w:t>
      </w:r>
      <w:r w:rsidR="00180C83" w:rsidRPr="00180C83">
        <w:rPr>
          <w:b/>
          <w:bCs/>
        </w:rPr>
        <w:t>.</w:t>
      </w:r>
      <w:r w:rsidR="00180C83">
        <w:rPr>
          <w:b/>
          <w:bCs/>
        </w:rPr>
        <w:t xml:space="preserve"> </w:t>
      </w:r>
    </w:p>
    <w:p w14:paraId="77C05A77" w14:textId="77777777" w:rsidR="00516521" w:rsidRDefault="00516521">
      <w:pPr>
        <w:spacing w:before="0" w:after="160" w:line="259" w:lineRule="auto"/>
        <w:rPr>
          <w:b/>
          <w:bCs/>
        </w:rPr>
      </w:pPr>
      <w:r>
        <w:rPr>
          <w:b/>
          <w:bCs/>
        </w:rPr>
        <w:br w:type="page"/>
      </w:r>
    </w:p>
    <w:p w14:paraId="56161812" w14:textId="77777777" w:rsidR="00A77A9D" w:rsidRDefault="00A77A9D" w:rsidP="00A77A9D">
      <w:pPr>
        <w:pStyle w:val="Heading3"/>
        <w:numPr>
          <w:ilvl w:val="2"/>
          <w:numId w:val="33"/>
        </w:numPr>
      </w:pPr>
      <w:bookmarkStart w:id="127" w:name="_Toc182219916"/>
      <w:r>
        <w:t>Mallacoota Large (Small SMU)</w:t>
      </w:r>
      <w:bookmarkEnd w:id="127"/>
    </w:p>
    <w:p w14:paraId="28A65D8E" w14:textId="713F9644" w:rsidR="00A77A9D" w:rsidRDefault="00A77A9D" w:rsidP="00A77A9D">
      <w:r>
        <w:t>The Mallacoota Large SMU contributed 18.8 t in 2023/24 representing 6.6% of the TACC (Table 3) and 6.6% of the zone catch (Table 1</w:t>
      </w:r>
      <w:r w:rsidR="001B2FF0">
        <w:t>4</w:t>
      </w:r>
      <w:r>
        <w:t xml:space="preserve">). This was just above the </w:t>
      </w:r>
      <w:r w:rsidR="009402B3">
        <w:t>OT</w:t>
      </w:r>
      <w:r>
        <w:t xml:space="preserve"> (18.5 t). </w:t>
      </w:r>
      <w:r w:rsidR="0095084D">
        <w:t xml:space="preserve">Standardised </w:t>
      </w:r>
      <w:r>
        <w:t xml:space="preserve">CPUE in 2023/24 was </w:t>
      </w:r>
      <w:r w:rsidR="0095084D">
        <w:t>9</w:t>
      </w:r>
      <w:r>
        <w:t xml:space="preserve">% </w:t>
      </w:r>
      <w:r w:rsidR="0095084D">
        <w:t xml:space="preserve">higher </w:t>
      </w:r>
      <w:r>
        <w:t xml:space="preserve">than in 2003/04 and </w:t>
      </w:r>
      <w:r w:rsidR="0095084D">
        <w:t>5</w:t>
      </w:r>
      <w:r>
        <w:t xml:space="preserve">% lower than 2009/10. </w:t>
      </w:r>
    </w:p>
    <w:p w14:paraId="115FE376" w14:textId="4FBF31A0" w:rsidR="00A77A9D" w:rsidRDefault="00A77A9D" w:rsidP="00A77A9D">
      <w:pPr>
        <w:pStyle w:val="TableCaption"/>
      </w:pPr>
      <w:bookmarkStart w:id="128" w:name="_Toc182219874"/>
      <w:r>
        <w:t>Table 1</w:t>
      </w:r>
      <w:r w:rsidR="001B2FF0">
        <w:t>4</w:t>
      </w:r>
      <w:r>
        <w:t>: Summary of Catch, Optimum Targets and Performance Indicators for the Mallacoota Large SMU.</w:t>
      </w:r>
      <w:bookmarkEnd w:id="128"/>
      <w:r>
        <w:t xml:space="preserve"> </w:t>
      </w:r>
    </w:p>
    <w:tbl>
      <w:tblPr>
        <w:tblW w:w="9213" w:type="dxa"/>
        <w:jc w:val="center"/>
        <w:tblLayout w:type="fixed"/>
        <w:tblLook w:val="0420" w:firstRow="1" w:lastRow="0" w:firstColumn="0" w:lastColumn="0" w:noHBand="0" w:noVBand="1"/>
      </w:tblPr>
      <w:tblGrid>
        <w:gridCol w:w="706"/>
        <w:gridCol w:w="565"/>
        <w:gridCol w:w="781"/>
        <w:gridCol w:w="847"/>
        <w:gridCol w:w="848"/>
        <w:gridCol w:w="849"/>
        <w:gridCol w:w="857"/>
        <w:gridCol w:w="988"/>
        <w:gridCol w:w="847"/>
        <w:gridCol w:w="988"/>
        <w:gridCol w:w="937"/>
      </w:tblGrid>
      <w:tr w:rsidR="00A77A9D" w14:paraId="3AA64F5F" w14:textId="77777777" w:rsidTr="00E9281F">
        <w:trPr>
          <w:cantSplit/>
          <w:tblHeader/>
          <w:jc w:val="center"/>
        </w:trPr>
        <w:tc>
          <w:tcPr>
            <w:tcW w:w="374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A5D54C" w14:textId="77777777" w:rsidR="00A77A9D" w:rsidRDefault="00A77A9D" w:rsidP="00E9281F">
            <w:pPr>
              <w:spacing w:before="100" w:after="100"/>
              <w:ind w:left="100" w:right="100"/>
              <w:jc w:val="center"/>
            </w:pPr>
            <w:bookmarkStart w:id="129" w:name="_Hlk118790125"/>
            <w:r>
              <w:rPr>
                <w:rFonts w:ascii="Helvetica" w:eastAsia="Helvetica" w:hAnsi="Helvetica" w:cs="Helvetica"/>
                <w:color w:val="000000"/>
                <w:sz w:val="18"/>
                <w:szCs w:val="18"/>
              </w:rPr>
              <w:t>Catch</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F49DA0" w14:textId="77777777" w:rsidR="00A77A9D" w:rsidRDefault="00A77A9D" w:rsidP="00E9281F">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t>CPUE 2003/04 – 2023/24</w:t>
            </w:r>
            <w:r>
              <w:rPr>
                <w:rFonts w:ascii="Helvetica" w:eastAsia="Helvetica" w:hAnsi="Helvetica" w:cs="Helvetica"/>
                <w:color w:val="000000"/>
                <w:sz w:val="18"/>
                <w:szCs w:val="18"/>
              </w:rPr>
              <w:br/>
              <w:t>Abundance 2003-2023</w:t>
            </w:r>
          </w:p>
        </w:tc>
        <w:tc>
          <w:tcPr>
            <w:tcW w:w="27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D4FD4DF" w14:textId="77777777" w:rsidR="00A77A9D" w:rsidRDefault="00A77A9D" w:rsidP="00E9281F">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CPUE 2009/10 – 2023/24</w:t>
            </w:r>
            <w:r>
              <w:rPr>
                <w:rFonts w:ascii="Helvetica" w:eastAsia="Helvetica" w:hAnsi="Helvetica" w:cs="Helvetica"/>
                <w:color w:val="000000"/>
                <w:sz w:val="18"/>
                <w:szCs w:val="18"/>
              </w:rPr>
              <w:br/>
              <w:t>Abundance 2009-2023</w:t>
            </w:r>
          </w:p>
        </w:tc>
      </w:tr>
      <w:tr w:rsidR="00A77A9D" w14:paraId="0B21D47C" w14:textId="77777777" w:rsidTr="00E9281F">
        <w:trPr>
          <w:cantSplit/>
          <w:trHeight w:val="219"/>
          <w:tblHeader/>
          <w:jc w:val="center"/>
        </w:trPr>
        <w:tc>
          <w:tcPr>
            <w:tcW w:w="1271"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193FB99E" w14:textId="77777777" w:rsidR="00A77A9D" w:rsidRDefault="00A77A9D" w:rsidP="00E9281F">
            <w:pPr>
              <w:spacing w:before="100" w:after="100"/>
              <w:ind w:left="100" w:right="100"/>
              <w:jc w:val="center"/>
            </w:pPr>
            <w:r>
              <w:rPr>
                <w:rFonts w:ascii="Helvetica" w:eastAsia="Helvetica" w:hAnsi="Helvetica" w:cs="Helvetica"/>
                <w:color w:val="000000"/>
                <w:sz w:val="18"/>
                <w:szCs w:val="18"/>
              </w:rPr>
              <w:t>2023/24</w:t>
            </w:r>
          </w:p>
        </w:tc>
        <w:tc>
          <w:tcPr>
            <w:tcW w:w="247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C0AE87" w14:textId="77777777" w:rsidR="00A77A9D" w:rsidRDefault="00A77A9D" w:rsidP="00E9281F">
            <w:pPr>
              <w:spacing w:before="100" w:after="100"/>
              <w:ind w:left="100" w:right="100"/>
              <w:jc w:val="center"/>
            </w:pPr>
            <w:r>
              <w:rPr>
                <w:rFonts w:ascii="Helvetica" w:eastAsia="Helvetica" w:hAnsi="Helvetica" w:cs="Helvetica"/>
                <w:color w:val="000000"/>
                <w:sz w:val="18"/>
                <w:szCs w:val="18"/>
              </w:rPr>
              <w:t>OT + carryover* (t)</w:t>
            </w:r>
          </w:p>
        </w:tc>
        <w:tc>
          <w:tcPr>
            <w:tcW w:w="849"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6F43980" w14:textId="77777777" w:rsidR="00A77A9D" w:rsidRDefault="00A77A9D" w:rsidP="00E9281F">
            <w:pPr>
              <w:spacing w:before="100" w:after="100"/>
              <w:ind w:left="100" w:right="100"/>
              <w:jc w:val="center"/>
            </w:pPr>
            <w:r>
              <w:rPr>
                <w:rFonts w:ascii="Helvetica" w:eastAsia="Helvetica" w:hAnsi="Helvetica" w:cs="Helvetica"/>
                <w:color w:val="000000"/>
                <w:sz w:val="18"/>
                <w:szCs w:val="18"/>
              </w:rPr>
              <w:t>CPUE</w:t>
            </w:r>
          </w:p>
        </w:tc>
        <w:tc>
          <w:tcPr>
            <w:tcW w:w="85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224EAFC7" w14:textId="77777777" w:rsidR="00A77A9D" w:rsidRDefault="00A77A9D" w:rsidP="00E9281F">
            <w:pPr>
              <w:spacing w:before="100" w:after="100"/>
              <w:ind w:left="100" w:right="100"/>
              <w:jc w:val="center"/>
            </w:pPr>
            <w:r>
              <w:rPr>
                <w:rFonts w:ascii="Helvetica" w:eastAsia="Helvetica" w:hAnsi="Helvetica" w:cs="Helvetica"/>
                <w:color w:val="000000"/>
                <w:sz w:val="18"/>
                <w:szCs w:val="18"/>
              </w:rPr>
              <w:t>Pre-recruits</w:t>
            </w:r>
          </w:p>
        </w:tc>
        <w:tc>
          <w:tcPr>
            <w:tcW w:w="988"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FBA3BB0" w14:textId="77777777" w:rsidR="00A77A9D" w:rsidRDefault="00A77A9D" w:rsidP="00E9281F">
            <w:pPr>
              <w:spacing w:before="100" w:after="100"/>
              <w:ind w:left="100" w:right="100"/>
              <w:jc w:val="center"/>
            </w:pPr>
            <w:r>
              <w:rPr>
                <w:rFonts w:ascii="Helvetica" w:eastAsia="Helvetica" w:hAnsi="Helvetica" w:cs="Helvetica"/>
                <w:color w:val="000000"/>
                <w:sz w:val="18"/>
                <w:szCs w:val="18"/>
              </w:rPr>
              <w:t>Recruits</w:t>
            </w:r>
          </w:p>
        </w:tc>
        <w:tc>
          <w:tcPr>
            <w:tcW w:w="84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669092F8" w14:textId="77777777" w:rsidR="00A77A9D" w:rsidRDefault="00A77A9D" w:rsidP="00E9281F">
            <w:pPr>
              <w:spacing w:before="100" w:after="100"/>
              <w:ind w:left="100" w:right="100"/>
              <w:jc w:val="center"/>
            </w:pPr>
            <w:r>
              <w:rPr>
                <w:rFonts w:ascii="Helvetica" w:eastAsia="Helvetica" w:hAnsi="Helvetica" w:cs="Helvetica"/>
                <w:color w:val="000000"/>
                <w:sz w:val="18"/>
                <w:szCs w:val="18"/>
              </w:rPr>
              <w:t>CPUE</w:t>
            </w:r>
          </w:p>
        </w:tc>
        <w:tc>
          <w:tcPr>
            <w:tcW w:w="988"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3633199" w14:textId="77777777" w:rsidR="00A77A9D" w:rsidRDefault="00A77A9D" w:rsidP="00E9281F">
            <w:pPr>
              <w:spacing w:before="100" w:after="100"/>
              <w:ind w:left="100" w:right="100"/>
              <w:jc w:val="center"/>
            </w:pPr>
            <w:r>
              <w:rPr>
                <w:rFonts w:ascii="Helvetica" w:eastAsia="Helvetica" w:hAnsi="Helvetica" w:cs="Helvetica"/>
                <w:color w:val="000000"/>
                <w:sz w:val="18"/>
                <w:szCs w:val="18"/>
              </w:rPr>
              <w:t>Pre-recruits</w:t>
            </w:r>
          </w:p>
        </w:tc>
        <w:tc>
          <w:tcPr>
            <w:tcW w:w="93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F729DF0" w14:textId="77777777" w:rsidR="00A77A9D" w:rsidRDefault="00A77A9D" w:rsidP="00E9281F">
            <w:pPr>
              <w:spacing w:before="100" w:after="100"/>
              <w:ind w:left="100" w:right="100"/>
              <w:jc w:val="center"/>
            </w:pPr>
            <w:r>
              <w:rPr>
                <w:rFonts w:ascii="Helvetica" w:eastAsia="Helvetica" w:hAnsi="Helvetica" w:cs="Helvetica"/>
                <w:color w:val="000000"/>
                <w:sz w:val="18"/>
                <w:szCs w:val="18"/>
              </w:rPr>
              <w:t>Recruits</w:t>
            </w:r>
          </w:p>
        </w:tc>
      </w:tr>
      <w:tr w:rsidR="00A77A9D" w14:paraId="7A07B978" w14:textId="77777777" w:rsidTr="00E9281F">
        <w:trPr>
          <w:cantSplit/>
          <w:trHeight w:val="218"/>
          <w:tblHeader/>
          <w:jc w:val="center"/>
        </w:trPr>
        <w:tc>
          <w:tcPr>
            <w:tcW w:w="706"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E159C9" w14:textId="77777777" w:rsidR="00A77A9D" w:rsidRDefault="00A77A9D"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565"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3E4B75" w14:textId="77777777" w:rsidR="00A77A9D" w:rsidRDefault="00A77A9D"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E1C6BC" w14:textId="77777777" w:rsidR="00A77A9D" w:rsidRPr="0083316B" w:rsidRDefault="00A77A9D" w:rsidP="00E9281F">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p>
        </w:tc>
        <w:tc>
          <w:tcPr>
            <w:tcW w:w="84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91DE41" w14:textId="77777777" w:rsidR="00A77A9D" w:rsidRPr="0083316B" w:rsidRDefault="00A77A9D" w:rsidP="00E9281F">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p>
        </w:tc>
        <w:tc>
          <w:tcPr>
            <w:tcW w:w="8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085A27" w14:textId="77777777" w:rsidR="00A77A9D" w:rsidRPr="0083316B" w:rsidRDefault="00A77A9D" w:rsidP="00E9281F">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5</w:t>
            </w:r>
          </w:p>
        </w:tc>
        <w:tc>
          <w:tcPr>
            <w:tcW w:w="849"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774B47" w14:textId="77777777" w:rsidR="00A77A9D" w:rsidRDefault="00A77A9D" w:rsidP="00E9281F">
            <w:pPr>
              <w:spacing w:before="100" w:after="100"/>
              <w:ind w:left="100" w:right="100"/>
              <w:jc w:val="center"/>
              <w:rPr>
                <w:rFonts w:ascii="Helvetica" w:eastAsia="Helvetica" w:hAnsi="Helvetica" w:cs="Helvetica"/>
                <w:color w:val="000000"/>
                <w:sz w:val="18"/>
                <w:szCs w:val="18"/>
              </w:rPr>
            </w:pPr>
          </w:p>
        </w:tc>
        <w:tc>
          <w:tcPr>
            <w:tcW w:w="85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8FDD14" w14:textId="77777777" w:rsidR="00A77A9D" w:rsidRDefault="00A77A9D" w:rsidP="00E9281F">
            <w:pPr>
              <w:spacing w:before="100" w:after="100"/>
              <w:ind w:left="100" w:right="100"/>
              <w:jc w:val="center"/>
              <w:rPr>
                <w:rFonts w:ascii="Helvetica" w:eastAsia="Helvetica" w:hAnsi="Helvetica" w:cs="Helvetica"/>
                <w:color w:val="000000"/>
                <w:sz w:val="18"/>
                <w:szCs w:val="18"/>
              </w:rPr>
            </w:pPr>
          </w:p>
        </w:tc>
        <w:tc>
          <w:tcPr>
            <w:tcW w:w="988"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6210C87" w14:textId="77777777" w:rsidR="00A77A9D" w:rsidRDefault="00A77A9D" w:rsidP="00E9281F">
            <w:pPr>
              <w:spacing w:before="100" w:after="100"/>
              <w:ind w:left="100" w:right="100"/>
              <w:jc w:val="center"/>
              <w:rPr>
                <w:rFonts w:ascii="Helvetica" w:eastAsia="Helvetica" w:hAnsi="Helvetica" w:cs="Helvetica"/>
                <w:color w:val="000000"/>
                <w:sz w:val="18"/>
                <w:szCs w:val="18"/>
              </w:rPr>
            </w:pPr>
          </w:p>
        </w:tc>
        <w:tc>
          <w:tcPr>
            <w:tcW w:w="84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EA5CBA" w14:textId="77777777" w:rsidR="00A77A9D" w:rsidRDefault="00A77A9D" w:rsidP="00E9281F">
            <w:pPr>
              <w:spacing w:before="100" w:after="100"/>
              <w:ind w:left="100" w:right="100"/>
              <w:jc w:val="center"/>
              <w:rPr>
                <w:rFonts w:ascii="Helvetica" w:eastAsia="Helvetica" w:hAnsi="Helvetica" w:cs="Helvetica"/>
                <w:color w:val="000000"/>
                <w:sz w:val="18"/>
                <w:szCs w:val="18"/>
              </w:rPr>
            </w:pPr>
          </w:p>
        </w:tc>
        <w:tc>
          <w:tcPr>
            <w:tcW w:w="988"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F42290" w14:textId="77777777" w:rsidR="00A77A9D" w:rsidRDefault="00A77A9D" w:rsidP="00E9281F">
            <w:pPr>
              <w:spacing w:before="100" w:after="100"/>
              <w:ind w:left="100" w:right="100"/>
              <w:jc w:val="center"/>
              <w:rPr>
                <w:rFonts w:ascii="Helvetica" w:eastAsia="Helvetica" w:hAnsi="Helvetica" w:cs="Helvetica"/>
                <w:color w:val="000000"/>
                <w:sz w:val="18"/>
                <w:szCs w:val="18"/>
              </w:rPr>
            </w:pPr>
          </w:p>
        </w:tc>
        <w:tc>
          <w:tcPr>
            <w:tcW w:w="93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1DEC3BC" w14:textId="77777777" w:rsidR="00A77A9D" w:rsidRDefault="00A77A9D" w:rsidP="00E9281F">
            <w:pPr>
              <w:spacing w:before="100" w:after="100"/>
              <w:ind w:left="100" w:right="100"/>
              <w:jc w:val="center"/>
              <w:rPr>
                <w:rFonts w:ascii="Helvetica" w:eastAsia="Helvetica" w:hAnsi="Helvetica" w:cs="Helvetica"/>
                <w:color w:val="000000"/>
                <w:sz w:val="18"/>
                <w:szCs w:val="18"/>
              </w:rPr>
            </w:pPr>
          </w:p>
        </w:tc>
      </w:tr>
      <w:tr w:rsidR="00A77A9D" w14:paraId="2E9CDF13" w14:textId="77777777" w:rsidTr="00E9281F">
        <w:trPr>
          <w:cantSplit/>
          <w:jc w:val="center"/>
        </w:trPr>
        <w:tc>
          <w:tcPr>
            <w:tcW w:w="706"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6316F3" w14:textId="6D0DF38B"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18.8</w:t>
            </w:r>
          </w:p>
        </w:tc>
        <w:tc>
          <w:tcPr>
            <w:tcW w:w="56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74208D" w14:textId="316A800F"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6</w:t>
            </w:r>
            <w:r w:rsidRPr="006C0464">
              <w:rPr>
                <w:rFonts w:ascii="Helvetica" w:eastAsia="Helvetica" w:hAnsi="Helvetica" w:cs="Helvetica"/>
                <w:color w:val="000000"/>
                <w:sz w:val="18"/>
                <w:szCs w:val="18"/>
              </w:rPr>
              <w:t>.6</w:t>
            </w:r>
          </w:p>
        </w:tc>
        <w:tc>
          <w:tcPr>
            <w:tcW w:w="781"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3118483" w14:textId="149DDAAB" w:rsidR="00A77A9D" w:rsidRPr="006C0464" w:rsidRDefault="00A77A9D" w:rsidP="00A77A9D">
            <w:pPr>
              <w:spacing w:before="100" w:after="100"/>
              <w:ind w:left="100" w:right="100"/>
              <w:jc w:val="center"/>
              <w:rPr>
                <w:rFonts w:ascii="Helvetica" w:eastAsia="Helvetica" w:hAnsi="Helvetica" w:cs="Helvetica"/>
                <w:color w:val="000000"/>
                <w:sz w:val="18"/>
                <w:szCs w:val="18"/>
              </w:rPr>
            </w:pPr>
            <w:r w:rsidRPr="0083316B">
              <w:rPr>
                <w:rFonts w:ascii="Helvetica" w:eastAsia="Helvetica" w:hAnsi="Helvetica" w:cs="Helvetica"/>
                <w:color w:val="000000"/>
                <w:sz w:val="18"/>
                <w:szCs w:val="18"/>
              </w:rPr>
              <w:t>2</w:t>
            </w:r>
            <w:r>
              <w:rPr>
                <w:rFonts w:ascii="Helvetica" w:eastAsia="Helvetica" w:hAnsi="Helvetica" w:cs="Helvetica"/>
                <w:color w:val="000000"/>
                <w:sz w:val="18"/>
                <w:szCs w:val="18"/>
              </w:rPr>
              <w:t>0.0</w:t>
            </w:r>
          </w:p>
        </w:tc>
        <w:tc>
          <w:tcPr>
            <w:tcW w:w="847" w:type="dxa"/>
            <w:tcBorders>
              <w:left w:val="single" w:sz="8" w:space="0" w:color="000000"/>
              <w:bottom w:val="single" w:sz="8" w:space="0" w:color="000000"/>
              <w:right w:val="single" w:sz="8" w:space="0" w:color="000000"/>
            </w:tcBorders>
            <w:shd w:val="clear" w:color="auto" w:fill="FFFFFF"/>
            <w:vAlign w:val="center"/>
          </w:tcPr>
          <w:p w14:paraId="72154D69" w14:textId="0B2F6EA2" w:rsidR="00A77A9D" w:rsidRPr="0083316B"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18.5</w:t>
            </w:r>
          </w:p>
        </w:tc>
        <w:tc>
          <w:tcPr>
            <w:tcW w:w="848" w:type="dxa"/>
            <w:tcBorders>
              <w:left w:val="single" w:sz="8" w:space="0" w:color="000000"/>
              <w:bottom w:val="single" w:sz="8" w:space="0" w:color="000000"/>
              <w:right w:val="single" w:sz="8" w:space="0" w:color="000000"/>
            </w:tcBorders>
            <w:shd w:val="clear" w:color="auto" w:fill="FFFFFF"/>
            <w:vAlign w:val="center"/>
          </w:tcPr>
          <w:p w14:paraId="36479B59" w14:textId="1704F6A7" w:rsidR="00A77A9D" w:rsidRPr="000B31C3" w:rsidRDefault="0095084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18.5</w:t>
            </w:r>
          </w:p>
        </w:tc>
        <w:tc>
          <w:tcPr>
            <w:tcW w:w="8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1F75E1" w14:textId="7DC7A34A" w:rsidR="00A77A9D" w:rsidRDefault="0095084D" w:rsidP="00A77A9D">
            <w:pPr>
              <w:spacing w:before="100" w:after="100"/>
              <w:ind w:left="100" w:right="100"/>
              <w:jc w:val="center"/>
            </w:pPr>
            <w:r w:rsidRPr="0095084D">
              <w:rPr>
                <w:rFonts w:ascii="Helvetica" w:eastAsia="Helvetica" w:hAnsi="Helvetica" w:cs="Helvetica"/>
                <w:color w:val="000000"/>
                <w:sz w:val="18"/>
                <w:szCs w:val="18"/>
              </w:rPr>
              <w:t>9</w:t>
            </w:r>
          </w:p>
        </w:tc>
        <w:tc>
          <w:tcPr>
            <w:tcW w:w="85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FA1CB1" w14:textId="77777777"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98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2B9822" w14:textId="77777777"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84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77FE21" w14:textId="6106920D"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r w:rsidR="0095084D">
              <w:rPr>
                <w:rFonts w:ascii="Helvetica" w:eastAsia="Helvetica" w:hAnsi="Helvetica" w:cs="Helvetica"/>
                <w:color w:val="000000"/>
                <w:sz w:val="18"/>
                <w:szCs w:val="18"/>
              </w:rPr>
              <w:t>5</w:t>
            </w:r>
          </w:p>
        </w:tc>
        <w:tc>
          <w:tcPr>
            <w:tcW w:w="98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5D3784" w14:textId="77777777"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93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27A2C8" w14:textId="77777777"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r>
      <w:tr w:rsidR="00A77A9D" w14:paraId="034B032B" w14:textId="77777777" w:rsidTr="00E9281F">
        <w:trPr>
          <w:cantSplit/>
          <w:jc w:val="center"/>
        </w:trPr>
        <w:tc>
          <w:tcPr>
            <w:tcW w:w="2052"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269EAA" w14:textId="77777777" w:rsidR="00A77A9D" w:rsidRPr="00C17238" w:rsidRDefault="00A77A9D"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 135 mm</w:t>
            </w:r>
          </w:p>
        </w:tc>
        <w:tc>
          <w:tcPr>
            <w:tcW w:w="2544"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A1B388" w14:textId="53ABF099" w:rsidR="00A77A9D" w:rsidRPr="00C17238" w:rsidRDefault="00A77A9D" w:rsidP="00E9281F">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Pr>
                <w:rFonts w:ascii="Helvetica" w:eastAsia="Helvetica" w:hAnsi="Helvetica" w:cs="Helvetica"/>
                <w:color w:val="000000"/>
                <w:sz w:val="18"/>
                <w:szCs w:val="18"/>
              </w:rPr>
              <w:t>3</w:t>
            </w:r>
            <w:r w:rsidR="0095084D">
              <w:rPr>
                <w:rFonts w:ascii="Helvetica" w:eastAsia="Helvetica" w:hAnsi="Helvetica" w:cs="Helvetica"/>
                <w:color w:val="000000"/>
                <w:sz w:val="18"/>
                <w:szCs w:val="18"/>
              </w:rPr>
              <w:t>3</w:t>
            </w:r>
            <w:r>
              <w:rPr>
                <w:rFonts w:ascii="Helvetica" w:eastAsia="Helvetica" w:hAnsi="Helvetica" w:cs="Helvetica"/>
                <w:color w:val="000000"/>
                <w:sz w:val="18"/>
                <w:szCs w:val="18"/>
              </w:rPr>
              <w:t>5</w:t>
            </w:r>
            <w:r w:rsidRPr="00C17238">
              <w:rPr>
                <w:rFonts w:ascii="Helvetica" w:eastAsia="Helvetica" w:hAnsi="Helvetica" w:cs="Helvetica"/>
                <w:color w:val="000000"/>
                <w:sz w:val="18"/>
                <w:szCs w:val="18"/>
              </w:rPr>
              <w:t xml:space="preserve"> kg</w:t>
            </w:r>
          </w:p>
        </w:tc>
        <w:tc>
          <w:tcPr>
            <w:tcW w:w="2692" w:type="dxa"/>
            <w:gridSpan w:val="3"/>
            <w:tcBorders>
              <w:left w:val="single" w:sz="8" w:space="0" w:color="000000"/>
              <w:bottom w:val="single" w:sz="8" w:space="0" w:color="000000"/>
              <w:right w:val="single" w:sz="8" w:space="0" w:color="000000"/>
            </w:tcBorders>
            <w:shd w:val="clear" w:color="auto" w:fill="FFFFFF"/>
            <w:vAlign w:val="center"/>
          </w:tcPr>
          <w:p w14:paraId="55711EBA" w14:textId="5905882E" w:rsidR="00A77A9D" w:rsidRPr="00C17238" w:rsidRDefault="00A77A9D" w:rsidP="00E9281F">
            <w:pPr>
              <w:spacing w:before="100" w:after="100"/>
              <w:ind w:left="100" w:right="100"/>
              <w:jc w:val="center"/>
              <w:rPr>
                <w:rFonts w:ascii="Helvetica" w:eastAsia="Helvetica" w:hAnsi="Helvetica" w:cs="Helvetica"/>
                <w:color w:val="000000"/>
                <w:sz w:val="18"/>
                <w:szCs w:val="18"/>
              </w:rPr>
            </w:pPr>
          </w:p>
        </w:tc>
        <w:tc>
          <w:tcPr>
            <w:tcW w:w="1925"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B4B9DB" w14:textId="34771FA3" w:rsidR="00A77A9D" w:rsidRPr="00C17238" w:rsidRDefault="00A77A9D" w:rsidP="00E9281F">
            <w:pPr>
              <w:spacing w:before="100" w:after="100"/>
              <w:ind w:left="100" w:right="100"/>
              <w:jc w:val="center"/>
              <w:rPr>
                <w:rFonts w:ascii="Helvetica" w:eastAsia="Helvetica" w:hAnsi="Helvetica" w:cs="Helvetica"/>
                <w:color w:val="000000"/>
                <w:sz w:val="18"/>
                <w:szCs w:val="18"/>
              </w:rPr>
            </w:pPr>
          </w:p>
        </w:tc>
      </w:tr>
      <w:bookmarkEnd w:id="129"/>
    </w:tbl>
    <w:p w14:paraId="6FC53ECB" w14:textId="77777777" w:rsidR="00A77A9D" w:rsidRDefault="00A77A9D" w:rsidP="00A77A9D">
      <w:pPr>
        <w:pStyle w:val="TableCaption"/>
      </w:pPr>
    </w:p>
    <w:p w14:paraId="7D06D819" w14:textId="18DA5B5C" w:rsidR="00A77A9D" w:rsidRDefault="00A77A9D" w:rsidP="00A77A9D">
      <w:r>
        <w:t>The Mallacoota Large SMU has produced an average catch of 37 t since 1979 and 30 t since 1988, with a peak catch of 78 t in 1983. Since the introduction of quota, the peak catch was 58 t caught in both 1992 and 1993 (Figure 2</w:t>
      </w:r>
      <w:r w:rsidR="008C2010">
        <w:t>5</w:t>
      </w:r>
      <w:r>
        <w:t xml:space="preserve">). Catch remained around 45 t in 1994 and 1995 before declining substantially to 19 t in 1996. Thereafter catch has ranged from 7 to 43 t, with an average catch of 25 t. </w:t>
      </w:r>
      <w:r w:rsidR="002B4F5B">
        <w:t>The OT for 2024/25 has been maintained at 18.5 t.</w:t>
      </w:r>
      <w:r>
        <w:t xml:space="preserve"> </w:t>
      </w:r>
    </w:p>
    <w:p w14:paraId="0A9D2CA6" w14:textId="19EE3E71" w:rsidR="00A77A9D" w:rsidRDefault="00A77A9D" w:rsidP="00A77A9D">
      <w:r>
        <w:t xml:space="preserve">Following the introduction of quota, mean daily catch was relatively stable from 1990 to 2014. </w:t>
      </w:r>
      <w:r w:rsidR="00DE313B">
        <w:t xml:space="preserve">In 2015 mean catch per day dropped to 302 kg/day before increasing to a historic high of 499 kg/day in 2018. </w:t>
      </w:r>
      <w:r>
        <w:t xml:space="preserve">Mean daily catch has </w:t>
      </w:r>
      <w:r w:rsidR="007956D6">
        <w:t xml:space="preserve">declined substantially </w:t>
      </w:r>
      <w:r>
        <w:t xml:space="preserve">since then, </w:t>
      </w:r>
      <w:r w:rsidR="007956D6">
        <w:t>reaching 335 kg/day in 2023</w:t>
      </w:r>
      <w:r w:rsidR="00516521">
        <w:t>, however mean daily catch has been affected by market forces that limit daily catches since 2020.</w:t>
      </w:r>
    </w:p>
    <w:p w14:paraId="4AC68FA1" w14:textId="7390680A" w:rsidR="00A77A9D" w:rsidRDefault="00CD167E" w:rsidP="00A77A9D">
      <w:pPr>
        <w:jc w:val="center"/>
      </w:pPr>
      <w:r w:rsidRPr="00CD167E">
        <w:rPr>
          <w:noProof/>
        </w:rPr>
        <w:drawing>
          <wp:inline distT="0" distB="0" distL="0" distR="0" wp14:anchorId="05F434E2" wp14:editId="1369C0AA">
            <wp:extent cx="5731510" cy="3513455"/>
            <wp:effectExtent l="0" t="0" r="2540" b="0"/>
            <wp:docPr id="450194745" name="Picture 1"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94745" name="Picture 1" descr="A graph of a graph of a graph of a graph of a graph of a graph of a graph of a graph of a graph of a graph of a graph of a graph of a graph of&#10;&#10;Description automatically generated"/>
                    <pic:cNvPicPr/>
                  </pic:nvPicPr>
                  <pic:blipFill>
                    <a:blip r:embed="rId47"/>
                    <a:stretch>
                      <a:fillRect/>
                    </a:stretch>
                  </pic:blipFill>
                  <pic:spPr>
                    <a:xfrm>
                      <a:off x="0" y="0"/>
                      <a:ext cx="5731510" cy="3513455"/>
                    </a:xfrm>
                    <a:prstGeom prst="rect">
                      <a:avLst/>
                    </a:prstGeom>
                  </pic:spPr>
                </pic:pic>
              </a:graphicData>
            </a:graphic>
          </wp:inline>
        </w:drawing>
      </w:r>
    </w:p>
    <w:p w14:paraId="3E80FD96" w14:textId="7663E26A" w:rsidR="00A77A9D" w:rsidRDefault="00A77A9D" w:rsidP="00A77A9D">
      <w:pPr>
        <w:pStyle w:val="Caption"/>
      </w:pPr>
      <w:bookmarkStart w:id="130" w:name="_Toc182219826"/>
      <w:r>
        <w:t>Figure 2</w:t>
      </w:r>
      <w:r w:rsidR="008C2010">
        <w:t>5</w:t>
      </w:r>
      <w:r>
        <w:t>: Total catch and mean daily catch for the Mallacoota Large SMU from 1979 to 202</w:t>
      </w:r>
      <w:r w:rsidR="00FC5E12">
        <w:t>3</w:t>
      </w:r>
      <w:r>
        <w:t>.</w:t>
      </w:r>
      <w:bookmarkEnd w:id="130"/>
    </w:p>
    <w:p w14:paraId="758D451F" w14:textId="0D258EBC" w:rsidR="00A77A9D" w:rsidRDefault="00A77A9D" w:rsidP="00A77A9D">
      <w:r>
        <w:t>Nominal CPUE generally increased from 1992 to 2007, where it peaked at 118 kg/hr</w:t>
      </w:r>
      <w:r w:rsidR="007956D6">
        <w:t>, and has fluctuated from 95 to 120 kg/h thereafter</w:t>
      </w:r>
      <w:r>
        <w:t xml:space="preserve"> (Figure 2</w:t>
      </w:r>
      <w:r w:rsidR="008C2010">
        <w:t>6</w:t>
      </w:r>
      <w:r>
        <w:t xml:space="preserve">). </w:t>
      </w:r>
      <w:r w:rsidR="007956D6">
        <w:t xml:space="preserve">Standardised CPUE generally followed nominal trends until 2012, but since then standardised CPUE has decreased relative to nominal levels, </w:t>
      </w:r>
      <w:r>
        <w:t xml:space="preserve">Standardised CPUE has </w:t>
      </w:r>
      <w:r w:rsidR="007956D6">
        <w:t xml:space="preserve">fluctuated without trend since 2018. </w:t>
      </w:r>
    </w:p>
    <w:p w14:paraId="47A1AA1A" w14:textId="17C34FCF" w:rsidR="00A77A9D" w:rsidRDefault="00E06C9F" w:rsidP="00A77A9D">
      <w:r>
        <w:rPr>
          <w:noProof/>
        </w:rPr>
        <w:drawing>
          <wp:inline distT="0" distB="0" distL="0" distR="0" wp14:anchorId="3AD97677" wp14:editId="43A28AE6">
            <wp:extent cx="5727700" cy="3579495"/>
            <wp:effectExtent l="0" t="0" r="6350" b="1905"/>
            <wp:docPr id="170" name="Picture" descr="Figure 37: Mallacoota Large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70" name="Picture" descr="Figure 37: Mallacoota Large SMU catch and CPUE (nominal and standardised) from 1992/1993 – 2021/22. Catch = bars, nominal CPUE = grey series (+/- SE), standardised series = black. Numbers in bars indicate changes to LMLs. MPs = introduction of Marine Parks."/>
                    <pic:cNvPicPr/>
                  </pic:nvPicPr>
                  <pic:blipFill>
                    <a:blip r:embed="rId48"/>
                    <a:stretch>
                      <a:fillRect/>
                    </a:stretch>
                  </pic:blipFill>
                  <pic:spPr bwMode="auto">
                    <a:xfrm>
                      <a:off x="0" y="0"/>
                      <a:ext cx="5727700" cy="3579495"/>
                    </a:xfrm>
                    <a:prstGeom prst="rect">
                      <a:avLst/>
                    </a:prstGeom>
                    <a:noFill/>
                    <a:ln w="9525">
                      <a:noFill/>
                      <a:headEnd/>
                      <a:tailEnd/>
                    </a:ln>
                  </pic:spPr>
                </pic:pic>
              </a:graphicData>
            </a:graphic>
          </wp:inline>
        </w:drawing>
      </w:r>
    </w:p>
    <w:p w14:paraId="20077A65" w14:textId="07A65DE6" w:rsidR="00A77A9D" w:rsidRDefault="00A77A9D" w:rsidP="00A77A9D">
      <w:pPr>
        <w:pStyle w:val="Caption"/>
      </w:pPr>
      <w:bookmarkStart w:id="131" w:name="_Toc182219827"/>
      <w:r w:rsidRPr="007956D6">
        <w:t>Figure 2</w:t>
      </w:r>
      <w:r w:rsidR="008C2010" w:rsidRPr="007956D6">
        <w:t>6</w:t>
      </w:r>
      <w:r w:rsidRPr="007956D6">
        <w:t>: Mallacoota Large SMU catch, and CPUE (nominal and standardised) from 1992/93 – 2023/24.  Catch = bars, nominal CPUE = grey series (+/- SE), standardised series = black. Numbers in bars indicate changes to LMLs. MPs = introduction of Marine Parks.</w:t>
      </w:r>
      <w:bookmarkEnd w:id="131"/>
    </w:p>
    <w:p w14:paraId="59EF2B17" w14:textId="77777777" w:rsidR="00A77A9D" w:rsidRDefault="00A77A9D" w:rsidP="00A77A9D">
      <w:pPr>
        <w:spacing w:before="0" w:after="160" w:line="259" w:lineRule="auto"/>
        <w:rPr>
          <w:i/>
          <w:color w:val="44546A" w:themeColor="text2"/>
          <w:sz w:val="18"/>
        </w:rPr>
      </w:pPr>
    </w:p>
    <w:p w14:paraId="4754E640" w14:textId="1D201262" w:rsidR="00A77A9D" w:rsidRDefault="00A77A9D" w:rsidP="00A77A9D">
      <w:pPr>
        <w:pStyle w:val="TableCaption"/>
      </w:pPr>
      <w:bookmarkStart w:id="132" w:name="_Toc182219875"/>
      <w:r>
        <w:t>Table 1</w:t>
      </w:r>
      <w:r w:rsidR="001B2FF0">
        <w:t>5</w:t>
      </w:r>
      <w:r>
        <w:t xml:space="preserve">: Catches by reefcode for the Mallacoota Large </w:t>
      </w:r>
      <w:r w:rsidR="000C4999">
        <w:t xml:space="preserve">SMU from 2018/19 to 2023/24, the five-year average catch from 2018/19 to 2022/23, and the OT for </w:t>
      </w:r>
      <w:r>
        <w:t>2023/24.</w:t>
      </w:r>
      <w:bookmarkEnd w:id="132"/>
    </w:p>
    <w:p w14:paraId="1F11F760" w14:textId="5EC995A6" w:rsidR="00A77A9D" w:rsidRDefault="00A80AE5" w:rsidP="00A77A9D">
      <w:r w:rsidRPr="00A80AE5">
        <w:rPr>
          <w:noProof/>
        </w:rPr>
        <w:drawing>
          <wp:inline distT="0" distB="0" distL="0" distR="0" wp14:anchorId="767EF272" wp14:editId="368ABFF4">
            <wp:extent cx="5731510" cy="741045"/>
            <wp:effectExtent l="0" t="0" r="2540" b="1905"/>
            <wp:docPr id="1792168456"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68456" name="Picture 1" descr="A white rectangular object with black text&#10;&#10;Description automatically generated with medium confidence"/>
                    <pic:cNvPicPr/>
                  </pic:nvPicPr>
                  <pic:blipFill>
                    <a:blip r:embed="rId49"/>
                    <a:stretch>
                      <a:fillRect/>
                    </a:stretch>
                  </pic:blipFill>
                  <pic:spPr>
                    <a:xfrm>
                      <a:off x="0" y="0"/>
                      <a:ext cx="5731510" cy="741045"/>
                    </a:xfrm>
                    <a:prstGeom prst="rect">
                      <a:avLst/>
                    </a:prstGeom>
                  </pic:spPr>
                </pic:pic>
              </a:graphicData>
            </a:graphic>
          </wp:inline>
        </w:drawing>
      </w:r>
    </w:p>
    <w:p w14:paraId="0F4BD45A" w14:textId="0174442E" w:rsidR="00A77A9D" w:rsidRDefault="00A77A9D" w:rsidP="00A77A9D">
      <w:r>
        <w:t>The Mallacoota Large SMU comprises three reefcodes, with Big Rame the highest contributor followed by The Skerries (Table 1</w:t>
      </w:r>
      <w:r w:rsidR="001B2FF0">
        <w:t>5</w:t>
      </w:r>
      <w:r>
        <w:t xml:space="preserve">). Catches were around the OTs at all reefcodes in 2023/24. </w:t>
      </w:r>
    </w:p>
    <w:p w14:paraId="0111EA2B" w14:textId="2786CCB3" w:rsidR="00A77A9D" w:rsidRDefault="00A77A9D" w:rsidP="00A77A9D">
      <w:r>
        <w:t xml:space="preserve">FIS data were not collected during 2022 and there were no Top 15 sites for the Mallacoota Large SMU. The trends from the “all sites” data series (grey dashed) are difficult to interpret because of changes in sites over time but in general recruit abundance declined from 1992 to 2015 and increased slightly thereafter (Figure </w:t>
      </w:r>
      <w:r w:rsidR="008C2010">
        <w:t>27</w:t>
      </w:r>
      <w:r>
        <w:t xml:space="preserve">). </w:t>
      </w:r>
    </w:p>
    <w:p w14:paraId="27512A8C" w14:textId="77777777" w:rsidR="00A77A9D" w:rsidRDefault="00A77A9D" w:rsidP="00A77A9D">
      <w:r>
        <w:rPr>
          <w:noProof/>
        </w:rPr>
        <w:drawing>
          <wp:inline distT="0" distB="0" distL="0" distR="0" wp14:anchorId="7BD2AF58" wp14:editId="5C9DB84E">
            <wp:extent cx="5727700" cy="3579812"/>
            <wp:effectExtent l="0" t="0" r="0" b="0"/>
            <wp:docPr id="181" name="Picture" descr="Figure 38: Nominal recruit abundance (1992 – 2021; grey series +/- SE;) and catch (1992/1993 – 2021/22; bars) for the Mallacoota Large SMU."/>
            <wp:cNvGraphicFramePr/>
            <a:graphic xmlns:a="http://schemas.openxmlformats.org/drawingml/2006/main">
              <a:graphicData uri="http://schemas.openxmlformats.org/drawingml/2006/picture">
                <pic:pic xmlns:pic="http://schemas.openxmlformats.org/drawingml/2006/picture">
                  <pic:nvPicPr>
                    <pic:cNvPr id="182" name="Picture" descr="@parent.Eastern_files/figure-docx/Mallacoota.Large.Recruits.fig38-136-1.png"/>
                    <pic:cNvPicPr>
                      <a:picLocks noChangeAspect="1" noChangeArrowheads="1"/>
                    </pic:cNvPicPr>
                  </pic:nvPicPr>
                  <pic:blipFill>
                    <a:blip r:embed="rId50"/>
                    <a:stretch>
                      <a:fillRect/>
                    </a:stretch>
                  </pic:blipFill>
                  <pic:spPr bwMode="auto">
                    <a:xfrm>
                      <a:off x="0" y="0"/>
                      <a:ext cx="5727700" cy="3579812"/>
                    </a:xfrm>
                    <a:prstGeom prst="rect">
                      <a:avLst/>
                    </a:prstGeom>
                    <a:noFill/>
                    <a:ln w="9525">
                      <a:noFill/>
                      <a:headEnd/>
                      <a:tailEnd/>
                    </a:ln>
                  </pic:spPr>
                </pic:pic>
              </a:graphicData>
            </a:graphic>
          </wp:inline>
        </w:drawing>
      </w:r>
    </w:p>
    <w:p w14:paraId="6FD9F5CE" w14:textId="626D2B4A" w:rsidR="00A77A9D" w:rsidRDefault="00A77A9D" w:rsidP="00A77A9D">
      <w:pPr>
        <w:pStyle w:val="Caption"/>
      </w:pPr>
      <w:bookmarkStart w:id="133" w:name="_Toc182219828"/>
      <w:r>
        <w:t xml:space="preserve">Figure </w:t>
      </w:r>
      <w:r w:rsidR="008C2010">
        <w:t>27</w:t>
      </w:r>
      <w:r>
        <w:t>: Recruit abundance (nominal grey dashed line) and catch (bars) from 1992/93 – 2022/23 for the Mallacoota Large SMU. There are no Top 15 sites in the Mallacoota Large SMU.</w:t>
      </w:r>
      <w:bookmarkEnd w:id="133"/>
    </w:p>
    <w:p w14:paraId="17B7C6FA" w14:textId="77777777" w:rsidR="00A77A9D" w:rsidRPr="00B14D5A" w:rsidRDefault="00A77A9D" w:rsidP="00A77A9D"/>
    <w:p w14:paraId="00592CAE" w14:textId="7E4AD4C1" w:rsidR="00A77A9D" w:rsidRDefault="00A77A9D" w:rsidP="00A77A9D">
      <w:r>
        <w:t xml:space="preserve">Pre-recruit abundance declined from 1992 to 2009 and remained low thereafter (Figure </w:t>
      </w:r>
      <w:r w:rsidR="008C2010">
        <w:t>28</w:t>
      </w:r>
      <w:r>
        <w:t xml:space="preserve">). </w:t>
      </w:r>
    </w:p>
    <w:p w14:paraId="7813CA1A" w14:textId="77777777" w:rsidR="00A77A9D" w:rsidRDefault="00A77A9D" w:rsidP="00A77A9D">
      <w:r>
        <w:rPr>
          <w:noProof/>
        </w:rPr>
        <w:drawing>
          <wp:inline distT="0" distB="0" distL="0" distR="0" wp14:anchorId="29B4738F" wp14:editId="0AC20C05">
            <wp:extent cx="5727700" cy="3579812"/>
            <wp:effectExtent l="0" t="0" r="0" b="0"/>
            <wp:docPr id="184" name="Picture" descr="Figure 39: Nominal pre-recruit abundance (1992 – 2021; grey series +/- SE;) and catch (1992/1993 – 2021/22; bars) for the Mallacoota Large SMU."/>
            <wp:cNvGraphicFramePr/>
            <a:graphic xmlns:a="http://schemas.openxmlformats.org/drawingml/2006/main">
              <a:graphicData uri="http://schemas.openxmlformats.org/drawingml/2006/picture">
                <pic:pic xmlns:pic="http://schemas.openxmlformats.org/drawingml/2006/picture">
                  <pic:nvPicPr>
                    <pic:cNvPr id="185" name="Picture" descr="@parent.Eastern_files/figure-docx/Mallacoota.Large.PreRecruits.fig39-137-1.png"/>
                    <pic:cNvPicPr>
                      <a:picLocks noChangeAspect="1" noChangeArrowheads="1"/>
                    </pic:cNvPicPr>
                  </pic:nvPicPr>
                  <pic:blipFill>
                    <a:blip r:embed="rId51"/>
                    <a:stretch>
                      <a:fillRect/>
                    </a:stretch>
                  </pic:blipFill>
                  <pic:spPr bwMode="auto">
                    <a:xfrm>
                      <a:off x="0" y="0"/>
                      <a:ext cx="5727700" cy="3579812"/>
                    </a:xfrm>
                    <a:prstGeom prst="rect">
                      <a:avLst/>
                    </a:prstGeom>
                    <a:noFill/>
                    <a:ln w="9525">
                      <a:noFill/>
                      <a:headEnd/>
                      <a:tailEnd/>
                    </a:ln>
                  </pic:spPr>
                </pic:pic>
              </a:graphicData>
            </a:graphic>
          </wp:inline>
        </w:drawing>
      </w:r>
    </w:p>
    <w:p w14:paraId="2A3D3ECF" w14:textId="25368EA9" w:rsidR="00A77A9D" w:rsidRDefault="00A77A9D" w:rsidP="00A77A9D">
      <w:pPr>
        <w:pStyle w:val="Caption"/>
      </w:pPr>
      <w:bookmarkStart w:id="134" w:name="_Toc182219829"/>
      <w:r>
        <w:t xml:space="preserve">Figure </w:t>
      </w:r>
      <w:r w:rsidR="008C2010">
        <w:t>28</w:t>
      </w:r>
      <w:r>
        <w:t xml:space="preserve">: Pre-recruit </w:t>
      </w:r>
      <w:bookmarkStart w:id="135" w:name="mallacoota-large"/>
      <w:r>
        <w:t>abundance (nominal grey dashed line) and catch (bars) from 1992/93 – 2022/23 for the Mallacoota Large SMU. There are no Top 15 sites in the Mallacoota Large SMU.</w:t>
      </w:r>
      <w:bookmarkEnd w:id="134"/>
    </w:p>
    <w:p w14:paraId="0A9F5AB4" w14:textId="77777777" w:rsidR="00A77A9D" w:rsidRDefault="00A77A9D" w:rsidP="00A77A9D"/>
    <w:p w14:paraId="1E675427" w14:textId="77777777" w:rsidR="00A77A9D" w:rsidRDefault="00A77A9D" w:rsidP="00A77A9D">
      <w:r w:rsidRPr="00C20351">
        <w:rPr>
          <w:i/>
          <w:iCs/>
        </w:rPr>
        <w:t>FIS length frequency data</w:t>
      </w:r>
      <w:r>
        <w:t xml:space="preserve"> </w:t>
      </w:r>
    </w:p>
    <w:p w14:paraId="7D142ECF" w14:textId="77777777" w:rsidR="00A77A9D" w:rsidRDefault="00A77A9D" w:rsidP="00A77A9D">
      <w:r>
        <w:t xml:space="preserve">The size structure of the surveyed population in the Mallacoota Large SMU show clear trends associated with the decline in abundance of both recruit and pre-recruit abalone (Appendix 5). From 2003 to 2011, the mean size of the population ranged from 126 to 137 mm, with the proportion above the LML ranging from 33 to 53%. As the abundance of pre-recruits declined substantially thereafter and represent only a small proportion of the population, mean size increased to 135 to 140 mm and the proportion above the LML ranged from 55 to 69% from 2012 to 2020, except for 2019 where a relatively higher abundance of very small abalone (&lt;70 mm) reduced the mean size to 130 mm. </w:t>
      </w:r>
    </w:p>
    <w:p w14:paraId="0A54C8D1" w14:textId="77777777" w:rsidR="00A77A9D" w:rsidRDefault="00A77A9D" w:rsidP="00A77A9D">
      <w:r>
        <w:rPr>
          <w:i/>
          <w:iCs/>
        </w:rPr>
        <w:t xml:space="preserve">Commercial </w:t>
      </w:r>
      <w:r w:rsidRPr="00C20351">
        <w:rPr>
          <w:i/>
          <w:iCs/>
        </w:rPr>
        <w:t>length frequency data</w:t>
      </w:r>
    </w:p>
    <w:p w14:paraId="71A8B916" w14:textId="77777777" w:rsidR="00A77A9D" w:rsidRDefault="00A77A9D" w:rsidP="00A77A9D">
      <w:r>
        <w:t>Sample sizes from the commercial catch have ranged from 93 to 580 shells per year sampled and may not be a very representative sample of the underlying size distribution (Appendix 5).</w:t>
      </w:r>
    </w:p>
    <w:p w14:paraId="310B44D7" w14:textId="77777777" w:rsidR="00A77A9D" w:rsidRDefault="00A77A9D" w:rsidP="00A77A9D">
      <w:r>
        <w:rPr>
          <w:i/>
          <w:iCs/>
        </w:rPr>
        <w:t>Summary</w:t>
      </w:r>
    </w:p>
    <w:p w14:paraId="185CB610" w14:textId="01A2755A" w:rsidR="00A77A9D" w:rsidRDefault="00A77A9D" w:rsidP="00A77A9D">
      <w:r>
        <w:t>The Mallacoota Large SMU has produced an average catch of 37 t since 1979 and 30 t since 1988, with a peak catch of 78 t in 1983. The 2023/24 catch of 18.</w:t>
      </w:r>
      <w:r w:rsidR="00356AA2">
        <w:t>8</w:t>
      </w:r>
      <w:r>
        <w:t xml:space="preserve"> t was </w:t>
      </w:r>
      <w:r w:rsidR="00356AA2">
        <w:t>just above the OT</w:t>
      </w:r>
      <w:r>
        <w:t xml:space="preserve">. Reefcode catches in 2023/24 were around their respective OTs. </w:t>
      </w:r>
      <w:r w:rsidR="00356AA2">
        <w:t xml:space="preserve">CPUE has been stable in recent years and is much higher than it was in 2014/15. Mean daily catch has declined in recent years but this </w:t>
      </w:r>
      <w:r w:rsidR="00516521">
        <w:t>is</w:t>
      </w:r>
      <w:r w:rsidR="00356AA2">
        <w:t xml:space="preserve"> affected by market forces. </w:t>
      </w:r>
    </w:p>
    <w:p w14:paraId="0C0DF111" w14:textId="0DBD72A1" w:rsidR="00A77A9D" w:rsidRDefault="00A77A9D" w:rsidP="00A77A9D">
      <w:r>
        <w:t>There were no Mallacoota Large FIS sites in the Top 15 and thus FIS data have not been collected since 2021. The data from all historic FIS show substantial declines in both recruit and pre-recruit abundances.</w:t>
      </w:r>
      <w:r w:rsidR="00DC270A">
        <w:t xml:space="preserve"> </w:t>
      </w:r>
      <w:r>
        <w:t>No meaningful changes in size structure were evident from FIS and commercial length-frequency data.</w:t>
      </w:r>
    </w:p>
    <w:p w14:paraId="0DE5BE58" w14:textId="1BFC5CE2" w:rsidR="00A77A9D" w:rsidRDefault="00A77A9D" w:rsidP="00A77A9D">
      <w:r>
        <w:t>For the Mallacoota Large SMU, mean CPUE was above the Threshold level in the Draft Harvest Strategy and has been above the Threshold level for 3</w:t>
      </w:r>
      <w:r w:rsidR="00DC270A">
        <w:t>6</w:t>
      </w:r>
      <w:r>
        <w:t xml:space="preserve"> consecutive years (Table 4). The Primary Indicator was Stable and the Secondary Indicator was </w:t>
      </w:r>
      <w:r w:rsidR="00DC270A">
        <w:t>In</w:t>
      </w:r>
      <w:r>
        <w:t xml:space="preserve">creasing, which gave a </w:t>
      </w:r>
      <w:r w:rsidR="00DC270A">
        <w:t xml:space="preserve">Stable </w:t>
      </w:r>
      <w:r>
        <w:t xml:space="preserve">Primary Category (Table 5). The Tertiary Indicator was not available, resulting in a </w:t>
      </w:r>
      <w:r w:rsidR="00DC270A">
        <w:t xml:space="preserve">Stable </w:t>
      </w:r>
      <w:r>
        <w:t>Final Category for the SMU. The OT for 202</w:t>
      </w:r>
      <w:r w:rsidR="00DC270A">
        <w:t>4</w:t>
      </w:r>
      <w:r>
        <w:t>/2</w:t>
      </w:r>
      <w:r w:rsidR="00DC270A">
        <w:t>5</w:t>
      </w:r>
      <w:r>
        <w:t xml:space="preserve"> was 18.5 t, and the results of the Harvest Strategy suggest </w:t>
      </w:r>
      <w:r w:rsidR="00DC270A">
        <w:t xml:space="preserve">an </w:t>
      </w:r>
      <w:r>
        <w:t xml:space="preserve">OT from 17.6 </w:t>
      </w:r>
      <w:r w:rsidR="00DC270A">
        <w:t xml:space="preserve">to 19.4 </w:t>
      </w:r>
      <w:r>
        <w:t>t.</w:t>
      </w:r>
    </w:p>
    <w:p w14:paraId="146985E2" w14:textId="5CBCF21B" w:rsidR="00A77A9D" w:rsidRPr="00A77A9D" w:rsidRDefault="00DC270A" w:rsidP="00A77A9D">
      <w:bookmarkStart w:id="136" w:name="_Hlk150353812"/>
      <w:r>
        <w:rPr>
          <w:b/>
          <w:bCs/>
        </w:rPr>
        <w:t xml:space="preserve">Mallacoota Large was the only SMU not to have a reduction in OT during 2024/25. In recent years, this SMU has been managed by a cap that has prevented catches exceeding the OT due to a higher demand for larger abalone. Given the reductions in stock status and subsequently catch at most other SMUs, it is plausible the hard cap has helped to maintain stock status in this region. </w:t>
      </w:r>
      <w:bookmarkEnd w:id="135"/>
      <w:bookmarkEnd w:id="136"/>
      <w:r>
        <w:rPr>
          <w:b/>
          <w:bCs/>
        </w:rPr>
        <w:t>There is no evidence to suggest that changes are required to the OT.</w:t>
      </w:r>
    </w:p>
    <w:p w14:paraId="0F0FECD8" w14:textId="77777777" w:rsidR="00A77A9D" w:rsidRDefault="00A77A9D" w:rsidP="00A66459"/>
    <w:p w14:paraId="508436E1" w14:textId="77777777" w:rsidR="00DC270A" w:rsidRDefault="00DC270A">
      <w:pPr>
        <w:spacing w:before="0" w:after="160" w:line="259" w:lineRule="auto"/>
        <w:rPr>
          <w:rFonts w:ascii="Calibri" w:eastAsiaTheme="majorEastAsia" w:hAnsi="Calibri" w:cstheme="majorBidi"/>
          <w:color w:val="1F4E79" w:themeColor="accent1" w:themeShade="80"/>
          <w:szCs w:val="24"/>
        </w:rPr>
      </w:pPr>
      <w:r>
        <w:br w:type="page"/>
      </w:r>
    </w:p>
    <w:p w14:paraId="66B0C7E5" w14:textId="57A0D7D0" w:rsidR="006108E7" w:rsidRDefault="006108E7" w:rsidP="00A77A9D">
      <w:pPr>
        <w:pStyle w:val="Heading3"/>
      </w:pPr>
      <w:bookmarkStart w:id="137" w:name="_Toc182219917"/>
      <w:r>
        <w:t>Mallacoota West</w:t>
      </w:r>
      <w:r w:rsidR="00C11118">
        <w:t xml:space="preserve"> (Small SMU)</w:t>
      </w:r>
      <w:bookmarkEnd w:id="137"/>
    </w:p>
    <w:p w14:paraId="2044FCD6" w14:textId="0E17B7F2" w:rsidR="006108E7" w:rsidRDefault="00047336" w:rsidP="006108E7">
      <w:r>
        <w:t xml:space="preserve">The Mallacoota West SMU contributed </w:t>
      </w:r>
      <w:r w:rsidR="00A77A9D">
        <w:t>18.1</w:t>
      </w:r>
      <w:r>
        <w:t xml:space="preserve"> t in </w:t>
      </w:r>
      <w:r w:rsidR="00062AFC">
        <w:t>2023/24</w:t>
      </w:r>
      <w:r>
        <w:t xml:space="preserve"> representing </w:t>
      </w:r>
      <w:r w:rsidR="00A77A9D">
        <w:t>6.4</w:t>
      </w:r>
      <w:r w:rsidR="00296656">
        <w:t xml:space="preserve">% </w:t>
      </w:r>
      <w:r>
        <w:t xml:space="preserve">of the TACC </w:t>
      </w:r>
      <w:r w:rsidR="00296656">
        <w:t xml:space="preserve">(Table 3) </w:t>
      </w:r>
      <w:r>
        <w:t xml:space="preserve">and </w:t>
      </w:r>
      <w:r w:rsidR="00A77A9D">
        <w:t>6.4</w:t>
      </w:r>
      <w:r w:rsidR="00296656">
        <w:t xml:space="preserve">% of the </w:t>
      </w:r>
      <w:r>
        <w:t xml:space="preserve">zone catch (Table </w:t>
      </w:r>
      <w:r w:rsidR="00296656">
        <w:t>1</w:t>
      </w:r>
      <w:r w:rsidR="001B2FF0">
        <w:t>6</w:t>
      </w:r>
      <w:r>
        <w:t xml:space="preserve">). This catch was </w:t>
      </w:r>
      <w:r w:rsidR="00A77A9D">
        <w:t>16</w:t>
      </w:r>
      <w:r w:rsidR="00DB05E1">
        <w:t xml:space="preserve">% </w:t>
      </w:r>
      <w:r>
        <w:t xml:space="preserve">below the Optimum Target of </w:t>
      </w:r>
      <w:r w:rsidR="00A77A9D">
        <w:t>21.5</w:t>
      </w:r>
      <w:r>
        <w:t xml:space="preserve"> t. </w:t>
      </w:r>
      <w:r w:rsidR="006C0464">
        <w:t xml:space="preserve">CPUE in </w:t>
      </w:r>
      <w:r w:rsidR="00062AFC">
        <w:t>2023/24</w:t>
      </w:r>
      <w:r w:rsidR="006C0464">
        <w:t xml:space="preserve"> was 1% higher than in 2003/04 and 12% lower than 2009/10. </w:t>
      </w:r>
    </w:p>
    <w:p w14:paraId="11A46E25" w14:textId="74DFA622" w:rsidR="006108E7" w:rsidRDefault="006108E7" w:rsidP="006108E7">
      <w:pPr>
        <w:pStyle w:val="TableCaption"/>
      </w:pPr>
      <w:bookmarkStart w:id="138" w:name="_Toc182219876"/>
      <w:r>
        <w:t>Table</w:t>
      </w:r>
      <w:r w:rsidR="00AF3E66">
        <w:t xml:space="preserve"> </w:t>
      </w:r>
      <w:r w:rsidR="00047336">
        <w:t>1</w:t>
      </w:r>
      <w:r w:rsidR="001B2FF0">
        <w:t>6</w:t>
      </w:r>
      <w:r>
        <w:t>: Summary of Catch, Optimum Targets and Performance Indicators for the Mallacoota West SMU.</w:t>
      </w:r>
      <w:bookmarkEnd w:id="138"/>
      <w:r>
        <w:t xml:space="preserve"> </w:t>
      </w:r>
    </w:p>
    <w:tbl>
      <w:tblPr>
        <w:tblW w:w="9279" w:type="dxa"/>
        <w:jc w:val="center"/>
        <w:tblLayout w:type="fixed"/>
        <w:tblLook w:val="0420" w:firstRow="1" w:lastRow="0" w:firstColumn="0" w:lastColumn="0" w:noHBand="0" w:noVBand="1"/>
      </w:tblPr>
      <w:tblGrid>
        <w:gridCol w:w="682"/>
        <w:gridCol w:w="667"/>
        <w:gridCol w:w="711"/>
        <w:gridCol w:w="843"/>
        <w:gridCol w:w="844"/>
        <w:gridCol w:w="867"/>
        <w:gridCol w:w="852"/>
        <w:gridCol w:w="982"/>
        <w:gridCol w:w="842"/>
        <w:gridCol w:w="981"/>
        <w:gridCol w:w="1008"/>
      </w:tblGrid>
      <w:tr w:rsidR="00906401" w14:paraId="25AFC1CC" w14:textId="77777777" w:rsidTr="000E5167">
        <w:trPr>
          <w:cantSplit/>
          <w:tblHeader/>
          <w:jc w:val="center"/>
        </w:trPr>
        <w:tc>
          <w:tcPr>
            <w:tcW w:w="374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223118" w14:textId="77777777" w:rsidR="00906401" w:rsidRDefault="00906401" w:rsidP="00906401">
            <w:pPr>
              <w:spacing w:before="100" w:after="100"/>
              <w:ind w:left="100" w:right="100"/>
              <w:jc w:val="center"/>
            </w:pPr>
            <w:bookmarkStart w:id="139" w:name="_Hlk118785146"/>
            <w:r>
              <w:rPr>
                <w:rFonts w:ascii="Helvetica" w:eastAsia="Helvetica" w:hAnsi="Helvetica" w:cs="Helvetica"/>
                <w:color w:val="000000"/>
                <w:sz w:val="18"/>
                <w:szCs w:val="18"/>
              </w:rPr>
              <w:t>Catch</w:t>
            </w:r>
          </w:p>
        </w:tc>
        <w:tc>
          <w:tcPr>
            <w:tcW w:w="270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C253A3" w14:textId="332DC9D2" w:rsidR="00906401" w:rsidRDefault="00906401" w:rsidP="00906401">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t xml:space="preserve">CPUE 2003/04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2003-2023</w:t>
            </w:r>
          </w:p>
        </w:tc>
        <w:tc>
          <w:tcPr>
            <w:tcW w:w="283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0F800A" w14:textId="01E03C77" w:rsidR="00906401" w:rsidRDefault="00906401" w:rsidP="00906401">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 xml:space="preserve">CPUE 2009/10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2009-2023</w:t>
            </w:r>
          </w:p>
        </w:tc>
      </w:tr>
      <w:tr w:rsidR="006108E7" w14:paraId="1EBDF688" w14:textId="77777777" w:rsidTr="000E5167">
        <w:trPr>
          <w:cantSplit/>
          <w:trHeight w:val="219"/>
          <w:tblHeader/>
          <w:jc w:val="center"/>
        </w:trPr>
        <w:tc>
          <w:tcPr>
            <w:tcW w:w="1349"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62AA717E" w14:textId="6CA00A3C" w:rsidR="006108E7" w:rsidRDefault="00696A8A" w:rsidP="00CB6CDA">
            <w:pPr>
              <w:spacing w:before="100" w:after="100"/>
              <w:ind w:left="100" w:right="100"/>
              <w:jc w:val="center"/>
            </w:pPr>
            <w:r>
              <w:rPr>
                <w:rFonts w:ascii="Helvetica" w:eastAsia="Helvetica" w:hAnsi="Helvetica" w:cs="Helvetica"/>
                <w:color w:val="000000"/>
                <w:sz w:val="18"/>
                <w:szCs w:val="18"/>
              </w:rPr>
              <w:t>2023/24</w:t>
            </w:r>
          </w:p>
        </w:tc>
        <w:tc>
          <w:tcPr>
            <w:tcW w:w="23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D0EC6E" w14:textId="7166C108" w:rsidR="006108E7" w:rsidRDefault="006108E7" w:rsidP="00CB6CDA">
            <w:pPr>
              <w:spacing w:before="100" w:after="100"/>
              <w:ind w:left="100" w:right="100"/>
              <w:jc w:val="center"/>
            </w:pPr>
            <w:r>
              <w:rPr>
                <w:rFonts w:ascii="Helvetica" w:eastAsia="Helvetica" w:hAnsi="Helvetica" w:cs="Helvetica"/>
                <w:color w:val="000000"/>
                <w:sz w:val="18"/>
                <w:szCs w:val="18"/>
              </w:rPr>
              <w:t>OT (t)</w:t>
            </w:r>
          </w:p>
        </w:tc>
        <w:tc>
          <w:tcPr>
            <w:tcW w:w="86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4D0B02E4" w14:textId="77777777" w:rsidR="006108E7" w:rsidRDefault="006108E7" w:rsidP="00CB6CDA">
            <w:pPr>
              <w:spacing w:before="100" w:after="100"/>
              <w:ind w:left="100" w:right="100"/>
              <w:jc w:val="center"/>
            </w:pPr>
            <w:r>
              <w:rPr>
                <w:rFonts w:ascii="Helvetica" w:eastAsia="Helvetica" w:hAnsi="Helvetica" w:cs="Helvetica"/>
                <w:color w:val="000000"/>
                <w:sz w:val="18"/>
                <w:szCs w:val="18"/>
              </w:rPr>
              <w:t>CPUE</w:t>
            </w:r>
          </w:p>
        </w:tc>
        <w:tc>
          <w:tcPr>
            <w:tcW w:w="85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A7AB0E2" w14:textId="77777777" w:rsidR="006108E7" w:rsidRDefault="006108E7" w:rsidP="00CB6CDA">
            <w:pPr>
              <w:spacing w:before="100" w:after="100"/>
              <w:ind w:left="100" w:right="100"/>
              <w:jc w:val="center"/>
            </w:pPr>
            <w:r>
              <w:rPr>
                <w:rFonts w:ascii="Helvetica" w:eastAsia="Helvetica" w:hAnsi="Helvetica" w:cs="Helvetica"/>
                <w:color w:val="000000"/>
                <w:sz w:val="18"/>
                <w:szCs w:val="18"/>
              </w:rPr>
              <w:t>Pre-recruits</w:t>
            </w:r>
          </w:p>
        </w:tc>
        <w:tc>
          <w:tcPr>
            <w:tcW w:w="98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0FE08F98" w14:textId="77777777" w:rsidR="006108E7" w:rsidRDefault="006108E7" w:rsidP="00CB6CDA">
            <w:pPr>
              <w:spacing w:before="100" w:after="100"/>
              <w:ind w:left="100" w:right="100"/>
              <w:jc w:val="center"/>
            </w:pPr>
            <w:r>
              <w:rPr>
                <w:rFonts w:ascii="Helvetica" w:eastAsia="Helvetica" w:hAnsi="Helvetica" w:cs="Helvetica"/>
                <w:color w:val="000000"/>
                <w:sz w:val="18"/>
                <w:szCs w:val="18"/>
              </w:rPr>
              <w:t>Recruits</w:t>
            </w:r>
          </w:p>
        </w:tc>
        <w:tc>
          <w:tcPr>
            <w:tcW w:w="842"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4F16441" w14:textId="77777777" w:rsidR="006108E7" w:rsidRDefault="006108E7" w:rsidP="00CB6CDA">
            <w:pPr>
              <w:spacing w:before="100" w:after="100"/>
              <w:ind w:left="100" w:right="100"/>
              <w:jc w:val="center"/>
            </w:pPr>
            <w:r>
              <w:rPr>
                <w:rFonts w:ascii="Helvetica" w:eastAsia="Helvetica" w:hAnsi="Helvetica" w:cs="Helvetica"/>
                <w:color w:val="000000"/>
                <w:sz w:val="18"/>
                <w:szCs w:val="18"/>
              </w:rPr>
              <w:t>CPUE</w:t>
            </w:r>
          </w:p>
        </w:tc>
        <w:tc>
          <w:tcPr>
            <w:tcW w:w="981"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2B9FE7A2" w14:textId="77777777" w:rsidR="006108E7" w:rsidRDefault="006108E7" w:rsidP="00CB6CDA">
            <w:pPr>
              <w:spacing w:before="100" w:after="100"/>
              <w:ind w:left="100" w:right="100"/>
              <w:jc w:val="center"/>
            </w:pPr>
            <w:r>
              <w:rPr>
                <w:rFonts w:ascii="Helvetica" w:eastAsia="Helvetica" w:hAnsi="Helvetica" w:cs="Helvetica"/>
                <w:color w:val="000000"/>
                <w:sz w:val="18"/>
                <w:szCs w:val="18"/>
              </w:rPr>
              <w:t>Pre-recruits</w:t>
            </w:r>
          </w:p>
        </w:tc>
        <w:tc>
          <w:tcPr>
            <w:tcW w:w="1008"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3085F969" w14:textId="77777777" w:rsidR="006108E7" w:rsidRDefault="006108E7" w:rsidP="00CB6CDA">
            <w:pPr>
              <w:spacing w:before="100" w:after="100"/>
              <w:ind w:left="100" w:right="100"/>
              <w:jc w:val="center"/>
            </w:pPr>
            <w:r>
              <w:rPr>
                <w:rFonts w:ascii="Helvetica" w:eastAsia="Helvetica" w:hAnsi="Helvetica" w:cs="Helvetica"/>
                <w:color w:val="000000"/>
                <w:sz w:val="18"/>
                <w:szCs w:val="18"/>
              </w:rPr>
              <w:t>Recruits</w:t>
            </w:r>
          </w:p>
        </w:tc>
      </w:tr>
      <w:tr w:rsidR="009E6F45" w14:paraId="41B96444" w14:textId="77777777" w:rsidTr="000E5167">
        <w:trPr>
          <w:cantSplit/>
          <w:trHeight w:val="218"/>
          <w:tblHeader/>
          <w:jc w:val="center"/>
        </w:trPr>
        <w:tc>
          <w:tcPr>
            <w:tcW w:w="682"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A77A86" w14:textId="77777777" w:rsidR="009E6F45" w:rsidRDefault="009E6F45" w:rsidP="009E6F45">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667"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144C95" w14:textId="77777777" w:rsidR="009E6F45" w:rsidRDefault="009E6F45" w:rsidP="009E6F45">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1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CACB2B" w14:textId="79C898F9" w:rsidR="009E6F45" w:rsidRPr="00321F63"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p>
        </w:tc>
        <w:tc>
          <w:tcPr>
            <w:tcW w:w="84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E0FEB3" w14:textId="104CEC71" w:rsidR="009E6F45" w:rsidRPr="00321F63"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p>
        </w:tc>
        <w:tc>
          <w:tcPr>
            <w:tcW w:w="84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97D6D8" w14:textId="068687BA" w:rsidR="009E6F45" w:rsidRPr="00321F63"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5</w:t>
            </w:r>
          </w:p>
        </w:tc>
        <w:tc>
          <w:tcPr>
            <w:tcW w:w="86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19F0B0"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5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3337012"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5F3E19"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42"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BDE43F0"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1"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E11598"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1008"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064608"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r>
      <w:tr w:rsidR="00A77A9D" w14:paraId="7FA1E89F" w14:textId="77777777" w:rsidTr="000E5167">
        <w:trPr>
          <w:cantSplit/>
          <w:jc w:val="center"/>
        </w:trPr>
        <w:tc>
          <w:tcPr>
            <w:tcW w:w="68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04869DC" w14:textId="5AEA2F8C"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18.1</w:t>
            </w:r>
          </w:p>
        </w:tc>
        <w:tc>
          <w:tcPr>
            <w:tcW w:w="66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11D8A3" w14:textId="542579BA"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6.4%</w:t>
            </w:r>
          </w:p>
        </w:tc>
        <w:tc>
          <w:tcPr>
            <w:tcW w:w="711"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B0DC80" w14:textId="099B1FE4" w:rsidR="00A77A9D" w:rsidRPr="00321F63"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44.0</w:t>
            </w:r>
          </w:p>
        </w:tc>
        <w:tc>
          <w:tcPr>
            <w:tcW w:w="843" w:type="dxa"/>
            <w:tcBorders>
              <w:left w:val="single" w:sz="8" w:space="0" w:color="000000"/>
              <w:bottom w:val="single" w:sz="8" w:space="0" w:color="000000"/>
              <w:right w:val="single" w:sz="8" w:space="0" w:color="000000"/>
            </w:tcBorders>
            <w:shd w:val="clear" w:color="auto" w:fill="FFFFFF"/>
            <w:vAlign w:val="center"/>
          </w:tcPr>
          <w:p w14:paraId="44080952" w14:textId="201AF205" w:rsidR="00A77A9D" w:rsidRPr="00321F63" w:rsidRDefault="00A77A9D" w:rsidP="00A77A9D">
            <w:pPr>
              <w:spacing w:before="100" w:after="100"/>
              <w:ind w:left="100" w:right="100"/>
              <w:jc w:val="center"/>
              <w:rPr>
                <w:rFonts w:ascii="Helvetica" w:eastAsia="Helvetica" w:hAnsi="Helvetica" w:cs="Helvetica"/>
                <w:color w:val="000000"/>
                <w:sz w:val="18"/>
                <w:szCs w:val="18"/>
              </w:rPr>
            </w:pPr>
            <w:r w:rsidRPr="006C0464">
              <w:rPr>
                <w:rFonts w:ascii="Helvetica" w:eastAsia="Helvetica" w:hAnsi="Helvetica" w:cs="Helvetica"/>
                <w:color w:val="000000"/>
                <w:sz w:val="18"/>
                <w:szCs w:val="18"/>
              </w:rPr>
              <w:t>21.5</w:t>
            </w:r>
          </w:p>
        </w:tc>
        <w:tc>
          <w:tcPr>
            <w:tcW w:w="844" w:type="dxa"/>
            <w:tcBorders>
              <w:left w:val="single" w:sz="8" w:space="0" w:color="000000"/>
              <w:bottom w:val="single" w:sz="8" w:space="0" w:color="000000"/>
              <w:right w:val="single" w:sz="8" w:space="0" w:color="000000"/>
            </w:tcBorders>
            <w:shd w:val="clear" w:color="auto" w:fill="FFFFFF"/>
            <w:vAlign w:val="center"/>
          </w:tcPr>
          <w:p w14:paraId="035A5B12" w14:textId="2FB28A10" w:rsidR="00A77A9D" w:rsidRPr="006C0464" w:rsidRDefault="007956D6"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12.0</w:t>
            </w:r>
          </w:p>
        </w:tc>
        <w:tc>
          <w:tcPr>
            <w:tcW w:w="86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C647192" w14:textId="156B94C2" w:rsidR="00A77A9D" w:rsidRPr="006C0464" w:rsidRDefault="007956D6"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-3</w:t>
            </w:r>
          </w:p>
        </w:tc>
        <w:tc>
          <w:tcPr>
            <w:tcW w:w="85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465B212" w14:textId="7FC9ABBC" w:rsidR="00A77A9D" w:rsidRPr="006C0464" w:rsidRDefault="00A77A9D" w:rsidP="00A77A9D">
            <w:pPr>
              <w:spacing w:before="100" w:after="100"/>
              <w:ind w:left="100" w:right="100"/>
              <w:jc w:val="center"/>
              <w:rPr>
                <w:rFonts w:ascii="Helvetica" w:eastAsia="Helvetica" w:hAnsi="Helvetica" w:cs="Helvetica"/>
                <w:color w:val="000000"/>
                <w:sz w:val="18"/>
                <w:szCs w:val="18"/>
              </w:rPr>
            </w:pPr>
            <w:r w:rsidRPr="006C0464">
              <w:rPr>
                <w:rFonts w:ascii="Helvetica" w:eastAsia="Helvetica" w:hAnsi="Helvetica" w:cs="Helvetica"/>
                <w:color w:val="000000"/>
                <w:sz w:val="18"/>
                <w:szCs w:val="18"/>
              </w:rPr>
              <w:t>NA</w:t>
            </w:r>
          </w:p>
        </w:tc>
        <w:tc>
          <w:tcPr>
            <w:tcW w:w="98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6D5A0A" w14:textId="60929D82" w:rsidR="00A77A9D" w:rsidRPr="006C0464" w:rsidRDefault="00A77A9D" w:rsidP="00A77A9D">
            <w:pPr>
              <w:spacing w:before="100" w:after="100"/>
              <w:ind w:left="100" w:right="100"/>
              <w:jc w:val="center"/>
              <w:rPr>
                <w:rFonts w:ascii="Helvetica" w:eastAsia="Helvetica" w:hAnsi="Helvetica" w:cs="Helvetica"/>
                <w:color w:val="000000"/>
                <w:sz w:val="18"/>
                <w:szCs w:val="18"/>
              </w:rPr>
            </w:pPr>
            <w:r w:rsidRPr="006C0464">
              <w:rPr>
                <w:rFonts w:ascii="Helvetica" w:eastAsia="Helvetica" w:hAnsi="Helvetica" w:cs="Helvetica"/>
                <w:color w:val="000000"/>
                <w:sz w:val="18"/>
                <w:szCs w:val="18"/>
              </w:rPr>
              <w:t>NA</w:t>
            </w:r>
          </w:p>
        </w:tc>
        <w:tc>
          <w:tcPr>
            <w:tcW w:w="842"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243B6E" w14:textId="0733CCD5"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w:t>
            </w:r>
            <w:r w:rsidR="007956D6">
              <w:rPr>
                <w:rFonts w:ascii="Helvetica" w:eastAsia="Helvetica" w:hAnsi="Helvetica" w:cs="Helvetica"/>
                <w:color w:val="000000"/>
                <w:sz w:val="18"/>
                <w:szCs w:val="18"/>
              </w:rPr>
              <w:t>4</w:t>
            </w:r>
          </w:p>
        </w:tc>
        <w:tc>
          <w:tcPr>
            <w:tcW w:w="981"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089FF0" w14:textId="5315398E"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100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4EC7DC7" w14:textId="73FFD296" w:rsidR="00A77A9D" w:rsidRPr="006C0464" w:rsidRDefault="00A77A9D" w:rsidP="00A77A9D">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r>
      <w:tr w:rsidR="000E5167" w14:paraId="3E1133F3" w14:textId="77777777" w:rsidTr="000E5167">
        <w:trPr>
          <w:cantSplit/>
          <w:jc w:val="center"/>
        </w:trPr>
        <w:tc>
          <w:tcPr>
            <w:tcW w:w="2060"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E1E34DD" w14:textId="23068FB9" w:rsidR="000E5167" w:rsidRPr="00C17238" w:rsidRDefault="000E5167"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 125 mm</w:t>
            </w:r>
          </w:p>
        </w:tc>
        <w:tc>
          <w:tcPr>
            <w:tcW w:w="2554"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7DED4A3" w14:textId="30BCD2A6" w:rsidR="000E5167" w:rsidRPr="00C17238" w:rsidRDefault="000E5167" w:rsidP="00E9281F">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sidR="007956D6">
              <w:rPr>
                <w:rFonts w:ascii="Helvetica" w:eastAsia="Helvetica" w:hAnsi="Helvetica" w:cs="Helvetica"/>
                <w:color w:val="000000"/>
                <w:sz w:val="18"/>
                <w:szCs w:val="18"/>
              </w:rPr>
              <w:t>353</w:t>
            </w:r>
            <w:r w:rsidRPr="00C17238">
              <w:rPr>
                <w:rFonts w:ascii="Helvetica" w:eastAsia="Helvetica" w:hAnsi="Helvetica" w:cs="Helvetica"/>
                <w:color w:val="000000"/>
                <w:sz w:val="18"/>
                <w:szCs w:val="18"/>
              </w:rPr>
              <w:t xml:space="preserve"> kg</w:t>
            </w:r>
          </w:p>
        </w:tc>
        <w:tc>
          <w:tcPr>
            <w:tcW w:w="2676" w:type="dxa"/>
            <w:gridSpan w:val="3"/>
            <w:tcBorders>
              <w:left w:val="single" w:sz="8" w:space="0" w:color="000000"/>
              <w:bottom w:val="single" w:sz="8" w:space="0" w:color="000000"/>
              <w:right w:val="single" w:sz="8" w:space="0" w:color="000000"/>
            </w:tcBorders>
            <w:shd w:val="clear" w:color="auto" w:fill="FFFFFF"/>
            <w:vAlign w:val="center"/>
          </w:tcPr>
          <w:p w14:paraId="0A90163C" w14:textId="68E9BA11" w:rsidR="000E5167" w:rsidRPr="00C17238" w:rsidRDefault="000E5167" w:rsidP="00E9281F">
            <w:pPr>
              <w:spacing w:before="100" w:after="100"/>
              <w:ind w:left="100" w:right="100"/>
              <w:jc w:val="center"/>
              <w:rPr>
                <w:rFonts w:ascii="Helvetica" w:eastAsia="Helvetica" w:hAnsi="Helvetica" w:cs="Helvetica"/>
                <w:color w:val="000000"/>
                <w:sz w:val="18"/>
                <w:szCs w:val="18"/>
              </w:rPr>
            </w:pPr>
          </w:p>
        </w:tc>
        <w:tc>
          <w:tcPr>
            <w:tcW w:w="1989"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B1A4EE" w14:textId="6F674C5F" w:rsidR="000E5167" w:rsidRPr="00C17238" w:rsidRDefault="000E5167" w:rsidP="00E9281F">
            <w:pPr>
              <w:spacing w:before="100" w:after="100"/>
              <w:ind w:left="100" w:right="100"/>
              <w:jc w:val="center"/>
              <w:rPr>
                <w:rFonts w:ascii="Helvetica" w:eastAsia="Helvetica" w:hAnsi="Helvetica" w:cs="Helvetica"/>
                <w:color w:val="000000"/>
                <w:sz w:val="18"/>
                <w:szCs w:val="18"/>
              </w:rPr>
            </w:pPr>
          </w:p>
        </w:tc>
      </w:tr>
    </w:tbl>
    <w:bookmarkEnd w:id="139"/>
    <w:p w14:paraId="386C2617" w14:textId="53FF913E" w:rsidR="006108E7" w:rsidRDefault="006108E7" w:rsidP="006108E7">
      <w:r>
        <w:t>The Mallacoota West SMU has been an important historical contributor to the Eastern Zone TACC, with an average catch of 7</w:t>
      </w:r>
      <w:r w:rsidR="007956D6">
        <w:t>1</w:t>
      </w:r>
      <w:r>
        <w:t xml:space="preserve"> t since 19</w:t>
      </w:r>
      <w:r w:rsidR="009D4C32">
        <w:t>79 and 6</w:t>
      </w:r>
      <w:r w:rsidR="007956D6">
        <w:t>8</w:t>
      </w:r>
      <w:r w:rsidR="009D4C32">
        <w:t xml:space="preserve"> t since 1988,</w:t>
      </w:r>
      <w:r>
        <w:t xml:space="preserve"> </w:t>
      </w:r>
      <w:r w:rsidR="009D4C32">
        <w:t xml:space="preserve">with </w:t>
      </w:r>
      <w:r>
        <w:t>a peak catch of 1</w:t>
      </w:r>
      <w:r w:rsidR="009D4C32">
        <w:t>14</w:t>
      </w:r>
      <w:r>
        <w:t xml:space="preserve"> t taken during </w:t>
      </w:r>
      <w:r w:rsidR="009D4C32">
        <w:t>1983</w:t>
      </w:r>
      <w:r>
        <w:t xml:space="preserve"> (Figure </w:t>
      </w:r>
      <w:r w:rsidR="00AF3E66">
        <w:t>2</w:t>
      </w:r>
      <w:r w:rsidR="008C2010">
        <w:t>9</w:t>
      </w:r>
      <w:r>
        <w:t xml:space="preserve">). </w:t>
      </w:r>
      <w:r w:rsidR="009D4C32">
        <w:t xml:space="preserve">Since the introduction of quota, catches increased from a low of 52 t at that time to a contemporary peak of 101 t in 2008 but have continually </w:t>
      </w:r>
      <w:r>
        <w:t>declined thereafter</w:t>
      </w:r>
      <w:r w:rsidR="009D4C32">
        <w:t>. C</w:t>
      </w:r>
      <w:r>
        <w:t xml:space="preserve">atches </w:t>
      </w:r>
      <w:r w:rsidR="009D4C32">
        <w:t xml:space="preserve">since </w:t>
      </w:r>
      <w:r>
        <w:t xml:space="preserve">2016 </w:t>
      </w:r>
      <w:r w:rsidR="009D4C32">
        <w:t xml:space="preserve">have been below the 1988 level </w:t>
      </w:r>
      <w:r>
        <w:t>despite reductions in size limit during 2011 and 2015. The catch in 202</w:t>
      </w:r>
      <w:r w:rsidR="007956D6">
        <w:t>3</w:t>
      </w:r>
      <w:r>
        <w:t xml:space="preserve"> was the lowest recorded</w:t>
      </w:r>
      <w:r w:rsidR="00905A3E">
        <w:t>.</w:t>
      </w:r>
      <w:r w:rsidR="00D65081">
        <w:t xml:space="preserve"> Notably, the OT for 2024/25 has been further reduced to 12.0 t.</w:t>
      </w:r>
    </w:p>
    <w:p w14:paraId="19828B30" w14:textId="60AF9845" w:rsidR="009D4C32" w:rsidRDefault="009D4C32" w:rsidP="006108E7">
      <w:r>
        <w:t>Mean daily catch was consistent between 1989 and 2014, ranging from 397 to 507 kg/day with an average of 4</w:t>
      </w:r>
      <w:r w:rsidR="00F45EB8">
        <w:t>50</w:t>
      </w:r>
      <w:r>
        <w:t xml:space="preserve"> kg/day</w:t>
      </w:r>
      <w:r w:rsidR="00BD4E61">
        <w:t xml:space="preserve"> but as catches have declined mean daily catch has become more variable. </w:t>
      </w:r>
      <w:r w:rsidR="007956D6">
        <w:t>In 2023, mean daily catch dropped to 353 kg/day which was similar due levels during 2020 when the impacts of covid-19 affected the fishery and its markets.</w:t>
      </w:r>
      <w:r w:rsidR="00BD4E61">
        <w:t xml:space="preserve"> </w:t>
      </w:r>
    </w:p>
    <w:p w14:paraId="7A92BF6A" w14:textId="2AF5EB82" w:rsidR="002D7C7E" w:rsidRDefault="00CD167E" w:rsidP="00AD720E">
      <w:pPr>
        <w:jc w:val="center"/>
      </w:pPr>
      <w:r w:rsidRPr="00CD167E">
        <w:rPr>
          <w:noProof/>
        </w:rPr>
        <w:drawing>
          <wp:inline distT="0" distB="0" distL="0" distR="0" wp14:anchorId="3758A7B4" wp14:editId="3F5E05EE">
            <wp:extent cx="5731510" cy="3630295"/>
            <wp:effectExtent l="0" t="0" r="2540" b="8255"/>
            <wp:docPr id="1406471534" name="Picture 1" descr="A graph of a graph showing the value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71534" name="Picture 1" descr="A graph of a graph showing the value of a company&#10;&#10;Description automatically generated with medium confidence"/>
                    <pic:cNvPicPr/>
                  </pic:nvPicPr>
                  <pic:blipFill>
                    <a:blip r:embed="rId52"/>
                    <a:stretch>
                      <a:fillRect/>
                    </a:stretch>
                  </pic:blipFill>
                  <pic:spPr>
                    <a:xfrm>
                      <a:off x="0" y="0"/>
                      <a:ext cx="5731510" cy="3630295"/>
                    </a:xfrm>
                    <a:prstGeom prst="rect">
                      <a:avLst/>
                    </a:prstGeom>
                  </pic:spPr>
                </pic:pic>
              </a:graphicData>
            </a:graphic>
          </wp:inline>
        </w:drawing>
      </w:r>
    </w:p>
    <w:p w14:paraId="4D1C5AE0" w14:textId="0C0E9F99" w:rsidR="002D7C7E" w:rsidRDefault="002D7C7E" w:rsidP="002D7C7E">
      <w:pPr>
        <w:pStyle w:val="Caption"/>
      </w:pPr>
      <w:bookmarkStart w:id="140" w:name="_Toc182219830"/>
      <w:r>
        <w:t>Figure 2</w:t>
      </w:r>
      <w:r w:rsidR="008C2010">
        <w:t>9</w:t>
      </w:r>
      <w:r>
        <w:t>: Total catch and mean daily catch for the Mallacoota West SMU from 1979 to 202</w:t>
      </w:r>
      <w:r w:rsidR="00FC5E12">
        <w:t>3</w:t>
      </w:r>
      <w:r>
        <w:t>.</w:t>
      </w:r>
      <w:bookmarkEnd w:id="140"/>
      <w:r>
        <w:t xml:space="preserve"> </w:t>
      </w:r>
    </w:p>
    <w:p w14:paraId="2F6606AC" w14:textId="42F37A2F" w:rsidR="008D7092" w:rsidRDefault="006108E7" w:rsidP="008D7092">
      <w:r>
        <w:t xml:space="preserve">Nominal CPUE </w:t>
      </w:r>
      <w:r w:rsidR="008D7092">
        <w:t xml:space="preserve">has </w:t>
      </w:r>
      <w:r>
        <w:t xml:space="preserve">showed </w:t>
      </w:r>
      <w:r w:rsidR="008D7092">
        <w:t xml:space="preserve">three </w:t>
      </w:r>
      <w:r>
        <w:t>peaks in 2006</w:t>
      </w:r>
      <w:r w:rsidR="008D7092">
        <w:t xml:space="preserve">, </w:t>
      </w:r>
      <w:r>
        <w:t xml:space="preserve">2012 </w:t>
      </w:r>
      <w:r w:rsidR="008D7092">
        <w:t xml:space="preserve">and 2019 </w:t>
      </w:r>
      <w:r>
        <w:t xml:space="preserve">(Figure </w:t>
      </w:r>
      <w:r w:rsidR="008C2010">
        <w:t>30</w:t>
      </w:r>
      <w:r>
        <w:t>)</w:t>
      </w:r>
      <w:r w:rsidR="008D7092">
        <w:t xml:space="preserve"> with substantial fluctuations in between</w:t>
      </w:r>
      <w:r>
        <w:t xml:space="preserve">. </w:t>
      </w:r>
      <w:r w:rsidR="008D7092">
        <w:t xml:space="preserve">Nominal CPUE has declined </w:t>
      </w:r>
      <w:r w:rsidR="007956D6">
        <w:t xml:space="preserve">over </w:t>
      </w:r>
      <w:r w:rsidR="008D7092">
        <w:t xml:space="preserve">the last </w:t>
      </w:r>
      <w:r w:rsidR="007956D6">
        <w:t xml:space="preserve">five </w:t>
      </w:r>
      <w:r w:rsidR="008D7092">
        <w:t xml:space="preserve">years. Standardised CPUE </w:t>
      </w:r>
      <w:r w:rsidR="00D65081">
        <w:t xml:space="preserve">was similar to </w:t>
      </w:r>
      <w:r w:rsidR="008D7092">
        <w:t>nominal trends</w:t>
      </w:r>
      <w:r w:rsidR="00D65081">
        <w:t xml:space="preserve"> until around 2005, and has been lower than nominal CPUE in all subsequent years</w:t>
      </w:r>
      <w:r w:rsidR="008D7092">
        <w:t>.</w:t>
      </w:r>
      <w:r w:rsidR="00D65081">
        <w:t xml:space="preserve"> </w:t>
      </w:r>
    </w:p>
    <w:p w14:paraId="21E26092" w14:textId="57629E84" w:rsidR="006108E7" w:rsidRDefault="00E06C9F" w:rsidP="006108E7">
      <w:pPr>
        <w:jc w:val="center"/>
      </w:pPr>
      <w:r>
        <w:rPr>
          <w:noProof/>
        </w:rPr>
        <w:drawing>
          <wp:inline distT="0" distB="0" distL="0" distR="0" wp14:anchorId="7D6821DE" wp14:editId="1EE8326B">
            <wp:extent cx="5727700" cy="3579495"/>
            <wp:effectExtent l="0" t="0" r="6350" b="1905"/>
            <wp:docPr id="119" name="Picture" descr="Figure 25: Mallacoota West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19" name="Picture" descr="Figure 25: Mallacoota West SMU catch and CPUE (nominal and standardised) from 1992/1993 – 2021/22. Catch = bars, nominal CPUE = grey series (+/- SE), standardised series = black. Numbers in bars indicate changes to LMLs. MPs = introduction of Marine Parks."/>
                    <pic:cNvPicPr/>
                  </pic:nvPicPr>
                  <pic:blipFill>
                    <a:blip r:embed="rId53"/>
                    <a:stretch>
                      <a:fillRect/>
                    </a:stretch>
                  </pic:blipFill>
                  <pic:spPr bwMode="auto">
                    <a:xfrm>
                      <a:off x="0" y="0"/>
                      <a:ext cx="5727700" cy="3579495"/>
                    </a:xfrm>
                    <a:prstGeom prst="rect">
                      <a:avLst/>
                    </a:prstGeom>
                    <a:noFill/>
                    <a:ln w="9525">
                      <a:noFill/>
                      <a:headEnd/>
                      <a:tailEnd/>
                    </a:ln>
                  </pic:spPr>
                </pic:pic>
              </a:graphicData>
            </a:graphic>
          </wp:inline>
        </w:drawing>
      </w:r>
    </w:p>
    <w:p w14:paraId="049F8DC5" w14:textId="79E35C6B" w:rsidR="006108E7" w:rsidRDefault="006108E7" w:rsidP="005C49F6">
      <w:pPr>
        <w:pStyle w:val="Caption"/>
      </w:pPr>
      <w:bookmarkStart w:id="141" w:name="_Toc182219831"/>
      <w:r w:rsidRPr="008C2010">
        <w:t xml:space="preserve">Figure </w:t>
      </w:r>
      <w:r w:rsidR="008C2010" w:rsidRPr="008C2010">
        <w:t>30</w:t>
      </w:r>
      <w:r w:rsidRPr="008C2010">
        <w:t xml:space="preserve">: Mallacoota West </w:t>
      </w:r>
      <w:r w:rsidR="00F568E7" w:rsidRPr="008C2010">
        <w:t xml:space="preserve">SMU catch, and CPUE </w:t>
      </w:r>
      <w:r w:rsidR="00954C6A" w:rsidRPr="008C2010">
        <w:t>(nominal and standardised) from 1992/93 – 2023/24</w:t>
      </w:r>
      <w:r w:rsidR="00F568E7" w:rsidRPr="008C2010">
        <w:t>.  Catch = bars, nominal CPUE = grey series (+/- SE), standardised series = black. Numbers in bars indicate changes to LMLs. MPs = introduction of Marine Parks.</w:t>
      </w:r>
      <w:bookmarkEnd w:id="141"/>
    </w:p>
    <w:p w14:paraId="780E720A" w14:textId="0E677E6F" w:rsidR="006108E7" w:rsidRDefault="006108E7" w:rsidP="006108E7">
      <w:pPr>
        <w:pStyle w:val="TableCaption"/>
      </w:pPr>
      <w:bookmarkStart w:id="142" w:name="_Toc182219877"/>
      <w:r>
        <w:t>Table</w:t>
      </w:r>
      <w:r w:rsidR="00AF3E66">
        <w:t xml:space="preserve"> </w:t>
      </w:r>
      <w:r w:rsidR="00296656">
        <w:t>1</w:t>
      </w:r>
      <w:r w:rsidR="001B2FF0">
        <w:t>7</w:t>
      </w:r>
      <w:r>
        <w:t xml:space="preserve">: Catches by reefcode for the Mallacoota West </w:t>
      </w:r>
      <w:r w:rsidR="000C4999">
        <w:t xml:space="preserve">SMU from 2018/19 to 2023/24, the five-year average catch from 2018/19 to 2022/23, and the OT for </w:t>
      </w:r>
      <w:r w:rsidR="00062AFC">
        <w:t>2023/24</w:t>
      </w:r>
      <w:r>
        <w:t>.</w:t>
      </w:r>
      <w:bookmarkEnd w:id="142"/>
    </w:p>
    <w:p w14:paraId="5D39E1AB" w14:textId="38DBA5A3" w:rsidR="006108E7" w:rsidRDefault="00A80AE5" w:rsidP="00185074">
      <w:r w:rsidRPr="00A80AE5">
        <w:rPr>
          <w:noProof/>
        </w:rPr>
        <w:drawing>
          <wp:inline distT="0" distB="0" distL="0" distR="0" wp14:anchorId="5D6E3DAC" wp14:editId="4D2B11FD">
            <wp:extent cx="5731510" cy="881380"/>
            <wp:effectExtent l="0" t="0" r="2540" b="0"/>
            <wp:docPr id="1871484913" name="Picture 1" descr="A white rectangular box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84913" name="Picture 1" descr="A white rectangular box with numbers&#10;&#10;Description automatically generated with medium confidence"/>
                    <pic:cNvPicPr/>
                  </pic:nvPicPr>
                  <pic:blipFill>
                    <a:blip r:embed="rId54"/>
                    <a:stretch>
                      <a:fillRect/>
                    </a:stretch>
                  </pic:blipFill>
                  <pic:spPr>
                    <a:xfrm>
                      <a:off x="0" y="0"/>
                      <a:ext cx="5731510" cy="881380"/>
                    </a:xfrm>
                    <a:prstGeom prst="rect">
                      <a:avLst/>
                    </a:prstGeom>
                  </pic:spPr>
                </pic:pic>
              </a:graphicData>
            </a:graphic>
          </wp:inline>
        </w:drawing>
      </w:r>
    </w:p>
    <w:p w14:paraId="109336AA" w14:textId="075D88CC" w:rsidR="006108E7" w:rsidRDefault="006108E7" w:rsidP="006108E7">
      <w:r>
        <w:t xml:space="preserve">The Mallacoota West SMU comprises four reefcodes, with Petrel Point and Island Point the highest contributors (Table </w:t>
      </w:r>
      <w:r w:rsidR="00296656">
        <w:t>1</w:t>
      </w:r>
      <w:r w:rsidR="001B2FF0">
        <w:t>7</w:t>
      </w:r>
      <w:r>
        <w:t xml:space="preserve">). </w:t>
      </w:r>
      <w:bookmarkStart w:id="143" w:name="_Hlk118789569"/>
      <w:r w:rsidR="00C03F9D">
        <w:t xml:space="preserve">The catch </w:t>
      </w:r>
      <w:r w:rsidR="00765CE9">
        <w:t xml:space="preserve">in </w:t>
      </w:r>
      <w:r w:rsidR="00062AFC">
        <w:t>2023/24</w:t>
      </w:r>
      <w:r w:rsidR="00765CE9">
        <w:t xml:space="preserve"> was below the OT at Petrel Point </w:t>
      </w:r>
      <w:r w:rsidR="007904C0">
        <w:t xml:space="preserve">(29%) </w:t>
      </w:r>
      <w:r w:rsidR="00765CE9">
        <w:t xml:space="preserve">and </w:t>
      </w:r>
      <w:r w:rsidR="007904C0">
        <w:t xml:space="preserve">well below the OT at Meuller (68%). </w:t>
      </w:r>
      <w:bookmarkEnd w:id="143"/>
      <w:r w:rsidR="005606DB">
        <w:t>Whaleback is the only reefcode to have maintained it long-term average catch.</w:t>
      </w:r>
    </w:p>
    <w:p w14:paraId="7AA4CD8E" w14:textId="76B9EF82" w:rsidR="006108E7" w:rsidRDefault="002E3E94" w:rsidP="006108E7">
      <w:r>
        <w:t xml:space="preserve">The trends from the “all sites” </w:t>
      </w:r>
      <w:r w:rsidR="00D65081">
        <w:t xml:space="preserve">FIS </w:t>
      </w:r>
      <w:r>
        <w:t xml:space="preserve">data series (grey dashed) are difficult to interpret because of changes in sites over time. </w:t>
      </w:r>
      <w:r w:rsidR="00F76EEA">
        <w:t xml:space="preserve">Standardised </w:t>
      </w:r>
      <w:r w:rsidR="006108E7">
        <w:t xml:space="preserve">abundance of recruits </w:t>
      </w:r>
      <w:r w:rsidR="00F76EEA">
        <w:t xml:space="preserve">at the two Top 15 sites declined from 2003 to 2008 and has been highly variable thereafter </w:t>
      </w:r>
      <w:r w:rsidR="006108E7">
        <w:t xml:space="preserve">(Figure </w:t>
      </w:r>
      <w:r w:rsidR="008C2010">
        <w:t>31</w:t>
      </w:r>
      <w:r w:rsidR="006108E7">
        <w:t xml:space="preserve">). Standardised </w:t>
      </w:r>
      <w:r w:rsidR="00F76EEA">
        <w:t>abundance was the lowest recorded in 2023</w:t>
      </w:r>
      <w:r w:rsidR="006108E7">
        <w:t>.</w:t>
      </w:r>
    </w:p>
    <w:p w14:paraId="11D844FF" w14:textId="6EFBE605" w:rsidR="004B64D3" w:rsidRDefault="00F76EEA" w:rsidP="004B64D3">
      <w:r>
        <w:t>Standardised p</w:t>
      </w:r>
      <w:r w:rsidR="004B64D3">
        <w:t xml:space="preserve">re-recruit abundance </w:t>
      </w:r>
      <w:r>
        <w:t xml:space="preserve">at the two Top 15 sites declined from 2003 to 2021 but increased in 2023 </w:t>
      </w:r>
      <w:r w:rsidR="004B64D3">
        <w:t xml:space="preserve">(Figure </w:t>
      </w:r>
      <w:r w:rsidR="00CD7777">
        <w:t>32</w:t>
      </w:r>
      <w:r w:rsidR="004B64D3">
        <w:t xml:space="preserve">). </w:t>
      </w:r>
    </w:p>
    <w:p w14:paraId="645451F0" w14:textId="77777777" w:rsidR="004B64D3" w:rsidRDefault="004B64D3" w:rsidP="006108E7"/>
    <w:p w14:paraId="1F6EAA76" w14:textId="235F85E6" w:rsidR="006108E7" w:rsidRDefault="00167FCA" w:rsidP="006108E7">
      <w:pPr>
        <w:jc w:val="center"/>
      </w:pPr>
      <w:r>
        <w:rPr>
          <w:noProof/>
        </w:rPr>
        <w:drawing>
          <wp:inline distT="0" distB="0" distL="0" distR="0" wp14:anchorId="22A09835" wp14:editId="05FBDFF5">
            <wp:extent cx="5727700" cy="3579812"/>
            <wp:effectExtent l="0" t="0" r="0" b="0"/>
            <wp:docPr id="166621298" name="Picture 166621298" descr="Figure 26: Recruit abundance (1992-2023) and catch (1992/93 – 2021/22) for the Mallacoota West SMU. Grey dashed series = nominal abundance across all FIS sites (+/-SE). Black series = nominal (dotted line) and standardised (solid line) abundance at the two sites located within the Mallacoota West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131" name="Picture" descr="@parent.Eastern_files/figure-docx/Mallacoota.West.Recruits.fig26-105-1.png"/>
                    <pic:cNvPicPr>
                      <a:picLocks noChangeAspect="1" noChangeArrowheads="1"/>
                    </pic:cNvPicPr>
                  </pic:nvPicPr>
                  <pic:blipFill>
                    <a:blip r:embed="rId55"/>
                    <a:stretch>
                      <a:fillRect/>
                    </a:stretch>
                  </pic:blipFill>
                  <pic:spPr bwMode="auto">
                    <a:xfrm>
                      <a:off x="0" y="0"/>
                      <a:ext cx="5727700" cy="3579812"/>
                    </a:xfrm>
                    <a:prstGeom prst="rect">
                      <a:avLst/>
                    </a:prstGeom>
                    <a:noFill/>
                    <a:ln w="9525">
                      <a:noFill/>
                      <a:headEnd/>
                      <a:tailEnd/>
                    </a:ln>
                  </pic:spPr>
                </pic:pic>
              </a:graphicData>
            </a:graphic>
          </wp:inline>
        </w:drawing>
      </w:r>
    </w:p>
    <w:p w14:paraId="6FE3DD02" w14:textId="7FE8B5C4" w:rsidR="006108E7" w:rsidRDefault="006108E7" w:rsidP="005C49F6">
      <w:pPr>
        <w:pStyle w:val="Caption"/>
      </w:pPr>
      <w:bookmarkStart w:id="144" w:name="_Toc182219832"/>
      <w:r>
        <w:t xml:space="preserve">Figure </w:t>
      </w:r>
      <w:r w:rsidR="00CD7777">
        <w:t>31</w:t>
      </w:r>
      <w:r>
        <w:t xml:space="preserve">: Recruit </w:t>
      </w:r>
      <w:r w:rsidR="00EC3F82">
        <w:t xml:space="preserve">abundance and catch from 1992/93 – 2022/23 for the Mallacoota West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EC3F82">
        <w:t xml:space="preserve">two Top 15 </w:t>
      </w:r>
      <w:r w:rsidR="00EC3F82" w:rsidRPr="005263C9">
        <w:t xml:space="preserve">sites located within the </w:t>
      </w:r>
      <w:r w:rsidR="00EC3F82">
        <w:t xml:space="preserve">Mallacoota West </w:t>
      </w:r>
      <w:r w:rsidR="00EC3F82" w:rsidRPr="005263C9">
        <w:t>SMU</w:t>
      </w:r>
      <w:r w:rsidR="00EC3F82">
        <w:t>.</w:t>
      </w:r>
      <w:bookmarkEnd w:id="144"/>
    </w:p>
    <w:p w14:paraId="13A295DB" w14:textId="6EDE8326" w:rsidR="006108E7" w:rsidRDefault="00BD6E37" w:rsidP="006108E7">
      <w:r>
        <w:rPr>
          <w:noProof/>
        </w:rPr>
        <w:drawing>
          <wp:inline distT="0" distB="0" distL="0" distR="0" wp14:anchorId="695A3F0A" wp14:editId="463154C0">
            <wp:extent cx="5727700" cy="3579812"/>
            <wp:effectExtent l="0" t="0" r="0" b="0"/>
            <wp:docPr id="133" name="Picture" descr="Figure 27: Pre-recruit abundance (1992-2023) and catch (1992/93 – 2021/22) for the Mallacoota West SMU. Grey dashed series = nominal abundance across all FIS sites (+/-SE). Black series = nominal (dotted line) and standardised (solid line) abundance at the two sites located within the Mallacoota West SMU which contribute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134" name="Picture" descr="@parent.Eastern_files/figure-docx/Mallacoota.West.PreRecruits.fig27-107-1.png"/>
                    <pic:cNvPicPr>
                      <a:picLocks noChangeAspect="1" noChangeArrowheads="1"/>
                    </pic:cNvPicPr>
                  </pic:nvPicPr>
                  <pic:blipFill>
                    <a:blip r:embed="rId56"/>
                    <a:stretch>
                      <a:fillRect/>
                    </a:stretch>
                  </pic:blipFill>
                  <pic:spPr bwMode="auto">
                    <a:xfrm>
                      <a:off x="0" y="0"/>
                      <a:ext cx="5727700" cy="3579812"/>
                    </a:xfrm>
                    <a:prstGeom prst="rect">
                      <a:avLst/>
                    </a:prstGeom>
                    <a:noFill/>
                    <a:ln w="9525">
                      <a:noFill/>
                      <a:headEnd/>
                      <a:tailEnd/>
                    </a:ln>
                  </pic:spPr>
                </pic:pic>
              </a:graphicData>
            </a:graphic>
          </wp:inline>
        </w:drawing>
      </w:r>
    </w:p>
    <w:p w14:paraId="5F5BBD69" w14:textId="32CAD594" w:rsidR="006108E7" w:rsidRDefault="006108E7" w:rsidP="005C49F6">
      <w:pPr>
        <w:pStyle w:val="Caption"/>
      </w:pPr>
      <w:bookmarkStart w:id="145" w:name="_Toc182219833"/>
      <w:r>
        <w:t xml:space="preserve">Figure </w:t>
      </w:r>
      <w:r w:rsidR="00CD7777">
        <w:t>32</w:t>
      </w:r>
      <w:r>
        <w:t xml:space="preserve">: Pre-recruit </w:t>
      </w:r>
      <w:r w:rsidR="00EC3F82">
        <w:t xml:space="preserve">abundance and catch from 1992/93 – 2022/23 for the Mallacoota West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EC3F82">
        <w:t xml:space="preserve">two Top 15 </w:t>
      </w:r>
      <w:r w:rsidR="00EC3F82" w:rsidRPr="005263C9">
        <w:t xml:space="preserve">sites located within the </w:t>
      </w:r>
      <w:r w:rsidR="00EC3F82">
        <w:t xml:space="preserve">Mallacoota West </w:t>
      </w:r>
      <w:r w:rsidR="00EC3F82" w:rsidRPr="005263C9">
        <w:t>SMU</w:t>
      </w:r>
      <w:r w:rsidR="00EC3F82">
        <w:t>.</w:t>
      </w:r>
      <w:bookmarkEnd w:id="145"/>
    </w:p>
    <w:p w14:paraId="23263038" w14:textId="77777777" w:rsidR="00F77A98" w:rsidRPr="00F77A98" w:rsidRDefault="00F77A98" w:rsidP="00F77A98"/>
    <w:p w14:paraId="203D6425" w14:textId="77777777" w:rsidR="00404F26" w:rsidRDefault="00404F26">
      <w:pPr>
        <w:spacing w:before="0" w:after="160" w:line="259" w:lineRule="auto"/>
        <w:rPr>
          <w:i/>
          <w:iCs/>
        </w:rPr>
      </w:pPr>
      <w:r>
        <w:rPr>
          <w:i/>
          <w:iCs/>
        </w:rPr>
        <w:br w:type="page"/>
      </w:r>
    </w:p>
    <w:p w14:paraId="08F8291E" w14:textId="48953C76" w:rsidR="004C4A6C" w:rsidRDefault="004C4A6C" w:rsidP="006108E7">
      <w:r w:rsidRPr="00C20351">
        <w:rPr>
          <w:i/>
          <w:iCs/>
        </w:rPr>
        <w:t>FIS length frequency data</w:t>
      </w:r>
      <w:r>
        <w:t xml:space="preserve"> </w:t>
      </w:r>
    </w:p>
    <w:p w14:paraId="5D7E5097" w14:textId="554EB553" w:rsidR="006108E7" w:rsidRDefault="006108E7" w:rsidP="006108E7">
      <w:r>
        <w:t>There are few clear trends evident in the size structure of the population sampled during FIS in the Mallacoota West SMU</w:t>
      </w:r>
      <w:r w:rsidR="00BD4E61">
        <w:t xml:space="preserve"> (Appendix 4)</w:t>
      </w:r>
      <w:r>
        <w:t>. Mean size has generally ranged from 118 to 124 mm (except for 115 mm in 2009) and the proportion above the size limit has ranged from 37 to 57%. The modal size class has been 125-129 mm or 130-134 mm in all years except 2015 and 2016 where it was 120-124 mm.</w:t>
      </w:r>
    </w:p>
    <w:p w14:paraId="654C5327" w14:textId="64A6BABE" w:rsidR="006108E7" w:rsidRDefault="004C4A6C" w:rsidP="006108E7">
      <w:r>
        <w:rPr>
          <w:i/>
          <w:iCs/>
        </w:rPr>
        <w:t xml:space="preserve">Commercial </w:t>
      </w:r>
      <w:r w:rsidRPr="00C20351">
        <w:rPr>
          <w:i/>
          <w:iCs/>
        </w:rPr>
        <w:t>length frequency data</w:t>
      </w:r>
    </w:p>
    <w:p w14:paraId="3C1ED902" w14:textId="574F47E3" w:rsidR="006108E7" w:rsidRDefault="006108E7" w:rsidP="006108E7">
      <w:r>
        <w:t>From 2010/11 to 2016/17, most of the sampled catch was in the size classes 130-134 and 135-139 mm</w:t>
      </w:r>
      <w:r w:rsidR="00BD4E61">
        <w:t xml:space="preserve"> (Appendix 5)</w:t>
      </w:r>
      <w:r>
        <w:t xml:space="preserve">. In 2018/19 only 230 shells were measured, however more than 40% of these were just above the size limit (i.e. 125 – 129 mm size class). No data are available from 2018/19. Higher numbers of shells sampled would increase the certainty in this measure in future years. </w:t>
      </w:r>
    </w:p>
    <w:p w14:paraId="70134754" w14:textId="77777777" w:rsidR="006108E7" w:rsidRDefault="006108E7" w:rsidP="006108E7">
      <w:r>
        <w:rPr>
          <w:i/>
          <w:iCs/>
        </w:rPr>
        <w:t>Summary</w:t>
      </w:r>
    </w:p>
    <w:p w14:paraId="19D7E74D" w14:textId="441D1885" w:rsidR="00C5656B" w:rsidRDefault="006108E7" w:rsidP="00C5656B">
      <w:r>
        <w:t xml:space="preserve">The Mallacoota West SMU has been an important historical contributor to the Eastern Zone TACC, however catches </w:t>
      </w:r>
      <w:r w:rsidR="00BF5C8D">
        <w:t xml:space="preserve">have continually </w:t>
      </w:r>
      <w:r>
        <w:t xml:space="preserve">declined </w:t>
      </w:r>
      <w:r w:rsidR="00BF5C8D">
        <w:t>from the</w:t>
      </w:r>
      <w:r w:rsidR="00A66459">
        <w:t xml:space="preserve"> contemporary </w:t>
      </w:r>
      <w:r>
        <w:t>peak catch of 101 t taken during 2008</w:t>
      </w:r>
      <w:r w:rsidR="00BF5C8D">
        <w:t xml:space="preserve"> and currently catches are less than 20% of this level. </w:t>
      </w:r>
      <w:bookmarkStart w:id="146" w:name="_Hlk118788884"/>
      <w:r w:rsidR="00C5656B">
        <w:t xml:space="preserve">Catches </w:t>
      </w:r>
      <w:r w:rsidR="00BF5C8D">
        <w:t xml:space="preserve">were below the OT at </w:t>
      </w:r>
      <w:r w:rsidR="00C5656B">
        <w:t xml:space="preserve">Petrel Point and </w:t>
      </w:r>
      <w:r w:rsidR="00BF5C8D">
        <w:t>well below the OT at Meuller</w:t>
      </w:r>
      <w:r w:rsidR="00C5656B">
        <w:t xml:space="preserve">. </w:t>
      </w:r>
      <w:r w:rsidR="00C95662">
        <w:t>Although mean daily catch has been affected by market forces since 2020, there is some concern that m</w:t>
      </w:r>
      <w:r w:rsidR="00634975">
        <w:t xml:space="preserve">ean daily catch </w:t>
      </w:r>
      <w:r w:rsidR="00BF5C8D">
        <w:t xml:space="preserve">declined in 2023/24 </w:t>
      </w:r>
      <w:r w:rsidR="00C95662">
        <w:t>to similar levels to those observed in 2020</w:t>
      </w:r>
      <w:r w:rsidR="00BF5C8D">
        <w:t xml:space="preserve">. </w:t>
      </w:r>
      <w:r w:rsidR="0039084C">
        <w:t xml:space="preserve">CPUE has declined </w:t>
      </w:r>
      <w:r w:rsidR="00BF5C8D">
        <w:t xml:space="preserve">substantially since 2019. </w:t>
      </w:r>
    </w:p>
    <w:bookmarkEnd w:id="146"/>
    <w:p w14:paraId="7131D997" w14:textId="51B794DD" w:rsidR="006108E7" w:rsidRDefault="006108E7" w:rsidP="006108E7">
      <w:r>
        <w:t xml:space="preserve">Recruit and pre-recruit FIS abundances </w:t>
      </w:r>
      <w:r w:rsidR="0039084C">
        <w:t xml:space="preserve">from all sites </w:t>
      </w:r>
      <w:r>
        <w:t xml:space="preserve">are low in historical terms. Recruits fluctuated without trend </w:t>
      </w:r>
      <w:r w:rsidR="0039084C">
        <w:t xml:space="preserve">from </w:t>
      </w:r>
      <w:r>
        <w:t>2009</w:t>
      </w:r>
      <w:r w:rsidR="0039084C">
        <w:t xml:space="preserve"> to 2021</w:t>
      </w:r>
      <w:r>
        <w:t xml:space="preserve">, whereas pre-recruits have declined slowly </w:t>
      </w:r>
      <w:r w:rsidR="0039084C">
        <w:t xml:space="preserve">from </w:t>
      </w:r>
      <w:r>
        <w:t>2003</w:t>
      </w:r>
      <w:r w:rsidR="0039084C">
        <w:t xml:space="preserve"> to 2021</w:t>
      </w:r>
      <w:r>
        <w:t xml:space="preserve">. </w:t>
      </w:r>
      <w:r w:rsidR="0039084C">
        <w:t>Two Top 15 sites were surveyed in 2023. Notably, recruit abundance declined by more than 50% compared to 2021, however on a more optimistic note pre-recruit abundance more than doubled during this period.</w:t>
      </w:r>
      <w:r w:rsidR="00BF5C8D">
        <w:t xml:space="preserve"> </w:t>
      </w:r>
      <w:r>
        <w:t xml:space="preserve">Size structure </w:t>
      </w:r>
      <w:r w:rsidR="0039084C">
        <w:t xml:space="preserve">data from FIS and commercial catch showed few trends up to 2021 and 2016/17, respectively. </w:t>
      </w:r>
    </w:p>
    <w:p w14:paraId="20755850" w14:textId="5BB6726A" w:rsidR="006108E7" w:rsidRDefault="006108E7" w:rsidP="006108E7">
      <w:r w:rsidRPr="000413C1">
        <w:t xml:space="preserve">For the Mallacoota </w:t>
      </w:r>
      <w:r>
        <w:t>West</w:t>
      </w:r>
      <w:r w:rsidRPr="000413C1">
        <w:t xml:space="preserve"> SMU, mean CPUE was above the </w:t>
      </w:r>
      <w:r>
        <w:t>Threshold</w:t>
      </w:r>
      <w:r w:rsidRPr="000413C1">
        <w:t xml:space="preserve"> level in the Draft Harvest Strategy and has been above the Threshold level for </w:t>
      </w:r>
      <w:r w:rsidR="0032325E">
        <w:t>3</w:t>
      </w:r>
      <w:r w:rsidR="00BF5C8D">
        <w:t>2</w:t>
      </w:r>
      <w:r w:rsidRPr="000413C1">
        <w:t xml:space="preserve"> consecutive years (</w:t>
      </w:r>
      <w:r w:rsidR="0039084C">
        <w:t>Table 4</w:t>
      </w:r>
      <w:r w:rsidRPr="000413C1">
        <w:t xml:space="preserve">). </w:t>
      </w:r>
      <w:r w:rsidR="0039084C">
        <w:t xml:space="preserve">Both the </w:t>
      </w:r>
      <w:r w:rsidRPr="000413C1">
        <w:t xml:space="preserve">Primary Indicator </w:t>
      </w:r>
      <w:r w:rsidR="0039084C">
        <w:t xml:space="preserve">and </w:t>
      </w:r>
      <w:r w:rsidRPr="000413C1">
        <w:t>Secondary Indicator w</w:t>
      </w:r>
      <w:r w:rsidR="0039084C">
        <w:t>ere</w:t>
      </w:r>
      <w:r w:rsidRPr="000413C1">
        <w:t xml:space="preserve"> </w:t>
      </w:r>
      <w:r w:rsidR="00BF5C8D">
        <w:t>Stable</w:t>
      </w:r>
      <w:r w:rsidRPr="000413C1">
        <w:t xml:space="preserve">, which gave a </w:t>
      </w:r>
      <w:r w:rsidR="00BF5C8D">
        <w:t xml:space="preserve">Stable </w:t>
      </w:r>
      <w:r w:rsidRPr="000413C1">
        <w:t>Primary Category</w:t>
      </w:r>
      <w:r w:rsidR="00464D44">
        <w:t xml:space="preserve"> (Table 5)</w:t>
      </w:r>
      <w:r w:rsidRPr="000413C1">
        <w:t xml:space="preserve">.  The Tertiary Indicator was </w:t>
      </w:r>
      <w:r w:rsidR="0032325E">
        <w:t>not available</w:t>
      </w:r>
      <w:r w:rsidRPr="000413C1">
        <w:t xml:space="preserve">, resulting in a </w:t>
      </w:r>
      <w:r w:rsidR="00BF5C8D">
        <w:t xml:space="preserve">Stable </w:t>
      </w:r>
      <w:r w:rsidRPr="000413C1">
        <w:t xml:space="preserve">Final Category. The OT for </w:t>
      </w:r>
      <w:r w:rsidR="00CA27CF">
        <w:t>202</w:t>
      </w:r>
      <w:r w:rsidR="0039084C">
        <w:t>3</w:t>
      </w:r>
      <w:r w:rsidR="00CA27CF">
        <w:t>/2</w:t>
      </w:r>
      <w:r w:rsidR="0039084C">
        <w:t>4</w:t>
      </w:r>
      <w:r w:rsidRPr="000413C1">
        <w:t xml:space="preserve"> was </w:t>
      </w:r>
      <w:r w:rsidR="00BF5C8D">
        <w:t>12</w:t>
      </w:r>
      <w:r w:rsidRPr="000413C1">
        <w:t xml:space="preserve"> t, and the results of the Harvest Strategy suggested an OT </w:t>
      </w:r>
      <w:r w:rsidR="008E3D5F">
        <w:t xml:space="preserve">range </w:t>
      </w:r>
      <w:r w:rsidRPr="000413C1">
        <w:t xml:space="preserve">from </w:t>
      </w:r>
      <w:r w:rsidR="00BF5C8D">
        <w:t>11.4</w:t>
      </w:r>
      <w:r w:rsidR="00877E30">
        <w:t xml:space="preserve"> to </w:t>
      </w:r>
      <w:r w:rsidR="00BF5C8D">
        <w:t>12.6</w:t>
      </w:r>
      <w:r w:rsidRPr="000413C1">
        <w:t xml:space="preserve"> t.</w:t>
      </w:r>
    </w:p>
    <w:p w14:paraId="00C137ED" w14:textId="38881751" w:rsidR="008E3D5F" w:rsidRDefault="005E4A2F" w:rsidP="006108E7">
      <w:pPr>
        <w:rPr>
          <w:b/>
          <w:bCs/>
        </w:rPr>
      </w:pPr>
      <w:r w:rsidRPr="005E4A2F">
        <w:rPr>
          <w:b/>
          <w:bCs/>
        </w:rPr>
        <w:t>T</w:t>
      </w:r>
      <w:r w:rsidR="008E3D5F" w:rsidRPr="005E4A2F">
        <w:rPr>
          <w:b/>
          <w:bCs/>
        </w:rPr>
        <w:t xml:space="preserve">he OT for the </w:t>
      </w:r>
      <w:r w:rsidRPr="005E4A2F">
        <w:rPr>
          <w:b/>
          <w:bCs/>
        </w:rPr>
        <w:t xml:space="preserve">Mallacoota West </w:t>
      </w:r>
      <w:r w:rsidR="008E3D5F" w:rsidRPr="005E4A2F">
        <w:rPr>
          <w:b/>
          <w:bCs/>
        </w:rPr>
        <w:t xml:space="preserve">SMU </w:t>
      </w:r>
      <w:r w:rsidRPr="005E4A2F">
        <w:rPr>
          <w:b/>
          <w:bCs/>
        </w:rPr>
        <w:t xml:space="preserve">has been </w:t>
      </w:r>
      <w:r w:rsidR="008E3D5F" w:rsidRPr="005E4A2F">
        <w:rPr>
          <w:b/>
          <w:bCs/>
        </w:rPr>
        <w:t xml:space="preserve">reduced from 44 t </w:t>
      </w:r>
      <w:r w:rsidRPr="005E4A2F">
        <w:rPr>
          <w:b/>
          <w:bCs/>
        </w:rPr>
        <w:t xml:space="preserve">in 2022/23 to 12 t in 2024/25. </w:t>
      </w:r>
      <w:r w:rsidR="008E3D5F">
        <w:rPr>
          <w:b/>
          <w:bCs/>
        </w:rPr>
        <w:t>Given the severity of the reductions in OT for 2023/24 and lack of information to determine how the stock may have responded in this time, it is unclear whether further cuts are required.</w:t>
      </w:r>
      <w:r w:rsidR="00047259">
        <w:rPr>
          <w:b/>
          <w:bCs/>
        </w:rPr>
        <w:t xml:space="preserve"> </w:t>
      </w:r>
      <w:r w:rsidR="00180C83" w:rsidRPr="00180C83">
        <w:rPr>
          <w:b/>
          <w:bCs/>
        </w:rPr>
        <w:t xml:space="preserve">Diver observations will be </w:t>
      </w:r>
      <w:r w:rsidR="00ED27EC">
        <w:rPr>
          <w:b/>
          <w:bCs/>
        </w:rPr>
        <w:t xml:space="preserve">critical </w:t>
      </w:r>
      <w:r w:rsidR="00180C83" w:rsidRPr="00180C83">
        <w:rPr>
          <w:b/>
          <w:bCs/>
        </w:rPr>
        <w:t>in determining the OT</w:t>
      </w:r>
      <w:r w:rsidR="00180C83">
        <w:rPr>
          <w:b/>
          <w:bCs/>
        </w:rPr>
        <w:t xml:space="preserve"> for 2024/25</w:t>
      </w:r>
      <w:r w:rsidR="00180C83" w:rsidRPr="00180C83">
        <w:rPr>
          <w:b/>
          <w:bCs/>
        </w:rPr>
        <w:t>.</w:t>
      </w:r>
    </w:p>
    <w:p w14:paraId="50C9C29D" w14:textId="3BA6957A" w:rsidR="006108E7" w:rsidRPr="00243935" w:rsidRDefault="008E3D5F" w:rsidP="006108E7">
      <w:pPr>
        <w:rPr>
          <w:b/>
          <w:bCs/>
        </w:rPr>
      </w:pPr>
      <w:r>
        <w:t xml:space="preserve"> </w:t>
      </w:r>
    </w:p>
    <w:bookmarkEnd w:id="75"/>
    <w:bookmarkEnd w:id="118"/>
    <w:p w14:paraId="2E4AA149" w14:textId="77777777" w:rsidR="00AD720E" w:rsidRDefault="00AD720E">
      <w:pPr>
        <w:spacing w:before="0" w:after="160" w:line="259" w:lineRule="auto"/>
        <w:rPr>
          <w:rFonts w:ascii="Calibri" w:eastAsiaTheme="majorEastAsia" w:hAnsi="Calibri" w:cstheme="majorBidi"/>
          <w:color w:val="1F4E79" w:themeColor="accent1" w:themeShade="80"/>
          <w:szCs w:val="24"/>
        </w:rPr>
      </w:pPr>
      <w:r>
        <w:br w:type="page"/>
      </w:r>
    </w:p>
    <w:p w14:paraId="067BF7AE" w14:textId="50A7F318" w:rsidR="00C70DC4" w:rsidRDefault="00C70DC4" w:rsidP="00A77A9D">
      <w:pPr>
        <w:pStyle w:val="Heading3"/>
      </w:pPr>
      <w:bookmarkStart w:id="147" w:name="_Toc182219918"/>
      <w:r>
        <w:t>Mallacoota Small</w:t>
      </w:r>
      <w:r w:rsidR="00C11118">
        <w:t xml:space="preserve"> (Small SMU)</w:t>
      </w:r>
      <w:bookmarkEnd w:id="147"/>
    </w:p>
    <w:p w14:paraId="5CD980C9" w14:textId="3F81DCB9" w:rsidR="00C70DC4" w:rsidRDefault="00C70DC4" w:rsidP="00C70DC4">
      <w:r>
        <w:t xml:space="preserve">The Mallacoota Small SMU catch of </w:t>
      </w:r>
      <w:r w:rsidR="00EB6433">
        <w:t>1</w:t>
      </w:r>
      <w:r w:rsidR="00F6309B">
        <w:t>7.7</w:t>
      </w:r>
      <w:r>
        <w:t xml:space="preserve"> t in </w:t>
      </w:r>
      <w:r w:rsidR="00062AFC">
        <w:t>2023/24</w:t>
      </w:r>
      <w:r>
        <w:t xml:space="preserve"> represented</w:t>
      </w:r>
      <w:r w:rsidR="00EB6433">
        <w:t xml:space="preserve"> </w:t>
      </w:r>
      <w:r w:rsidR="00F6309B">
        <w:t>6.2</w:t>
      </w:r>
      <w:r>
        <w:t xml:space="preserve">% of the TACC </w:t>
      </w:r>
      <w:r w:rsidR="00EB6433">
        <w:t xml:space="preserve">(Table 3) </w:t>
      </w:r>
      <w:r>
        <w:t xml:space="preserve">and </w:t>
      </w:r>
      <w:r w:rsidR="00F6309B">
        <w:t>6.2</w:t>
      </w:r>
      <w:r>
        <w:t xml:space="preserve">% of the total catch for the Eastern Zone (Table </w:t>
      </w:r>
      <w:r w:rsidR="001B676D">
        <w:t>1</w:t>
      </w:r>
      <w:r w:rsidR="00EB6433">
        <w:t>8</w:t>
      </w:r>
      <w:r>
        <w:t xml:space="preserve">). </w:t>
      </w:r>
      <w:bookmarkStart w:id="148" w:name="_Hlk118792293"/>
      <w:r w:rsidR="00F6309B">
        <w:t xml:space="preserve">The catch was 14% above the </w:t>
      </w:r>
      <w:r w:rsidR="00F55CFC">
        <w:t>OT</w:t>
      </w:r>
      <w:r w:rsidR="00F6309B">
        <w:t xml:space="preserve"> (15.5 t). </w:t>
      </w:r>
      <w:r w:rsidR="00D65081">
        <w:t xml:space="preserve">Standardised </w:t>
      </w:r>
      <w:r>
        <w:t xml:space="preserve">CPUE </w:t>
      </w:r>
      <w:r w:rsidR="00685BAD">
        <w:t>was</w:t>
      </w:r>
      <w:r>
        <w:t xml:space="preserve"> </w:t>
      </w:r>
      <w:r w:rsidR="00D65081">
        <w:t>5</w:t>
      </w:r>
      <w:r w:rsidR="00685BAD">
        <w:t xml:space="preserve">% </w:t>
      </w:r>
      <w:r w:rsidR="00D65081">
        <w:t xml:space="preserve">lower </w:t>
      </w:r>
      <w:r w:rsidR="00685BAD">
        <w:t xml:space="preserve">than </w:t>
      </w:r>
      <w:r>
        <w:t>2003</w:t>
      </w:r>
      <w:r w:rsidR="00685BAD">
        <w:t>/04</w:t>
      </w:r>
      <w:r>
        <w:t xml:space="preserve"> and </w:t>
      </w:r>
      <w:r w:rsidR="00D65081">
        <w:t>1</w:t>
      </w:r>
      <w:r w:rsidR="001B676D">
        <w:t>1</w:t>
      </w:r>
      <w:r>
        <w:t xml:space="preserve">% </w:t>
      </w:r>
      <w:r w:rsidR="00D65081">
        <w:t xml:space="preserve">lower </w:t>
      </w:r>
      <w:r w:rsidR="00685BAD">
        <w:t xml:space="preserve">than </w:t>
      </w:r>
      <w:r>
        <w:t>2009</w:t>
      </w:r>
      <w:r w:rsidR="00685BAD">
        <w:t>/10</w:t>
      </w:r>
      <w:r>
        <w:t>.</w:t>
      </w:r>
      <w:bookmarkEnd w:id="148"/>
      <w:r>
        <w:t xml:space="preserve"> </w:t>
      </w:r>
    </w:p>
    <w:p w14:paraId="1F2E902A" w14:textId="61AE8639" w:rsidR="00C70DC4" w:rsidRDefault="00C70DC4" w:rsidP="006415C4">
      <w:pPr>
        <w:pStyle w:val="TableCaption"/>
      </w:pPr>
      <w:bookmarkStart w:id="149" w:name="_Toc182219878"/>
      <w:r>
        <w:t>Table</w:t>
      </w:r>
      <w:r w:rsidR="001B676D">
        <w:t xml:space="preserve"> 1</w:t>
      </w:r>
      <w:r w:rsidR="00EB6433">
        <w:t>8</w:t>
      </w:r>
      <w:r>
        <w:t>: Summary of Catch, Optimum Targets and Performance Indicators for the Mallacoota Small SMU.</w:t>
      </w:r>
      <w:bookmarkEnd w:id="149"/>
      <w:r>
        <w:t xml:space="preserve"> </w:t>
      </w:r>
    </w:p>
    <w:tbl>
      <w:tblPr>
        <w:tblW w:w="9383" w:type="dxa"/>
        <w:jc w:val="center"/>
        <w:tblLayout w:type="fixed"/>
        <w:tblLook w:val="0420" w:firstRow="1" w:lastRow="0" w:firstColumn="0" w:lastColumn="0" w:noHBand="0" w:noVBand="1"/>
      </w:tblPr>
      <w:tblGrid>
        <w:gridCol w:w="715"/>
        <w:gridCol w:w="706"/>
        <w:gridCol w:w="724"/>
        <w:gridCol w:w="848"/>
        <w:gridCol w:w="849"/>
        <w:gridCol w:w="857"/>
        <w:gridCol w:w="858"/>
        <w:gridCol w:w="989"/>
        <w:gridCol w:w="851"/>
        <w:gridCol w:w="989"/>
        <w:gridCol w:w="997"/>
      </w:tblGrid>
      <w:tr w:rsidR="00906401" w14:paraId="7ECB2210" w14:textId="77777777" w:rsidTr="000E5167">
        <w:trPr>
          <w:cantSplit/>
          <w:tblHeader/>
          <w:jc w:val="center"/>
        </w:trPr>
        <w:tc>
          <w:tcPr>
            <w:tcW w:w="3842"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5D595F" w14:textId="77777777" w:rsidR="00906401" w:rsidRDefault="00906401" w:rsidP="00906401">
            <w:pPr>
              <w:spacing w:before="100" w:after="100"/>
              <w:ind w:left="100" w:right="100"/>
              <w:jc w:val="center"/>
            </w:pPr>
            <w:bookmarkStart w:id="150" w:name="_Hlk118791498"/>
            <w:r>
              <w:rPr>
                <w:rFonts w:ascii="Helvetica" w:eastAsia="Helvetica" w:hAnsi="Helvetica" w:cs="Helvetica"/>
                <w:color w:val="000000"/>
                <w:sz w:val="18"/>
                <w:szCs w:val="18"/>
              </w:rPr>
              <w:t>Catch</w:t>
            </w:r>
          </w:p>
        </w:tc>
        <w:tc>
          <w:tcPr>
            <w:tcW w:w="270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3A819C" w14:textId="6FE57D2A" w:rsidR="00906401" w:rsidRDefault="00906401" w:rsidP="00906401">
            <w:pPr>
              <w:spacing w:before="100" w:after="100"/>
              <w:ind w:left="100" w:right="100"/>
              <w:jc w:val="center"/>
            </w:pPr>
            <w:r>
              <w:rPr>
                <w:rFonts w:ascii="Helvetica" w:eastAsia="Helvetica" w:hAnsi="Helvetica" w:cs="Helvetica"/>
                <w:color w:val="000000"/>
                <w:sz w:val="18"/>
                <w:szCs w:val="18"/>
              </w:rPr>
              <w:t xml:space="preserve">Long-term indicators </w:t>
            </w:r>
            <w:r>
              <w:rPr>
                <w:rFonts w:ascii="Helvetica" w:eastAsia="Helvetica" w:hAnsi="Helvetica" w:cs="Helvetica"/>
                <w:color w:val="000000"/>
                <w:sz w:val="18"/>
                <w:szCs w:val="18"/>
              </w:rPr>
              <w:br/>
              <w:t xml:space="preserve">CPUE 2003/04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2003-2023</w:t>
            </w:r>
          </w:p>
        </w:tc>
        <w:tc>
          <w:tcPr>
            <w:tcW w:w="283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F8AE6F5" w14:textId="59B244ED" w:rsidR="00906401" w:rsidRDefault="00906401" w:rsidP="00906401">
            <w:pPr>
              <w:spacing w:before="100" w:after="100"/>
              <w:ind w:left="100" w:right="100"/>
              <w:jc w:val="center"/>
            </w:pPr>
            <w:r>
              <w:rPr>
                <w:rFonts w:ascii="Helvetica" w:eastAsia="Helvetica" w:hAnsi="Helvetica" w:cs="Helvetica"/>
                <w:color w:val="000000"/>
                <w:sz w:val="18"/>
                <w:szCs w:val="18"/>
              </w:rPr>
              <w:t xml:space="preserve">Short-term indicators </w:t>
            </w:r>
            <w:r>
              <w:rPr>
                <w:rFonts w:ascii="Helvetica" w:eastAsia="Helvetica" w:hAnsi="Helvetica" w:cs="Helvetica"/>
                <w:color w:val="000000"/>
                <w:sz w:val="18"/>
                <w:szCs w:val="18"/>
              </w:rPr>
              <w:br/>
              <w:t xml:space="preserve">CPUE 2009/10 – </w:t>
            </w:r>
            <w:r w:rsidR="00062AFC">
              <w:rPr>
                <w:rFonts w:ascii="Helvetica" w:eastAsia="Helvetica" w:hAnsi="Helvetica" w:cs="Helvetica"/>
                <w:color w:val="000000"/>
                <w:sz w:val="18"/>
                <w:szCs w:val="18"/>
              </w:rPr>
              <w:t>2023/24</w:t>
            </w:r>
            <w:r>
              <w:rPr>
                <w:rFonts w:ascii="Helvetica" w:eastAsia="Helvetica" w:hAnsi="Helvetica" w:cs="Helvetica"/>
                <w:color w:val="000000"/>
                <w:sz w:val="18"/>
                <w:szCs w:val="18"/>
              </w:rPr>
              <w:br/>
              <w:t>Abundance 2009-2023</w:t>
            </w:r>
          </w:p>
        </w:tc>
      </w:tr>
      <w:tr w:rsidR="00C70DC4" w14:paraId="167E09A9" w14:textId="77777777" w:rsidTr="000E5167">
        <w:trPr>
          <w:cantSplit/>
          <w:trHeight w:val="219"/>
          <w:tblHeader/>
          <w:jc w:val="center"/>
        </w:trPr>
        <w:tc>
          <w:tcPr>
            <w:tcW w:w="1421" w:type="dxa"/>
            <w:gridSpan w:val="2"/>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vAlign w:val="center"/>
          </w:tcPr>
          <w:p w14:paraId="51E6B094" w14:textId="7FC27461" w:rsidR="00C70DC4" w:rsidRDefault="00696A8A" w:rsidP="00614F86">
            <w:pPr>
              <w:spacing w:before="100" w:after="100"/>
              <w:ind w:left="100" w:right="100"/>
              <w:jc w:val="center"/>
            </w:pPr>
            <w:r>
              <w:rPr>
                <w:rFonts w:ascii="Helvetica" w:eastAsia="Helvetica" w:hAnsi="Helvetica" w:cs="Helvetica"/>
                <w:color w:val="000000"/>
                <w:sz w:val="18"/>
                <w:szCs w:val="18"/>
              </w:rPr>
              <w:t>2023/24</w:t>
            </w:r>
          </w:p>
        </w:tc>
        <w:tc>
          <w:tcPr>
            <w:tcW w:w="242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A1105D8" w14:textId="5D113F7B" w:rsidR="00C70DC4" w:rsidRDefault="00C70DC4" w:rsidP="00614F86">
            <w:pPr>
              <w:spacing w:before="100" w:after="100"/>
              <w:ind w:left="100" w:right="100"/>
              <w:jc w:val="center"/>
            </w:pPr>
            <w:r>
              <w:rPr>
                <w:rFonts w:ascii="Helvetica" w:eastAsia="Helvetica" w:hAnsi="Helvetica" w:cs="Helvetica"/>
                <w:color w:val="000000"/>
                <w:sz w:val="18"/>
                <w:szCs w:val="18"/>
              </w:rPr>
              <w:t>OT (t)</w:t>
            </w:r>
          </w:p>
        </w:tc>
        <w:tc>
          <w:tcPr>
            <w:tcW w:w="85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1A19EE69" w14:textId="77777777" w:rsidR="00C70DC4" w:rsidRDefault="00C70DC4" w:rsidP="00614F86">
            <w:pPr>
              <w:spacing w:before="100" w:after="100"/>
              <w:ind w:left="100" w:right="100"/>
              <w:jc w:val="center"/>
            </w:pPr>
            <w:r>
              <w:rPr>
                <w:rFonts w:ascii="Helvetica" w:eastAsia="Helvetica" w:hAnsi="Helvetica" w:cs="Helvetica"/>
                <w:color w:val="000000"/>
                <w:sz w:val="18"/>
                <w:szCs w:val="18"/>
              </w:rPr>
              <w:t>CPUE</w:t>
            </w:r>
          </w:p>
        </w:tc>
        <w:tc>
          <w:tcPr>
            <w:tcW w:w="858"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6FDBFBCC" w14:textId="77777777" w:rsidR="00C70DC4" w:rsidRDefault="00C70DC4" w:rsidP="00614F86">
            <w:pPr>
              <w:spacing w:before="100" w:after="100"/>
              <w:ind w:left="100" w:right="100"/>
              <w:jc w:val="center"/>
            </w:pPr>
            <w:r>
              <w:rPr>
                <w:rFonts w:ascii="Helvetica" w:eastAsia="Helvetica" w:hAnsi="Helvetica" w:cs="Helvetica"/>
                <w:color w:val="000000"/>
                <w:sz w:val="18"/>
                <w:szCs w:val="18"/>
              </w:rPr>
              <w:t>Pre-recruits</w:t>
            </w:r>
          </w:p>
        </w:tc>
        <w:tc>
          <w:tcPr>
            <w:tcW w:w="989"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6557B027" w14:textId="77777777" w:rsidR="00C70DC4" w:rsidRDefault="00C70DC4" w:rsidP="00614F86">
            <w:pPr>
              <w:spacing w:before="100" w:after="100"/>
              <w:ind w:left="100" w:right="100"/>
              <w:jc w:val="center"/>
            </w:pPr>
            <w:r>
              <w:rPr>
                <w:rFonts w:ascii="Helvetica" w:eastAsia="Helvetica" w:hAnsi="Helvetica" w:cs="Helvetica"/>
                <w:color w:val="000000"/>
                <w:sz w:val="18"/>
                <w:szCs w:val="18"/>
              </w:rPr>
              <w:t>Recruits</w:t>
            </w:r>
          </w:p>
        </w:tc>
        <w:tc>
          <w:tcPr>
            <w:tcW w:w="851"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700DA97F" w14:textId="77777777" w:rsidR="00C70DC4" w:rsidRDefault="00C70DC4" w:rsidP="00614F86">
            <w:pPr>
              <w:spacing w:before="100" w:after="100"/>
              <w:ind w:left="100" w:right="100"/>
              <w:jc w:val="center"/>
            </w:pPr>
            <w:r>
              <w:rPr>
                <w:rFonts w:ascii="Helvetica" w:eastAsia="Helvetica" w:hAnsi="Helvetica" w:cs="Helvetica"/>
                <w:color w:val="000000"/>
                <w:sz w:val="18"/>
                <w:szCs w:val="18"/>
              </w:rPr>
              <w:t>CPUE</w:t>
            </w:r>
          </w:p>
        </w:tc>
        <w:tc>
          <w:tcPr>
            <w:tcW w:w="989"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72C6B77" w14:textId="77777777" w:rsidR="00C70DC4" w:rsidRDefault="00C70DC4" w:rsidP="00614F86">
            <w:pPr>
              <w:spacing w:before="100" w:after="100"/>
              <w:ind w:left="100" w:right="100"/>
              <w:jc w:val="center"/>
            </w:pPr>
            <w:r>
              <w:rPr>
                <w:rFonts w:ascii="Helvetica" w:eastAsia="Helvetica" w:hAnsi="Helvetica" w:cs="Helvetica"/>
                <w:color w:val="000000"/>
                <w:sz w:val="18"/>
                <w:szCs w:val="18"/>
              </w:rPr>
              <w:t>Pre-recruits</w:t>
            </w:r>
          </w:p>
        </w:tc>
        <w:tc>
          <w:tcPr>
            <w:tcW w:w="997"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14:paraId="5E2397A9" w14:textId="77777777" w:rsidR="00C70DC4" w:rsidRDefault="00C70DC4" w:rsidP="00614F86">
            <w:pPr>
              <w:spacing w:before="100" w:after="100"/>
              <w:ind w:left="100" w:right="100"/>
              <w:jc w:val="center"/>
            </w:pPr>
            <w:r>
              <w:rPr>
                <w:rFonts w:ascii="Helvetica" w:eastAsia="Helvetica" w:hAnsi="Helvetica" w:cs="Helvetica"/>
                <w:color w:val="000000"/>
                <w:sz w:val="18"/>
                <w:szCs w:val="18"/>
              </w:rPr>
              <w:t>Recruits</w:t>
            </w:r>
          </w:p>
        </w:tc>
      </w:tr>
      <w:tr w:rsidR="009E6F45" w14:paraId="6C266296" w14:textId="77777777" w:rsidTr="000E5167">
        <w:trPr>
          <w:cantSplit/>
          <w:trHeight w:val="218"/>
          <w:tblHeader/>
          <w:jc w:val="center"/>
        </w:trPr>
        <w:tc>
          <w:tcPr>
            <w:tcW w:w="715"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C455502" w14:textId="77777777" w:rsidR="009E6F45" w:rsidRDefault="009E6F45" w:rsidP="009E6F45">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(t)</w:t>
            </w:r>
          </w:p>
        </w:tc>
        <w:tc>
          <w:tcPr>
            <w:tcW w:w="706"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DB2BE9" w14:textId="77777777" w:rsidR="009E6F45" w:rsidRDefault="009E6F45" w:rsidP="009E6F45">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w:t>
            </w:r>
          </w:p>
        </w:tc>
        <w:tc>
          <w:tcPr>
            <w:tcW w:w="72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53038A1" w14:textId="139674B1" w:rsidR="009E6F45" w:rsidRPr="00C0702B"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2</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p>
        </w:tc>
        <w:tc>
          <w:tcPr>
            <w:tcW w:w="8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F927B1" w14:textId="4A6C1B10" w:rsidR="009E6F45" w:rsidRPr="00C0702B"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3</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749BC5" w14:textId="151C6263" w:rsidR="009E6F45" w:rsidRPr="00C0702B" w:rsidRDefault="009E6F45" w:rsidP="009E6F45">
            <w:pPr>
              <w:spacing w:before="100" w:after="100"/>
              <w:ind w:left="100" w:right="100"/>
              <w:jc w:val="center"/>
              <w:rPr>
                <w:rFonts w:ascii="Helvetica" w:eastAsia="Helvetica" w:hAnsi="Helvetica" w:cs="Helvetica"/>
                <w:color w:val="000000"/>
                <w:sz w:val="16"/>
                <w:szCs w:val="16"/>
              </w:rPr>
            </w:pP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4</w:t>
            </w:r>
            <w:r w:rsidRPr="00BA6451">
              <w:rPr>
                <w:rFonts w:ascii="Helvetica" w:eastAsia="Helvetica" w:hAnsi="Helvetica" w:cs="Helvetica"/>
                <w:color w:val="000000"/>
                <w:sz w:val="16"/>
                <w:szCs w:val="16"/>
              </w:rPr>
              <w:t>/2</w:t>
            </w:r>
            <w:r>
              <w:rPr>
                <w:rFonts w:ascii="Helvetica" w:eastAsia="Helvetica" w:hAnsi="Helvetica" w:cs="Helvetica"/>
                <w:color w:val="000000"/>
                <w:sz w:val="16"/>
                <w:szCs w:val="16"/>
              </w:rPr>
              <w:t>5</w:t>
            </w:r>
          </w:p>
        </w:tc>
        <w:tc>
          <w:tcPr>
            <w:tcW w:w="85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88D91C"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58"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FE13CF"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9"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84AEA27"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851"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D05C0F7"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89"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0C8CC06"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c>
          <w:tcPr>
            <w:tcW w:w="997"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247EB9B" w14:textId="77777777" w:rsidR="009E6F45" w:rsidRDefault="009E6F45" w:rsidP="009E6F45">
            <w:pPr>
              <w:spacing w:before="100" w:after="100"/>
              <w:ind w:left="100" w:right="100"/>
              <w:jc w:val="center"/>
              <w:rPr>
                <w:rFonts w:ascii="Helvetica" w:eastAsia="Helvetica" w:hAnsi="Helvetica" w:cs="Helvetica"/>
                <w:color w:val="000000"/>
                <w:sz w:val="18"/>
                <w:szCs w:val="18"/>
              </w:rPr>
            </w:pPr>
          </w:p>
        </w:tc>
      </w:tr>
      <w:tr w:rsidR="00F6309B" w14:paraId="1B02A3FF" w14:textId="77777777" w:rsidTr="000E5167">
        <w:trPr>
          <w:cantSplit/>
          <w:jc w:val="center"/>
        </w:trPr>
        <w:tc>
          <w:tcPr>
            <w:tcW w:w="715"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A1070F" w14:textId="602E3CAD" w:rsidR="00F6309B" w:rsidRPr="00685BAD"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17.7</w:t>
            </w:r>
          </w:p>
        </w:tc>
        <w:tc>
          <w:tcPr>
            <w:tcW w:w="706"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79899F3" w14:textId="654F241E" w:rsidR="00F6309B" w:rsidRPr="00685BAD"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6.2</w:t>
            </w:r>
          </w:p>
        </w:tc>
        <w:tc>
          <w:tcPr>
            <w:tcW w:w="724"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56CE67" w14:textId="096CC18B" w:rsidR="00F6309B" w:rsidRPr="000D6345" w:rsidRDefault="00F6309B" w:rsidP="00F6309B">
            <w:pPr>
              <w:spacing w:before="100" w:after="100"/>
              <w:ind w:left="100" w:right="100"/>
              <w:jc w:val="center"/>
              <w:rPr>
                <w:rFonts w:ascii="Helvetica" w:eastAsia="Helvetica" w:hAnsi="Helvetica" w:cs="Helvetica"/>
                <w:color w:val="000000"/>
                <w:sz w:val="18"/>
                <w:szCs w:val="18"/>
              </w:rPr>
            </w:pPr>
            <w:r w:rsidRPr="000D6345">
              <w:rPr>
                <w:rFonts w:ascii="Helvetica" w:eastAsia="Helvetica" w:hAnsi="Helvetica" w:cs="Helvetica"/>
                <w:color w:val="000000"/>
                <w:sz w:val="18"/>
                <w:szCs w:val="18"/>
              </w:rPr>
              <w:t>2</w:t>
            </w:r>
            <w:r>
              <w:rPr>
                <w:rFonts w:ascii="Helvetica" w:eastAsia="Helvetica" w:hAnsi="Helvetica" w:cs="Helvetica"/>
                <w:color w:val="000000"/>
                <w:sz w:val="18"/>
                <w:szCs w:val="18"/>
              </w:rPr>
              <w:t>1.0</w:t>
            </w:r>
          </w:p>
        </w:tc>
        <w:tc>
          <w:tcPr>
            <w:tcW w:w="848" w:type="dxa"/>
            <w:tcBorders>
              <w:left w:val="single" w:sz="8" w:space="0" w:color="000000"/>
              <w:bottom w:val="single" w:sz="8" w:space="0" w:color="000000"/>
              <w:right w:val="single" w:sz="8" w:space="0" w:color="000000"/>
            </w:tcBorders>
            <w:shd w:val="clear" w:color="auto" w:fill="FFFFFF"/>
            <w:vAlign w:val="center"/>
          </w:tcPr>
          <w:p w14:paraId="21391811" w14:textId="1F36C28C" w:rsidR="00F6309B" w:rsidRPr="000D6345"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15.5</w:t>
            </w:r>
          </w:p>
        </w:tc>
        <w:tc>
          <w:tcPr>
            <w:tcW w:w="849" w:type="dxa"/>
            <w:tcBorders>
              <w:left w:val="single" w:sz="8" w:space="0" w:color="000000"/>
              <w:bottom w:val="single" w:sz="8" w:space="0" w:color="000000"/>
              <w:right w:val="single" w:sz="8" w:space="0" w:color="000000"/>
            </w:tcBorders>
            <w:shd w:val="clear" w:color="auto" w:fill="FFFFFF"/>
            <w:vAlign w:val="center"/>
          </w:tcPr>
          <w:p w14:paraId="265D0511" w14:textId="72EC2318" w:rsidR="00F6309B" w:rsidRPr="00E9087B" w:rsidRDefault="00D65081"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7.8</w:t>
            </w:r>
          </w:p>
        </w:tc>
        <w:tc>
          <w:tcPr>
            <w:tcW w:w="85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9981C30" w14:textId="71BDBE4C" w:rsidR="00F6309B" w:rsidRDefault="00D65081" w:rsidP="00F6309B">
            <w:pPr>
              <w:spacing w:before="100" w:after="100"/>
              <w:ind w:left="100" w:right="100"/>
              <w:jc w:val="center"/>
            </w:pPr>
            <w:r>
              <w:rPr>
                <w:rFonts w:ascii="Helvetica" w:eastAsia="Helvetica" w:hAnsi="Helvetica" w:cs="Helvetica"/>
                <w:color w:val="000000"/>
                <w:sz w:val="18"/>
                <w:szCs w:val="18"/>
              </w:rPr>
              <w:t>-5</w:t>
            </w:r>
          </w:p>
        </w:tc>
        <w:tc>
          <w:tcPr>
            <w:tcW w:w="858"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B7E546D" w14:textId="69C410F1" w:rsidR="00F6309B" w:rsidRPr="00685BAD"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98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799E27" w14:textId="001E61A7" w:rsidR="00F6309B" w:rsidRPr="00685BAD"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851"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B54616" w14:textId="379B1B11" w:rsidR="00F6309B" w:rsidRPr="00685BAD" w:rsidRDefault="00D65081"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-1</w:t>
            </w:r>
            <w:r w:rsidR="00F6309B" w:rsidRPr="00E9087B">
              <w:rPr>
                <w:rFonts w:ascii="Helvetica" w:eastAsia="Helvetica" w:hAnsi="Helvetica" w:cs="Helvetica"/>
                <w:color w:val="000000"/>
                <w:sz w:val="18"/>
                <w:szCs w:val="18"/>
              </w:rPr>
              <w:t>1</w:t>
            </w:r>
          </w:p>
        </w:tc>
        <w:tc>
          <w:tcPr>
            <w:tcW w:w="98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14EA704" w14:textId="75EB5756" w:rsidR="00F6309B" w:rsidRPr="00685BAD"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c>
          <w:tcPr>
            <w:tcW w:w="997"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6A0305" w14:textId="079BBFCA" w:rsidR="00F6309B" w:rsidRPr="00685BAD" w:rsidRDefault="00F6309B" w:rsidP="00F6309B">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NA</w:t>
            </w:r>
          </w:p>
        </w:tc>
      </w:tr>
      <w:tr w:rsidR="000E5167" w14:paraId="2B6C20AE" w14:textId="77777777" w:rsidTr="000E5167">
        <w:trPr>
          <w:cantSplit/>
          <w:jc w:val="center"/>
        </w:trPr>
        <w:tc>
          <w:tcPr>
            <w:tcW w:w="2145"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71616C6" w14:textId="4AEB3E38" w:rsidR="000E5167" w:rsidRPr="00C17238" w:rsidRDefault="000E5167" w:rsidP="00E9281F">
            <w:pPr>
              <w:spacing w:before="100" w:after="100"/>
              <w:ind w:left="100" w:right="100"/>
              <w:jc w:val="center"/>
              <w:rPr>
                <w:rFonts w:ascii="Helvetica" w:eastAsia="Helvetica" w:hAnsi="Helvetica" w:cs="Helvetica"/>
                <w:color w:val="000000"/>
                <w:sz w:val="18"/>
                <w:szCs w:val="18"/>
              </w:rPr>
            </w:pPr>
            <w:r>
              <w:rPr>
                <w:rFonts w:ascii="Helvetica" w:eastAsia="Helvetica" w:hAnsi="Helvetica" w:cs="Helvetica"/>
                <w:color w:val="000000"/>
                <w:sz w:val="18"/>
                <w:szCs w:val="18"/>
              </w:rPr>
              <w:t>LML = 115 mm</w:t>
            </w:r>
          </w:p>
        </w:tc>
        <w:tc>
          <w:tcPr>
            <w:tcW w:w="2554" w:type="dxa"/>
            <w:gridSpan w:val="3"/>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74A51D" w14:textId="5C8424B2" w:rsidR="000E5167" w:rsidRPr="00C17238" w:rsidRDefault="000E5167" w:rsidP="00E9281F">
            <w:pPr>
              <w:spacing w:before="100" w:after="100"/>
              <w:ind w:left="100" w:right="100"/>
              <w:jc w:val="center"/>
              <w:rPr>
                <w:rFonts w:ascii="Helvetica" w:eastAsia="Helvetica" w:hAnsi="Helvetica" w:cs="Helvetica"/>
                <w:color w:val="000000"/>
                <w:sz w:val="18"/>
                <w:szCs w:val="18"/>
              </w:rPr>
            </w:pPr>
            <w:r w:rsidRPr="00C17238">
              <w:rPr>
                <w:rFonts w:ascii="Helvetica" w:eastAsia="Helvetica" w:hAnsi="Helvetica" w:cs="Helvetica"/>
                <w:color w:val="000000"/>
                <w:sz w:val="18"/>
                <w:szCs w:val="18"/>
              </w:rPr>
              <w:t>Mean daily catch=</w:t>
            </w:r>
            <w:r w:rsidR="00743E87">
              <w:rPr>
                <w:rFonts w:ascii="Helvetica" w:eastAsia="Helvetica" w:hAnsi="Helvetica" w:cs="Helvetica"/>
                <w:color w:val="000000"/>
                <w:sz w:val="18"/>
                <w:szCs w:val="18"/>
              </w:rPr>
              <w:t>3</w:t>
            </w:r>
            <w:r w:rsidR="00D65081">
              <w:rPr>
                <w:rFonts w:ascii="Helvetica" w:eastAsia="Helvetica" w:hAnsi="Helvetica" w:cs="Helvetica"/>
                <w:color w:val="000000"/>
                <w:sz w:val="18"/>
                <w:szCs w:val="18"/>
              </w:rPr>
              <w:t>04</w:t>
            </w:r>
            <w:r w:rsidRPr="00C17238">
              <w:rPr>
                <w:rFonts w:ascii="Helvetica" w:eastAsia="Helvetica" w:hAnsi="Helvetica" w:cs="Helvetica"/>
                <w:color w:val="000000"/>
                <w:sz w:val="18"/>
                <w:szCs w:val="18"/>
              </w:rPr>
              <w:t xml:space="preserve"> kg</w:t>
            </w:r>
          </w:p>
        </w:tc>
        <w:tc>
          <w:tcPr>
            <w:tcW w:w="2698" w:type="dxa"/>
            <w:gridSpan w:val="3"/>
            <w:tcBorders>
              <w:left w:val="single" w:sz="8" w:space="0" w:color="000000"/>
              <w:bottom w:val="single" w:sz="8" w:space="0" w:color="000000"/>
              <w:right w:val="single" w:sz="8" w:space="0" w:color="000000"/>
            </w:tcBorders>
            <w:shd w:val="clear" w:color="auto" w:fill="FFFFFF"/>
            <w:vAlign w:val="center"/>
          </w:tcPr>
          <w:p w14:paraId="06EF14B1" w14:textId="161F95CF" w:rsidR="000E5167" w:rsidRPr="00C17238" w:rsidRDefault="000E5167" w:rsidP="00E9281F">
            <w:pPr>
              <w:spacing w:before="100" w:after="100"/>
              <w:ind w:left="100" w:right="100"/>
              <w:jc w:val="center"/>
              <w:rPr>
                <w:rFonts w:ascii="Helvetica" w:eastAsia="Helvetica" w:hAnsi="Helvetica" w:cs="Helvetica"/>
                <w:color w:val="000000"/>
                <w:sz w:val="18"/>
                <w:szCs w:val="18"/>
              </w:rPr>
            </w:pPr>
          </w:p>
        </w:tc>
        <w:tc>
          <w:tcPr>
            <w:tcW w:w="1986" w:type="dxa"/>
            <w:gridSpan w:val="2"/>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F984E6" w14:textId="680B5743" w:rsidR="000E5167" w:rsidRPr="00C17238" w:rsidRDefault="000E5167" w:rsidP="00E9281F">
            <w:pPr>
              <w:spacing w:before="100" w:after="100"/>
              <w:ind w:left="100" w:right="100"/>
              <w:jc w:val="center"/>
              <w:rPr>
                <w:rFonts w:ascii="Helvetica" w:eastAsia="Helvetica" w:hAnsi="Helvetica" w:cs="Helvetica"/>
                <w:color w:val="000000"/>
                <w:sz w:val="18"/>
                <w:szCs w:val="18"/>
              </w:rPr>
            </w:pPr>
          </w:p>
        </w:tc>
      </w:tr>
      <w:bookmarkEnd w:id="150"/>
    </w:tbl>
    <w:p w14:paraId="3D636CCE" w14:textId="77777777" w:rsidR="00C70DC4" w:rsidRDefault="00C70DC4" w:rsidP="00C70DC4">
      <w:pPr>
        <w:pStyle w:val="TableCaption"/>
      </w:pPr>
    </w:p>
    <w:p w14:paraId="2A51EB3C" w14:textId="0D45CCD7" w:rsidR="00C70DC4" w:rsidRDefault="00743E87" w:rsidP="00C70DC4">
      <w:r>
        <w:t>The Mallacoota Small SMU has produced an average catch of 25 t since 1979 and 24 t since 1988</w:t>
      </w:r>
      <w:r w:rsidR="00E75007">
        <w:t xml:space="preserve"> (Figure 3</w:t>
      </w:r>
      <w:r w:rsidR="00CD7777">
        <w:t>3</w:t>
      </w:r>
      <w:r w:rsidR="00E75007">
        <w:t>)</w:t>
      </w:r>
      <w:r>
        <w:t>. Following the introduction of quota, c</w:t>
      </w:r>
      <w:r w:rsidR="00C70DC4">
        <w:t xml:space="preserve">atch from the Mallacoota Small SMU increased from </w:t>
      </w:r>
      <w:r w:rsidR="00E75007">
        <w:t xml:space="preserve">21 t </w:t>
      </w:r>
      <w:r w:rsidR="00C70DC4">
        <w:t>to 1994 to a peak of 44 t in 1998. While catch declined to 20 t in 2001, it has remained stable thereafter with a minimum catch of 13 t and an average of 21 t.</w:t>
      </w:r>
      <w:r w:rsidR="00373E95">
        <w:t xml:space="preserve"> </w:t>
      </w:r>
      <w:bookmarkStart w:id="151" w:name="_Hlk181953880"/>
      <w:r w:rsidR="00D65081">
        <w:t>Notably, the OT for 2024/25 has been halved to 7.8 t.</w:t>
      </w:r>
      <w:bookmarkEnd w:id="151"/>
    </w:p>
    <w:p w14:paraId="0974BAD3" w14:textId="30B15669" w:rsidR="00E75007" w:rsidRDefault="00E75007" w:rsidP="00C70DC4">
      <w:r>
        <w:t>Mean daily catch generally increased after quota was introduced from around 300 kg/day to a peak of 4</w:t>
      </w:r>
      <w:r w:rsidR="00F45EB8">
        <w:t>53</w:t>
      </w:r>
      <w:r>
        <w:t xml:space="preserve"> kg/day in 1998. Mean daily catch remained relatively stable </w:t>
      </w:r>
      <w:r w:rsidR="008918FD">
        <w:t xml:space="preserve">from 1995 to 2019, with a range of 331-453 kg/day and an average of 393 kg/day. </w:t>
      </w:r>
      <w:r w:rsidR="00C95662">
        <w:t>Mean daily catch has been affected by market forces since 2020.</w:t>
      </w:r>
    </w:p>
    <w:p w14:paraId="77BE6513" w14:textId="493C0196" w:rsidR="00743E87" w:rsidRPr="00743E87" w:rsidRDefault="00CD167E" w:rsidP="00185074">
      <w:pPr>
        <w:rPr>
          <w:i/>
        </w:rPr>
      </w:pPr>
      <w:r w:rsidRPr="00CD167E">
        <w:rPr>
          <w:i/>
          <w:noProof/>
        </w:rPr>
        <w:drawing>
          <wp:inline distT="0" distB="0" distL="0" distR="0" wp14:anchorId="1E15BEBF" wp14:editId="28B1C532">
            <wp:extent cx="5731510" cy="3758565"/>
            <wp:effectExtent l="0" t="0" r="2540" b="0"/>
            <wp:docPr id="2062993301" name="Picture 1" descr="A graph of a graph showing the number of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93301" name="Picture 1" descr="A graph of a graph showing the number of times&#10;&#10;Description automatically generated with medium confidence"/>
                    <pic:cNvPicPr/>
                  </pic:nvPicPr>
                  <pic:blipFill>
                    <a:blip r:embed="rId57"/>
                    <a:stretch>
                      <a:fillRect/>
                    </a:stretch>
                  </pic:blipFill>
                  <pic:spPr>
                    <a:xfrm>
                      <a:off x="0" y="0"/>
                      <a:ext cx="5731510" cy="3758565"/>
                    </a:xfrm>
                    <a:prstGeom prst="rect">
                      <a:avLst/>
                    </a:prstGeom>
                  </pic:spPr>
                </pic:pic>
              </a:graphicData>
            </a:graphic>
          </wp:inline>
        </w:drawing>
      </w:r>
    </w:p>
    <w:p w14:paraId="6FA37FF5" w14:textId="2542DF6F" w:rsidR="00743E87" w:rsidRDefault="00743E87" w:rsidP="00743E87">
      <w:pPr>
        <w:pStyle w:val="Caption"/>
      </w:pPr>
      <w:bookmarkStart w:id="152" w:name="_Toc182219834"/>
      <w:r>
        <w:t>Figure 3</w:t>
      </w:r>
      <w:r w:rsidR="00CD7777">
        <w:t>3</w:t>
      </w:r>
      <w:r>
        <w:t>: Total catch and mean daily catch for the Mallacoota Small SMU from 1979 to 202</w:t>
      </w:r>
      <w:r w:rsidR="00FC5E12">
        <w:t>3</w:t>
      </w:r>
      <w:r>
        <w:t>.</w:t>
      </w:r>
      <w:bookmarkEnd w:id="152"/>
    </w:p>
    <w:p w14:paraId="1DD87535" w14:textId="67122527" w:rsidR="008D7092" w:rsidRDefault="00C70DC4" w:rsidP="008D7092">
      <w:r>
        <w:t>Nominal CPUE generally increased from 1992 to 20</w:t>
      </w:r>
      <w:r w:rsidR="002B4F5B">
        <w:t>09</w:t>
      </w:r>
      <w:r>
        <w:t xml:space="preserve">, </w:t>
      </w:r>
      <w:r w:rsidR="002B4F5B">
        <w:t xml:space="preserve">decreased until 2017, increased to a peak of </w:t>
      </w:r>
      <w:r>
        <w:t>1</w:t>
      </w:r>
      <w:r w:rsidR="002B4F5B">
        <w:t>20</w:t>
      </w:r>
      <w:r>
        <w:t xml:space="preserve"> kg/hr </w:t>
      </w:r>
      <w:r w:rsidR="002B4F5B">
        <w:t xml:space="preserve">in 2017 </w:t>
      </w:r>
      <w:r>
        <w:t xml:space="preserve">(Figure </w:t>
      </w:r>
      <w:r w:rsidR="00F568E7">
        <w:t>3</w:t>
      </w:r>
      <w:r w:rsidR="00CD7777">
        <w:t>4</w:t>
      </w:r>
      <w:r>
        <w:t xml:space="preserve">). </w:t>
      </w:r>
      <w:r w:rsidR="008D7092">
        <w:t xml:space="preserve">Nominal CPUE has </w:t>
      </w:r>
      <w:r w:rsidR="002B4F5B">
        <w:t xml:space="preserve">declined </w:t>
      </w:r>
      <w:r w:rsidR="008D7092">
        <w:t>thereafter</w:t>
      </w:r>
      <w:r w:rsidR="002B4F5B">
        <w:t>. Standardised CPUE has shown similar annual trends but has been less variable over time. Standardised CPUE has also declined since 2019.</w:t>
      </w:r>
    </w:p>
    <w:p w14:paraId="393C437C" w14:textId="02DADACB" w:rsidR="00C70DC4" w:rsidRDefault="00E06C9F" w:rsidP="00C70DC4">
      <w:r>
        <w:rPr>
          <w:noProof/>
        </w:rPr>
        <w:drawing>
          <wp:inline distT="0" distB="0" distL="0" distR="0" wp14:anchorId="21085904" wp14:editId="584BBBEE">
            <wp:extent cx="5727700" cy="3579495"/>
            <wp:effectExtent l="0" t="0" r="6350" b="1905"/>
            <wp:docPr id="195" name="Picture" descr="Figure 43: Mallacoota Small SMU catch and CPUE (nominal and standardised) from 1992/1993 – 2021/22. Catch = bars, nominal CPUE = grey series (+/- SE), standardised series = black. Numbers in bars indicate changes to LMLs. MPs = introduction of Marine Parks."/>
            <wp:cNvGraphicFramePr/>
            <a:graphic xmlns:a="http://schemas.openxmlformats.org/drawingml/2006/main">
              <a:graphicData uri="http://schemas.openxmlformats.org/drawingml/2006/picture">
                <pic:pic xmlns:pic="http://schemas.openxmlformats.org/drawingml/2006/picture">
                  <pic:nvPicPr>
                    <pic:cNvPr id="195" name="Picture" descr="Figure 43: Mallacoota Small SMU catch and CPUE (nominal and standardised) from 1992/1993 – 2021/22. Catch = bars, nominal CPUE = grey series (+/- SE), standardised series = black. Numbers in bars indicate changes to LMLs. MPs = introduction of Marine Parks."/>
                    <pic:cNvPicPr/>
                  </pic:nvPicPr>
                  <pic:blipFill>
                    <a:blip r:embed="rId58"/>
                    <a:stretch>
                      <a:fillRect/>
                    </a:stretch>
                  </pic:blipFill>
                  <pic:spPr bwMode="auto">
                    <a:xfrm>
                      <a:off x="0" y="0"/>
                      <a:ext cx="5727700" cy="3579495"/>
                    </a:xfrm>
                    <a:prstGeom prst="rect">
                      <a:avLst/>
                    </a:prstGeom>
                    <a:noFill/>
                    <a:ln w="9525">
                      <a:noFill/>
                      <a:headEnd/>
                      <a:tailEnd/>
                    </a:ln>
                  </pic:spPr>
                </pic:pic>
              </a:graphicData>
            </a:graphic>
          </wp:inline>
        </w:drawing>
      </w:r>
    </w:p>
    <w:p w14:paraId="64AA10ED" w14:textId="7962EDB1" w:rsidR="001B676D" w:rsidRPr="001B676D" w:rsidRDefault="00C70DC4" w:rsidP="005C49F6">
      <w:pPr>
        <w:pStyle w:val="Caption"/>
      </w:pPr>
      <w:bookmarkStart w:id="153" w:name="_Toc182219835"/>
      <w:r w:rsidRPr="00E06C9F">
        <w:t xml:space="preserve">Figure </w:t>
      </w:r>
      <w:r w:rsidR="00F568E7" w:rsidRPr="00E06C9F">
        <w:t>3</w:t>
      </w:r>
      <w:r w:rsidR="00CD7777">
        <w:t>4</w:t>
      </w:r>
      <w:r w:rsidRPr="00E06C9F">
        <w:t xml:space="preserve">: Mallacoota Small </w:t>
      </w:r>
      <w:r w:rsidR="00F568E7" w:rsidRPr="00E06C9F">
        <w:t xml:space="preserve">SMU catch, and CPUE </w:t>
      </w:r>
      <w:r w:rsidR="00954C6A" w:rsidRPr="00E06C9F">
        <w:t>(nominal and standardised) from 1992/93 – 2023/24</w:t>
      </w:r>
      <w:r w:rsidR="00F568E7" w:rsidRPr="00E06C9F">
        <w:t>.  Catch = bars, nominal CPUE = grey series (+/- SE), standardised series = black. Numbers in bars indicate changes to LMLs. MPs = introduction of Marine Parks.</w:t>
      </w:r>
      <w:bookmarkEnd w:id="153"/>
    </w:p>
    <w:p w14:paraId="07A4AA72" w14:textId="4A37F9BC" w:rsidR="00C70DC4" w:rsidRDefault="00C70DC4" w:rsidP="006415C4">
      <w:pPr>
        <w:pStyle w:val="TableCaption"/>
      </w:pPr>
      <w:bookmarkStart w:id="154" w:name="_Toc182219879"/>
      <w:r>
        <w:t>Table</w:t>
      </w:r>
      <w:r w:rsidR="001B676D">
        <w:t xml:space="preserve"> 1</w:t>
      </w:r>
      <w:r w:rsidR="00EB6433">
        <w:t>9</w:t>
      </w:r>
      <w:r>
        <w:t xml:space="preserve">: Catches by reefcode for the Mallacoota Small </w:t>
      </w:r>
      <w:r w:rsidR="000C4999">
        <w:t xml:space="preserve">SMU from 2018/19 to 2023/24, the five-year average catch from 2018/19 to 2022/23, and the OT for </w:t>
      </w:r>
      <w:r w:rsidR="00062AFC">
        <w:t>2023/24</w:t>
      </w:r>
      <w:r>
        <w:t>.</w:t>
      </w:r>
      <w:bookmarkEnd w:id="154"/>
    </w:p>
    <w:p w14:paraId="532B96F4" w14:textId="209F8F8C" w:rsidR="00C70DC4" w:rsidRDefault="000C4999" w:rsidP="00185074">
      <w:r w:rsidRPr="000C4999">
        <w:rPr>
          <w:noProof/>
        </w:rPr>
        <w:drawing>
          <wp:inline distT="0" distB="0" distL="0" distR="0" wp14:anchorId="2452A9E1" wp14:editId="327BF4B2">
            <wp:extent cx="5731510" cy="548640"/>
            <wp:effectExtent l="0" t="0" r="2540" b="3810"/>
            <wp:docPr id="477217222"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7222" name="Picture 1" descr="A screenshot of a table&#10;&#10;Description automatically generated"/>
                    <pic:cNvPicPr/>
                  </pic:nvPicPr>
                  <pic:blipFill>
                    <a:blip r:embed="rId59"/>
                    <a:stretch>
                      <a:fillRect/>
                    </a:stretch>
                  </pic:blipFill>
                  <pic:spPr>
                    <a:xfrm>
                      <a:off x="0" y="0"/>
                      <a:ext cx="5731510" cy="548640"/>
                    </a:xfrm>
                    <a:prstGeom prst="rect">
                      <a:avLst/>
                    </a:prstGeom>
                  </pic:spPr>
                </pic:pic>
              </a:graphicData>
            </a:graphic>
          </wp:inline>
        </w:drawing>
      </w:r>
    </w:p>
    <w:p w14:paraId="4A4AE9AE" w14:textId="5C03194A" w:rsidR="00C70DC4" w:rsidRDefault="00C70DC4" w:rsidP="00C70DC4">
      <w:r>
        <w:t xml:space="preserve">The Mallacoota Small SMU comprises two reefcodes (Table </w:t>
      </w:r>
      <w:r w:rsidR="001B676D">
        <w:t>1</w:t>
      </w:r>
      <w:r w:rsidR="00EB6433">
        <w:t>9</w:t>
      </w:r>
      <w:r>
        <w:t xml:space="preserve">). Catch </w:t>
      </w:r>
      <w:r w:rsidR="0092392D">
        <w:t xml:space="preserve">at Little Rame in </w:t>
      </w:r>
      <w:r w:rsidR="00062AFC">
        <w:t>2023/24</w:t>
      </w:r>
      <w:r w:rsidR="0092392D">
        <w:t xml:space="preserve"> w</w:t>
      </w:r>
      <w:r w:rsidR="00A30532">
        <w:t>as</w:t>
      </w:r>
      <w:r w:rsidR="0092392D">
        <w:t xml:space="preserve"> </w:t>
      </w:r>
      <w:r w:rsidR="005606DB">
        <w:t>3.5</w:t>
      </w:r>
      <w:r w:rsidR="0092392D">
        <w:t xml:space="preserve"> t </w:t>
      </w:r>
      <w:r w:rsidR="005606DB">
        <w:t xml:space="preserve">(%33%) above </w:t>
      </w:r>
      <w:r w:rsidR="0092392D">
        <w:t xml:space="preserve">the OT and </w:t>
      </w:r>
      <w:r w:rsidR="005606DB">
        <w:t>the catch at Bastion Point was 1.3 t (26%) below the OT</w:t>
      </w:r>
      <w:r w:rsidR="0092392D">
        <w:t>.</w:t>
      </w:r>
      <w:r>
        <w:t xml:space="preserve"> </w:t>
      </w:r>
    </w:p>
    <w:p w14:paraId="377382B3" w14:textId="791B8D15" w:rsidR="00C70DC4" w:rsidRDefault="002B4F5B" w:rsidP="00C70DC4">
      <w:r>
        <w:t>T</w:t>
      </w:r>
      <w:r w:rsidR="00F76EEA">
        <w:t xml:space="preserve">here </w:t>
      </w:r>
      <w:r>
        <w:t>i</w:t>
      </w:r>
      <w:r w:rsidR="00F76EEA">
        <w:t>s only one Top 15 site for the Mallacoota Small SMU</w:t>
      </w:r>
      <w:r w:rsidR="00570ACF">
        <w:t xml:space="preserve">. </w:t>
      </w:r>
      <w:r w:rsidR="002E3E94">
        <w:t xml:space="preserve">The trends from the “all sites” </w:t>
      </w:r>
      <w:r>
        <w:t xml:space="preserve">FIS </w:t>
      </w:r>
      <w:r w:rsidR="002E3E94">
        <w:t xml:space="preserve">data series (grey dashed) are difficult to interpret because of changes in sites over time. </w:t>
      </w:r>
      <w:r w:rsidR="00F76EEA">
        <w:t>Standardised r</w:t>
      </w:r>
      <w:r w:rsidR="00C70DC4">
        <w:t xml:space="preserve">ecruit abundance </w:t>
      </w:r>
      <w:r w:rsidR="00F76EEA">
        <w:t xml:space="preserve">at the one Top 15 site </w:t>
      </w:r>
      <w:r w:rsidR="00C70DC4">
        <w:t xml:space="preserve">generally </w:t>
      </w:r>
      <w:r w:rsidR="00F76EEA">
        <w:t xml:space="preserve">declined from 2003 to 2015 and has been variable thereafter </w:t>
      </w:r>
      <w:r w:rsidR="00C70DC4">
        <w:t xml:space="preserve">(Figure </w:t>
      </w:r>
      <w:r w:rsidR="00F568E7">
        <w:t>3</w:t>
      </w:r>
      <w:r w:rsidR="00CD7777">
        <w:t>5</w:t>
      </w:r>
      <w:r w:rsidR="00C70DC4">
        <w:t xml:space="preserve">). </w:t>
      </w:r>
    </w:p>
    <w:p w14:paraId="6569E13F" w14:textId="7871E2FA" w:rsidR="00C70DC4" w:rsidRDefault="00E94D8D" w:rsidP="00C70DC4">
      <w:r>
        <w:rPr>
          <w:noProof/>
        </w:rPr>
        <w:drawing>
          <wp:inline distT="0" distB="0" distL="0" distR="0" wp14:anchorId="441D90CC" wp14:editId="3D48C53D">
            <wp:extent cx="5727700" cy="3579812"/>
            <wp:effectExtent l="0" t="0" r="0" b="0"/>
            <wp:docPr id="1580344153" name="Picture 1580344153" descr="Figure 44: Recruit abundance (1992-2023) and catch (1992/93 – 2021/22) for the Mallacoota Small SMU. Grey dashed series = nominal abundance across all FIS sites (+/-SE). Black series = nominal (dotted line, open datapoint in 2022; +/- SE) and standardised (solid line, solid datapoint in 2022) abundance at the one site located within the Mallacoota Small SMU which contributes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207" name="Picture" descr="@parent.Eastern_files/figure-docx/Mallacoota.Small.Recruits.fig44-151-1.png"/>
                    <pic:cNvPicPr>
                      <a:picLocks noChangeAspect="1" noChangeArrowheads="1"/>
                    </pic:cNvPicPr>
                  </pic:nvPicPr>
                  <pic:blipFill>
                    <a:blip r:embed="rId60"/>
                    <a:stretch>
                      <a:fillRect/>
                    </a:stretch>
                  </pic:blipFill>
                  <pic:spPr bwMode="auto">
                    <a:xfrm>
                      <a:off x="0" y="0"/>
                      <a:ext cx="5727700" cy="3579812"/>
                    </a:xfrm>
                    <a:prstGeom prst="rect">
                      <a:avLst/>
                    </a:prstGeom>
                    <a:noFill/>
                    <a:ln w="9525">
                      <a:noFill/>
                      <a:headEnd/>
                      <a:tailEnd/>
                    </a:ln>
                  </pic:spPr>
                </pic:pic>
              </a:graphicData>
            </a:graphic>
          </wp:inline>
        </w:drawing>
      </w:r>
    </w:p>
    <w:p w14:paraId="71EBF69C" w14:textId="7F97D9F5" w:rsidR="00E502D3" w:rsidRPr="00E502D3" w:rsidRDefault="00C70DC4" w:rsidP="00EC3F82">
      <w:pPr>
        <w:pStyle w:val="Caption"/>
      </w:pPr>
      <w:bookmarkStart w:id="155" w:name="_Toc182219836"/>
      <w:r>
        <w:t xml:space="preserve">Figure </w:t>
      </w:r>
      <w:r w:rsidR="00F568E7">
        <w:t>3</w:t>
      </w:r>
      <w:r w:rsidR="00CD7777">
        <w:t>5</w:t>
      </w:r>
      <w:r>
        <w:t xml:space="preserve">: Recruit </w:t>
      </w:r>
      <w:r w:rsidR="00EC3F82">
        <w:t xml:space="preserve">abundance and catch from 1992/93 – 2022/23 for the Mallacoota Small SMU. </w:t>
      </w:r>
      <w:r w:rsidR="00EC3F82" w:rsidRPr="005263C9">
        <w:t>Grey dashed series = nominal abundance across all FIS sites (+/-SE). Black series = nominal (dotted line) and standardised (solid line</w:t>
      </w:r>
      <w:r w:rsidR="00EC3F82" w:rsidRPr="00EC3F82">
        <w:t xml:space="preserve"> </w:t>
      </w:r>
      <w:r w:rsidR="00EC3F82">
        <w:t>and dot point in 2023</w:t>
      </w:r>
      <w:r w:rsidR="00EC3F82" w:rsidRPr="005263C9">
        <w:t xml:space="preserve">) abundance at the </w:t>
      </w:r>
      <w:r w:rsidR="00BD6E37">
        <w:t xml:space="preserve">one </w:t>
      </w:r>
      <w:r w:rsidR="00EC3F82">
        <w:t xml:space="preserve">Top 15 </w:t>
      </w:r>
      <w:r w:rsidR="00EC3F82" w:rsidRPr="005263C9">
        <w:t xml:space="preserve">site located within the </w:t>
      </w:r>
      <w:r w:rsidR="00EC3F82">
        <w:t xml:space="preserve">Mallacoota Small </w:t>
      </w:r>
      <w:r w:rsidR="00EC3F82" w:rsidRPr="005263C9">
        <w:t>SMU</w:t>
      </w:r>
      <w:r w:rsidR="00EC3F82">
        <w:t>.</w:t>
      </w:r>
      <w:bookmarkEnd w:id="155"/>
    </w:p>
    <w:p w14:paraId="6C6DB160" w14:textId="0275DDF8" w:rsidR="00C70DC4" w:rsidRDefault="00A77E58" w:rsidP="00C70DC4">
      <w:r>
        <w:t>Standardised p</w:t>
      </w:r>
      <w:r w:rsidR="00C70DC4">
        <w:t xml:space="preserve">re-recruit abundance </w:t>
      </w:r>
      <w:r>
        <w:t xml:space="preserve">at the one Top 15 site in the Mallacoota Small SMU has been highly variable since 2003 </w:t>
      </w:r>
      <w:r w:rsidR="00C70DC4">
        <w:t xml:space="preserve">(Figure </w:t>
      </w:r>
      <w:r w:rsidR="00F568E7">
        <w:t>3</w:t>
      </w:r>
      <w:r w:rsidR="00CD7777">
        <w:t>6</w:t>
      </w:r>
      <w:r w:rsidR="00C70DC4">
        <w:t xml:space="preserve">). </w:t>
      </w:r>
      <w:r>
        <w:t>The 2023 count was slightly above the long-term average.</w:t>
      </w:r>
    </w:p>
    <w:p w14:paraId="473AAEBA" w14:textId="3A7CC563" w:rsidR="00C70DC4" w:rsidRDefault="00A5081F" w:rsidP="00C70DC4">
      <w:r>
        <w:rPr>
          <w:noProof/>
        </w:rPr>
        <w:drawing>
          <wp:inline distT="0" distB="0" distL="0" distR="0" wp14:anchorId="5FAD4BD1" wp14:editId="16427D80">
            <wp:extent cx="5727700" cy="3579812"/>
            <wp:effectExtent l="0" t="0" r="0" b="0"/>
            <wp:docPr id="209" name="Picture" descr="Figure 45: Pre-recruit abundance (1992-2023) and catch (1992/93 – 2021/22) for the Mallacoota Small SMU. Grey dashed series = nominal abundance across all FIS sites (+/-SE). Black series = nominal (dotted line, open datapoint in 2022; +/- SE) and standardised (solid line, solid datapoint in 2022) abundance at the one site located within the Mallacoota Small SMU which contributes to the Top 15 sites used for standardization across the zone."/>
            <wp:cNvGraphicFramePr/>
            <a:graphic xmlns:a="http://schemas.openxmlformats.org/drawingml/2006/main">
              <a:graphicData uri="http://schemas.openxmlformats.org/drawingml/2006/picture">
                <pic:pic xmlns:pic="http://schemas.openxmlformats.org/drawingml/2006/picture">
                  <pic:nvPicPr>
                    <pic:cNvPr id="210" name="Picture" descr="@parent.Eastern_files/figure-docx/Mallacoota.Small.PreRecruits.fig45-153-1.png"/>
                    <pic:cNvPicPr>
                      <a:picLocks noChangeAspect="1" noChangeArrowheads="1"/>
                    </pic:cNvPicPr>
                  </pic:nvPicPr>
                  <pic:blipFill>
                    <a:blip r:embed="rId61"/>
                    <a:stretch>
                      <a:fillRect/>
                    </a:stretch>
                  </pic:blipFill>
                  <pic:spPr bwMode="auto">
                    <a:xfrm>
                      <a:off x="0" y="0"/>
                      <a:ext cx="5727700" cy="3579812"/>
                    </a:xfrm>
                    <a:prstGeom prst="rect">
                      <a:avLst/>
                    </a:prstGeom>
                    <a:noFill/>
                    <a:ln w="9525">
                      <a:noFill/>
                      <a:headEnd/>
                      <a:tailEnd/>
                    </a:ln>
                  </pic:spPr>
                </pic:pic>
              </a:graphicData>
            </a:graphic>
          </wp:inline>
        </w:drawing>
      </w:r>
    </w:p>
    <w:p w14:paraId="314E0357" w14:textId="382647B3" w:rsidR="00C70DC4" w:rsidRDefault="00C70DC4" w:rsidP="005C49F6">
      <w:pPr>
        <w:pStyle w:val="Caption"/>
      </w:pPr>
      <w:bookmarkStart w:id="156" w:name="_Toc182219837"/>
      <w:r>
        <w:t xml:space="preserve">Figure </w:t>
      </w:r>
      <w:r w:rsidR="00F568E7">
        <w:t>3</w:t>
      </w:r>
      <w:r w:rsidR="00CD7777">
        <w:t>6</w:t>
      </w:r>
      <w:r>
        <w:t xml:space="preserve">: Pre-recruit </w:t>
      </w:r>
      <w:bookmarkStart w:id="157" w:name="small-spatial-management-units"/>
      <w:bookmarkStart w:id="158" w:name="mallacoota-small"/>
      <w:r w:rsidR="00BD6E37">
        <w:t xml:space="preserve">abundance and catch from 1992/93 – 2022/23 for the Mallacoota Small SMU. </w:t>
      </w:r>
      <w:r w:rsidR="00BD6E37" w:rsidRPr="005263C9">
        <w:t>Grey dashed series = nominal abundance across all FIS sites (+/-SE). Black series = nominal (dotted line) and standardised (solid line</w:t>
      </w:r>
      <w:r w:rsidR="00BD6E37" w:rsidRPr="00EC3F82">
        <w:t xml:space="preserve"> </w:t>
      </w:r>
      <w:r w:rsidR="00BD6E37">
        <w:t>and dot point in 2023</w:t>
      </w:r>
      <w:r w:rsidR="00BD6E37" w:rsidRPr="005263C9">
        <w:t xml:space="preserve">) abundance at the </w:t>
      </w:r>
      <w:r w:rsidR="00BD6E37">
        <w:t xml:space="preserve">one Top 15 </w:t>
      </w:r>
      <w:r w:rsidR="00BD6E37" w:rsidRPr="005263C9">
        <w:t xml:space="preserve">site located within the </w:t>
      </w:r>
      <w:r w:rsidR="00BD6E37">
        <w:t xml:space="preserve">Mallacoota Small </w:t>
      </w:r>
      <w:r w:rsidR="00BD6E37" w:rsidRPr="005263C9">
        <w:t>SMU</w:t>
      </w:r>
      <w:r w:rsidR="00BD6E37">
        <w:t>.</w:t>
      </w:r>
      <w:bookmarkEnd w:id="156"/>
    </w:p>
    <w:p w14:paraId="6AEFCA03" w14:textId="1C4A9DB0" w:rsidR="00E502D3" w:rsidRPr="00E502D3" w:rsidRDefault="004C4A6C" w:rsidP="00E502D3">
      <w:r w:rsidRPr="00C20351">
        <w:rPr>
          <w:i/>
          <w:iCs/>
        </w:rPr>
        <w:t>FIS length frequency data</w:t>
      </w:r>
    </w:p>
    <w:p w14:paraId="18E2FE6B" w14:textId="242E4D97" w:rsidR="00C70DC4" w:rsidRDefault="00C70DC4" w:rsidP="00C70DC4">
      <w:r>
        <w:t>The size structure of the surveyed population in the Mallacoota Small SMU was relatively stable from 2003 to 2015</w:t>
      </w:r>
      <w:r w:rsidR="00BD4E61">
        <w:t xml:space="preserve"> (Appendix 4)</w:t>
      </w:r>
      <w:r>
        <w:t>. Modal size was 115 – 119 mm in each of those years, while mean size ranged from 107 to 114 mm. A decline in the abundance of recruits in 2016 and 2017 saw a reduction in mean size (105 and 106 mm, respectively) and modal size (105-109 mm and 110-114 mm, respectively). Size structures returned to more normal trends since 2018. Of note, relatively high abundances of juvenile abalone &lt;70 mm were observed in 2019, however they did not appear to translate into increased abundances of pre-recruits in 2020.</w:t>
      </w:r>
    </w:p>
    <w:p w14:paraId="5747123B" w14:textId="104897D5" w:rsidR="00C70DC4" w:rsidRDefault="004C4A6C" w:rsidP="00C70DC4">
      <w:r>
        <w:rPr>
          <w:i/>
          <w:iCs/>
        </w:rPr>
        <w:t xml:space="preserve">Commercial </w:t>
      </w:r>
      <w:r w:rsidRPr="00C20351">
        <w:rPr>
          <w:i/>
          <w:iCs/>
        </w:rPr>
        <w:t>length frequency data</w:t>
      </w:r>
    </w:p>
    <w:p w14:paraId="75FFE590" w14:textId="7F1E1CDD" w:rsidR="00C70DC4" w:rsidRDefault="00C70DC4" w:rsidP="00C70DC4">
      <w:r>
        <w:t>The size structure of the commercial catch in the Mallacoota Small SMU has varied over time</w:t>
      </w:r>
      <w:r w:rsidR="00BD4E61">
        <w:t xml:space="preserve"> (Appendix 5)</w:t>
      </w:r>
      <w:r>
        <w:t xml:space="preserve">. Of note, a higher proportion of sampled abalone were harvested closer to the size limit (115-119 mm size class) in 2015/16 and 2016/17, however sample sizes were low in these years. There were no data available from 2018/19 to </w:t>
      </w:r>
      <w:r w:rsidR="00062AFC">
        <w:t>2023/24</w:t>
      </w:r>
      <w:r>
        <w:t>.</w:t>
      </w:r>
    </w:p>
    <w:p w14:paraId="4310F0AF" w14:textId="77777777" w:rsidR="00C70DC4" w:rsidRDefault="00C70DC4" w:rsidP="00C70DC4">
      <w:r>
        <w:rPr>
          <w:i/>
          <w:iCs/>
        </w:rPr>
        <w:t>Summary</w:t>
      </w:r>
    </w:p>
    <w:p w14:paraId="7BEE42BB" w14:textId="1E4CD988" w:rsidR="00C70DC4" w:rsidRDefault="00C21E14" w:rsidP="00C70DC4">
      <w:r>
        <w:t>The Mallacoota Small SMU has produced an average catch of 24 t since 1988/89</w:t>
      </w:r>
      <w:r w:rsidR="00780EF8">
        <w:t>, with a peak c</w:t>
      </w:r>
      <w:r>
        <w:t xml:space="preserve">atch </w:t>
      </w:r>
      <w:r w:rsidR="00780EF8">
        <w:t xml:space="preserve">of 44 t </w:t>
      </w:r>
      <w:r>
        <w:t>in 1998/99 before declining to 20 t in 2001/02. Thereafter</w:t>
      </w:r>
      <w:r w:rsidR="00780EF8">
        <w:t>,</w:t>
      </w:r>
      <w:r>
        <w:t xml:space="preserve"> catch </w:t>
      </w:r>
      <w:r w:rsidR="00780EF8">
        <w:t xml:space="preserve">has </w:t>
      </w:r>
      <w:r>
        <w:t>remained relatively stable with a minimum of 13 t and an average of 21 t</w:t>
      </w:r>
      <w:r w:rsidR="00A30532">
        <w:t xml:space="preserve">. </w:t>
      </w:r>
      <w:r w:rsidR="00780EF8">
        <w:t>The OT was reduced from 21 t to 15.5 t for 2023/24, however 17.7 t was harvested.</w:t>
      </w:r>
      <w:r w:rsidR="00A30532">
        <w:t xml:space="preserve"> </w:t>
      </w:r>
      <w:r w:rsidR="00780EF8">
        <w:t xml:space="preserve">Most of the over-catch came from the Little Rame reefcode. </w:t>
      </w:r>
      <w:r w:rsidR="00C70DC4">
        <w:t xml:space="preserve">CPUE </w:t>
      </w:r>
      <w:r w:rsidR="00A30532">
        <w:t xml:space="preserve">has declined since 2019. </w:t>
      </w:r>
    </w:p>
    <w:p w14:paraId="7E82F2DF" w14:textId="473D3A25" w:rsidR="00C70DC4" w:rsidRDefault="00A30532" w:rsidP="00C70DC4">
      <w:bookmarkStart w:id="159" w:name="_Hlk118792628"/>
      <w:r>
        <w:t xml:space="preserve">Only one FIS site from the Mallacoota Small </w:t>
      </w:r>
      <w:r w:rsidR="00464D44">
        <w:t xml:space="preserve">SMU </w:t>
      </w:r>
      <w:r>
        <w:t>contributed to the Top 15 sites</w:t>
      </w:r>
      <w:r w:rsidR="00EB1CB6">
        <w:t xml:space="preserve"> and the </w:t>
      </w:r>
      <w:r w:rsidR="00464D44">
        <w:t>abundances</w:t>
      </w:r>
      <w:r w:rsidR="00EB1CB6">
        <w:t xml:space="preserve"> of recruits and pre-recruits from this site have been variable over time. </w:t>
      </w:r>
      <w:bookmarkEnd w:id="159"/>
      <w:r w:rsidR="00EB1CB6">
        <w:t>A paucity of data also makes it difficult to interpret length frequency data from FIS and commercial data sources.</w:t>
      </w:r>
    </w:p>
    <w:p w14:paraId="00AC476E" w14:textId="184290BF" w:rsidR="00C70DC4" w:rsidRDefault="00C70DC4" w:rsidP="00C70DC4">
      <w:r>
        <w:t xml:space="preserve">For the Mallacoota Small SMU, mean CPUE was above the </w:t>
      </w:r>
      <w:r w:rsidR="00EB1CB6">
        <w:t xml:space="preserve">Threshold </w:t>
      </w:r>
      <w:r>
        <w:t xml:space="preserve">level in the Draft Harvest Strategy and has been above the Threshold level for </w:t>
      </w:r>
      <w:r w:rsidR="00EB1CB6">
        <w:t>3</w:t>
      </w:r>
      <w:r w:rsidR="00780EF8">
        <w:t>1</w:t>
      </w:r>
      <w:r>
        <w:t xml:space="preserve"> consecutive years (</w:t>
      </w:r>
      <w:r w:rsidR="00EB1CB6">
        <w:t>Table 4</w:t>
      </w:r>
      <w:r>
        <w:t xml:space="preserve">). </w:t>
      </w:r>
      <w:r w:rsidR="00373E95">
        <w:t>T</w:t>
      </w:r>
      <w:r>
        <w:t xml:space="preserve">he Primary Indicator was </w:t>
      </w:r>
      <w:r w:rsidR="00780EF8">
        <w:t xml:space="preserve">Decreasing </w:t>
      </w:r>
      <w:r>
        <w:t xml:space="preserve">and the Secondary Indicator was </w:t>
      </w:r>
      <w:r w:rsidR="00EB1CB6">
        <w:t>De</w:t>
      </w:r>
      <w:r>
        <w:t xml:space="preserve">creasing, which gave a </w:t>
      </w:r>
      <w:r w:rsidR="00EB1CB6">
        <w:t xml:space="preserve">Decreasing </w:t>
      </w:r>
      <w:r>
        <w:t>Primary Category</w:t>
      </w:r>
      <w:r w:rsidR="00464D44">
        <w:t xml:space="preserve"> (Table 5)</w:t>
      </w:r>
      <w:r>
        <w:t xml:space="preserve">.  The Tertiary Indicator was </w:t>
      </w:r>
      <w:r w:rsidR="00373E95">
        <w:t>not available</w:t>
      </w:r>
      <w:r>
        <w:t xml:space="preserve">, resulting in a </w:t>
      </w:r>
      <w:r w:rsidR="00EB1CB6">
        <w:t xml:space="preserve">Decreasing </w:t>
      </w:r>
      <w:r>
        <w:t xml:space="preserve">Final Category for the SMU. The OT for </w:t>
      </w:r>
      <w:r w:rsidR="00062AFC">
        <w:t>2023/24</w:t>
      </w:r>
      <w:r>
        <w:t xml:space="preserve"> was </w:t>
      </w:r>
      <w:r w:rsidR="00EB1CB6">
        <w:t xml:space="preserve">reduced to </w:t>
      </w:r>
      <w:r w:rsidR="00780EF8">
        <w:t>7.8</w:t>
      </w:r>
      <w:r w:rsidR="00EB1CB6">
        <w:t xml:space="preserve"> t</w:t>
      </w:r>
      <w:r>
        <w:t>, and the results of the Harvest Strategy suggest</w:t>
      </w:r>
      <w:r w:rsidR="00373E95">
        <w:t xml:space="preserve"> </w:t>
      </w:r>
      <w:r w:rsidR="00780EF8">
        <w:t xml:space="preserve">an </w:t>
      </w:r>
      <w:r>
        <w:t xml:space="preserve">OT from </w:t>
      </w:r>
      <w:r w:rsidR="00780EF8">
        <w:t>6.6</w:t>
      </w:r>
      <w:r w:rsidR="00373E95">
        <w:t xml:space="preserve"> to </w:t>
      </w:r>
      <w:r w:rsidR="00780EF8">
        <w:t>7.4</w:t>
      </w:r>
      <w:r>
        <w:t xml:space="preserve"> t.</w:t>
      </w:r>
    </w:p>
    <w:p w14:paraId="6C3D0885" w14:textId="5A616256" w:rsidR="00C70DC4" w:rsidRDefault="00EB1CB6" w:rsidP="00C70DC4">
      <w:r w:rsidRPr="00206E8A">
        <w:rPr>
          <w:b/>
          <w:bCs/>
        </w:rPr>
        <w:t xml:space="preserve">CPUE has declined since 2019, though remains within historic levels. </w:t>
      </w:r>
      <w:r w:rsidR="00C95662">
        <w:rPr>
          <w:b/>
          <w:bCs/>
        </w:rPr>
        <w:t>T</w:t>
      </w:r>
      <w:r w:rsidR="00780EF8" w:rsidRPr="00206E8A">
        <w:rPr>
          <w:b/>
          <w:bCs/>
        </w:rPr>
        <w:t xml:space="preserve">he OT has been reduced substantially in the last two years from 21 t to 7.8 t. </w:t>
      </w:r>
      <w:bookmarkStart w:id="160" w:name="_Hlk150353855"/>
      <w:r w:rsidR="00C95662">
        <w:rPr>
          <w:b/>
          <w:bCs/>
        </w:rPr>
        <w:t xml:space="preserve">It is too soon to determine whether </w:t>
      </w:r>
      <w:r w:rsidR="00780EF8">
        <w:rPr>
          <w:b/>
          <w:bCs/>
        </w:rPr>
        <w:t xml:space="preserve">the </w:t>
      </w:r>
      <w:r w:rsidR="00464D44" w:rsidRPr="00464D44">
        <w:rPr>
          <w:b/>
          <w:bCs/>
        </w:rPr>
        <w:t>stock has responded to the</w:t>
      </w:r>
      <w:r w:rsidR="00780EF8">
        <w:rPr>
          <w:b/>
          <w:bCs/>
        </w:rPr>
        <w:t>se large</w:t>
      </w:r>
      <w:r w:rsidR="00464D44" w:rsidRPr="00464D44">
        <w:rPr>
          <w:b/>
          <w:bCs/>
        </w:rPr>
        <w:t xml:space="preserve"> reductions in OT</w:t>
      </w:r>
      <w:r w:rsidR="00780EF8">
        <w:rPr>
          <w:b/>
          <w:bCs/>
        </w:rPr>
        <w:t>.</w:t>
      </w:r>
      <w:r w:rsidR="00464D44" w:rsidRPr="00464D44">
        <w:rPr>
          <w:b/>
          <w:bCs/>
        </w:rPr>
        <w:t xml:space="preserve"> </w:t>
      </w:r>
      <w:r w:rsidR="00780EF8">
        <w:rPr>
          <w:b/>
          <w:bCs/>
        </w:rPr>
        <w:t xml:space="preserve">While the </w:t>
      </w:r>
      <w:r w:rsidR="00464D44" w:rsidRPr="00464D44">
        <w:rPr>
          <w:b/>
          <w:bCs/>
        </w:rPr>
        <w:t xml:space="preserve">Draft Harvest Strategy </w:t>
      </w:r>
      <w:r w:rsidR="00780EF8">
        <w:rPr>
          <w:b/>
          <w:bCs/>
        </w:rPr>
        <w:t>suggests reductions are required</w:t>
      </w:r>
      <w:r w:rsidR="00206E8A">
        <w:rPr>
          <w:b/>
          <w:bCs/>
        </w:rPr>
        <w:t xml:space="preserve"> for 2025/26</w:t>
      </w:r>
      <w:r w:rsidR="00780EF8">
        <w:rPr>
          <w:b/>
          <w:bCs/>
        </w:rPr>
        <w:t xml:space="preserve">, </w:t>
      </w:r>
      <w:r w:rsidR="00206E8A">
        <w:rPr>
          <w:b/>
          <w:bCs/>
        </w:rPr>
        <w:t>d</w:t>
      </w:r>
      <w:r w:rsidR="00180C83" w:rsidRPr="00180C83">
        <w:rPr>
          <w:b/>
          <w:bCs/>
        </w:rPr>
        <w:t xml:space="preserve">iver observations will be important in determining </w:t>
      </w:r>
      <w:bookmarkEnd w:id="160"/>
      <w:r w:rsidR="00206E8A">
        <w:rPr>
          <w:b/>
          <w:bCs/>
        </w:rPr>
        <w:t>whether this is required</w:t>
      </w:r>
      <w:r w:rsidR="00180C83" w:rsidRPr="00180C83">
        <w:rPr>
          <w:b/>
          <w:bCs/>
        </w:rPr>
        <w:t>.</w:t>
      </w:r>
    </w:p>
    <w:p w14:paraId="7C7CD40B" w14:textId="41B4F909" w:rsidR="007F70DE" w:rsidRDefault="007F70DE">
      <w:pPr>
        <w:spacing w:before="0" w:after="160" w:line="259" w:lineRule="auto"/>
      </w:pPr>
      <w:r>
        <w:br w:type="page"/>
      </w:r>
    </w:p>
    <w:p w14:paraId="56C2B7D8" w14:textId="054154B2" w:rsidR="00C70DC4" w:rsidRDefault="007F70DE" w:rsidP="007F70DE">
      <w:pPr>
        <w:pStyle w:val="Heading1"/>
        <w:numPr>
          <w:ilvl w:val="0"/>
          <w:numId w:val="7"/>
        </w:numPr>
        <w:ind w:left="0" w:firstLine="0"/>
      </w:pPr>
      <w:bookmarkStart w:id="161" w:name="_Toc182219919"/>
      <w:r>
        <w:t>Factors affecting the Eastern Zone abalone fishery</w:t>
      </w:r>
      <w:bookmarkEnd w:id="161"/>
    </w:p>
    <w:p w14:paraId="11DBD1C9" w14:textId="52A64D8D" w:rsidR="007F70DE" w:rsidRDefault="007F70DE" w:rsidP="007F70DE">
      <w:r>
        <w:t>As with all fisheries, a number of factors may influence the productivity</w:t>
      </w:r>
      <w:r w:rsidR="00C95662">
        <w:t>,</w:t>
      </w:r>
      <w:r>
        <w:t xml:space="preserve"> sustainability </w:t>
      </w:r>
      <w:r w:rsidR="00C95662">
        <w:t xml:space="preserve">and interpretation of data for </w:t>
      </w:r>
      <w:r>
        <w:t xml:space="preserve">the Eastern Zone abalone stocks. As discussed in recent </w:t>
      </w:r>
      <w:r w:rsidR="00477721">
        <w:t>Stock Assessment Report</w:t>
      </w:r>
      <w:r>
        <w:t xml:space="preserve">s, average recruitment to the Eastern Zone stocks appears to have declined over the last two decades relative to early, more productive periods of the fishery. These trends have been noted throughout southern Australia, across several commercially important abalone species. </w:t>
      </w:r>
      <w:r w:rsidR="00AA64D4">
        <w:t>In addition, changes in market conditions have also influenced the fishery dynamics, which in turn influences the interpretation of catch data.</w:t>
      </w:r>
    </w:p>
    <w:p w14:paraId="167A6FCF" w14:textId="760B6C73" w:rsidR="00AA64D4" w:rsidRPr="00AA64D4" w:rsidRDefault="00AA64D4" w:rsidP="007F70DE">
      <w:pPr>
        <w:rPr>
          <w:i/>
          <w:iCs/>
        </w:rPr>
      </w:pPr>
      <w:r w:rsidRPr="00AA64D4">
        <w:rPr>
          <w:i/>
          <w:iCs/>
        </w:rPr>
        <w:t>Environmental influences</w:t>
      </w:r>
    </w:p>
    <w:p w14:paraId="6BBA2977" w14:textId="07BD1CE0" w:rsidR="00AA64D4" w:rsidRDefault="007F70DE" w:rsidP="007F70DE">
      <w:r>
        <w:t xml:space="preserve">In </w:t>
      </w:r>
      <w:r w:rsidR="00AA64D4">
        <w:t xml:space="preserve">recent </w:t>
      </w:r>
      <w:r>
        <w:t xml:space="preserve">years, diving conditions at the Marlo SMU have been reported to be poor, due to </w:t>
      </w:r>
      <w:r w:rsidR="00BD38CA">
        <w:t xml:space="preserve">fresh </w:t>
      </w:r>
      <w:r>
        <w:t xml:space="preserve">water </w:t>
      </w:r>
      <w:r w:rsidR="00AA64D4">
        <w:t xml:space="preserve">outflow </w:t>
      </w:r>
      <w:r>
        <w:t xml:space="preserve">from the Snowy River. </w:t>
      </w:r>
      <w:r w:rsidR="00BD38CA">
        <w:t xml:space="preserve">While this has affected the total effort and catch from the Marlo SMU, the impacts of this water on the productivity of the stock are </w:t>
      </w:r>
      <w:r w:rsidR="00AA64D4">
        <w:t xml:space="preserve">currently </w:t>
      </w:r>
      <w:r w:rsidR="00BD38CA">
        <w:t>unknown.</w:t>
      </w:r>
      <w:r w:rsidR="00EE3B77">
        <w:t xml:space="preserve"> The EZAIA are currently investing in investigations into these impacts on the fishery.</w:t>
      </w:r>
    </w:p>
    <w:p w14:paraId="2549E6E7" w14:textId="370777AE" w:rsidR="00AA64D4" w:rsidRPr="00EE3B77" w:rsidRDefault="00EE3B77" w:rsidP="007F70DE">
      <w:pPr>
        <w:rPr>
          <w:i/>
          <w:iCs/>
        </w:rPr>
      </w:pPr>
      <w:r w:rsidRPr="00EE3B77">
        <w:rPr>
          <w:i/>
          <w:iCs/>
        </w:rPr>
        <w:t>Sea urchins</w:t>
      </w:r>
    </w:p>
    <w:p w14:paraId="79DE0C76" w14:textId="0D57149A" w:rsidR="00BD38CA" w:rsidRDefault="00BD38CA" w:rsidP="004B0344">
      <w:r>
        <w:t xml:space="preserve">Another factor that has substantially impacted the Eastern Zone fishery is the incursion of sea urchins. </w:t>
      </w:r>
      <w:r w:rsidR="004B0344">
        <w:t>Long-spined sea urchins (</w:t>
      </w:r>
      <w:r w:rsidR="004B0344" w:rsidRPr="004B0344">
        <w:rPr>
          <w:i/>
          <w:iCs/>
        </w:rPr>
        <w:t>Centrostephanus rodgersii</w:t>
      </w:r>
      <w:r w:rsidR="004B0344">
        <w:t xml:space="preserve">) are endemic to New South Wales waters, but in recent decades they have spread further south into eastern Victorian and eastern Tasmanian coastlines. </w:t>
      </w:r>
      <w:r w:rsidR="00EE3B77">
        <w:t xml:space="preserve">Appendix 7 provides </w:t>
      </w:r>
      <w:r w:rsidR="002B3C46">
        <w:t>information on sea urchin abundance obtained from the abalone FIS</w:t>
      </w:r>
      <w:r w:rsidR="00EE3B77">
        <w:t xml:space="preserve"> that was updated for the 2022/23 stock assessment report (Dixon et al 2023)</w:t>
      </w:r>
      <w:r w:rsidR="002B3C46">
        <w:t>.</w:t>
      </w:r>
    </w:p>
    <w:p w14:paraId="5ECE22F7" w14:textId="02413229" w:rsidR="00EE3B77" w:rsidRPr="00EE3B77" w:rsidRDefault="00EE3B77" w:rsidP="004B0344">
      <w:pPr>
        <w:rPr>
          <w:i/>
          <w:iCs/>
        </w:rPr>
      </w:pPr>
      <w:r w:rsidRPr="00EE3B77">
        <w:rPr>
          <w:i/>
          <w:iCs/>
        </w:rPr>
        <w:t>Market forces</w:t>
      </w:r>
    </w:p>
    <w:p w14:paraId="35C4E306" w14:textId="66C3041B" w:rsidR="00A815A2" w:rsidRDefault="00A815A2" w:rsidP="004B0344">
      <w:r>
        <w:t xml:space="preserve">The following information was provided by Mr Charles Nelson, Operations Manager at Mallacoota Abalone Ltd (i.e. the Mallacoota Co-operative), which processes </w:t>
      </w:r>
      <w:r w:rsidR="00C95662">
        <w:t>most</w:t>
      </w:r>
      <w:r>
        <w:t xml:space="preserve"> of the Eastern Zone abalone catch.</w:t>
      </w:r>
    </w:p>
    <w:p w14:paraId="31FF56B1" w14:textId="60764F16" w:rsidR="00357D1A" w:rsidRDefault="00357D1A" w:rsidP="004B0344">
      <w:r>
        <w:t>There are two key factors that influence the interpretation of CPUE and mean catch per day analyses. The first is daily catch limits and the second is an increased demand for large abalone, particularly through the “live” abalone market which obtains a higher price per kg (ranging from $9/kg to 18/kg higher during the recent years).</w:t>
      </w:r>
    </w:p>
    <w:p w14:paraId="10E12D66" w14:textId="60BE1323" w:rsidR="006E7FDB" w:rsidRDefault="00357D1A" w:rsidP="004B0344">
      <w:r>
        <w:t>The Mallacoota Co-op was lost during the bushfires of 2019/20</w:t>
      </w:r>
      <w:r w:rsidR="00A815A2">
        <w:t xml:space="preserve"> (around new year)</w:t>
      </w:r>
      <w:r>
        <w:t xml:space="preserve">. </w:t>
      </w:r>
      <w:r w:rsidR="00A815A2">
        <w:t xml:space="preserve">The factory was rebuilt and operations recommenced in June 2020. Around this time, the abalone market was also severely impacted by Covid-19. Upon reopening, the factory began processing for the “live abalone” market in response to changes in the market price. The </w:t>
      </w:r>
      <w:r w:rsidR="001F084B">
        <w:t xml:space="preserve">size and </w:t>
      </w:r>
      <w:r w:rsidR="00A815A2">
        <w:t>weight of individual abalone for canning</w:t>
      </w:r>
      <w:r w:rsidR="006E7FDB">
        <w:t>/frozen</w:t>
      </w:r>
      <w:r w:rsidR="00A815A2">
        <w:t xml:space="preserve"> is </w:t>
      </w:r>
      <w:r w:rsidR="001F084B">
        <w:t xml:space="preserve">much lower than that for </w:t>
      </w:r>
      <w:r w:rsidR="00A815A2">
        <w:t xml:space="preserve">the live market. </w:t>
      </w:r>
      <w:r w:rsidR="001D06D8">
        <w:t xml:space="preserve">As a result, divers fishing for the live market will either target SMUs that have higher LML’s, or alternatively, will leave some legal-size abalone alone and fish to a higher size limit. </w:t>
      </w:r>
      <w:r w:rsidR="001F084B">
        <w:t>In the latter case, the choice of market will therefore substantially affect CPUE. Some divers fish for live only, however others “split off” the larger abalone from their catch for the live market</w:t>
      </w:r>
      <w:r w:rsidR="006E7FDB">
        <w:t xml:space="preserve"> while the rest go for canning/frozen.</w:t>
      </w:r>
    </w:p>
    <w:p w14:paraId="7258B588" w14:textId="1E7534B2" w:rsidR="00EE3B77" w:rsidRDefault="006E7FDB" w:rsidP="004B0344">
      <w:r>
        <w:t>Daily c</w:t>
      </w:r>
      <w:r w:rsidRPr="006E7FDB">
        <w:t xml:space="preserve">atch limits </w:t>
      </w:r>
      <w:r w:rsidR="00F25804" w:rsidRPr="00F25804">
        <w:t xml:space="preserve">imposed by the Co-op </w:t>
      </w:r>
      <w:r>
        <w:t xml:space="preserve">for individual divers are variable </w:t>
      </w:r>
      <w:r w:rsidRPr="006E7FDB">
        <w:t xml:space="preserve">and </w:t>
      </w:r>
      <w:r>
        <w:t xml:space="preserve">are </w:t>
      </w:r>
      <w:r w:rsidRPr="006E7FDB">
        <w:t xml:space="preserve">worked out daily, based on the desired throughput and the number of divers that wish to work each day.  Typically, </w:t>
      </w:r>
      <w:r>
        <w:t xml:space="preserve">the </w:t>
      </w:r>
      <w:r w:rsidRPr="006E7FDB">
        <w:t xml:space="preserve">factory </w:t>
      </w:r>
      <w:r>
        <w:t xml:space="preserve">aims to process </w:t>
      </w:r>
      <w:r w:rsidRPr="006E7FDB">
        <w:t>2,400</w:t>
      </w:r>
      <w:r>
        <w:t xml:space="preserve"> </w:t>
      </w:r>
      <w:r w:rsidRPr="006E7FDB">
        <w:t xml:space="preserve">kg </w:t>
      </w:r>
      <w:r>
        <w:t xml:space="preserve">for canning/frozen and </w:t>
      </w:r>
      <w:r w:rsidRPr="006E7FDB">
        <w:t>1,000</w:t>
      </w:r>
      <w:r>
        <w:t xml:space="preserve"> </w:t>
      </w:r>
      <w:r w:rsidRPr="006E7FDB">
        <w:t>kg</w:t>
      </w:r>
      <w:r>
        <w:t xml:space="preserve"> for the live market</w:t>
      </w:r>
      <w:r w:rsidR="00F25804">
        <w:t xml:space="preserve"> each day</w:t>
      </w:r>
      <w:r w:rsidRPr="006E7FDB">
        <w:t xml:space="preserve">.  </w:t>
      </w:r>
      <w:r>
        <w:t xml:space="preserve">If ten divers fished on one day, for example, </w:t>
      </w:r>
      <w:r w:rsidRPr="006E7FDB">
        <w:t xml:space="preserve">each </w:t>
      </w:r>
      <w:r>
        <w:t xml:space="preserve">would </w:t>
      </w:r>
      <w:r w:rsidRPr="006E7FDB">
        <w:t>receive an allocation of 240</w:t>
      </w:r>
      <w:r>
        <w:t xml:space="preserve"> </w:t>
      </w:r>
      <w:r w:rsidRPr="006E7FDB">
        <w:t>kg of canning/frozen catch, and 100</w:t>
      </w:r>
      <w:r>
        <w:t xml:space="preserve"> </w:t>
      </w:r>
      <w:r w:rsidRPr="006E7FDB">
        <w:t>kg of live catch.  Desired throughput is determined by things such as market requirements, staffing levels and key absences within operational staff.</w:t>
      </w:r>
      <w:r>
        <w:t xml:space="preserve"> </w:t>
      </w:r>
      <w:r w:rsidR="00F25804">
        <w:t>These types of processor-driven d</w:t>
      </w:r>
      <w:r>
        <w:t>aily catch limits greatly influence the interpretation of mean daily catch data.</w:t>
      </w:r>
      <w:r w:rsidR="001F084B">
        <w:t xml:space="preserve"> </w:t>
      </w:r>
      <w:r w:rsidR="00A815A2">
        <w:t xml:space="preserve"> </w:t>
      </w:r>
    </w:p>
    <w:p w14:paraId="1E75EA42" w14:textId="77777777" w:rsidR="00C70DC4" w:rsidRDefault="00C70DC4" w:rsidP="006561A1">
      <w:pPr>
        <w:pStyle w:val="Heading1"/>
        <w:numPr>
          <w:ilvl w:val="0"/>
          <w:numId w:val="7"/>
        </w:numPr>
        <w:ind w:left="0" w:firstLine="0"/>
      </w:pPr>
      <w:bookmarkStart w:id="162" w:name="_Toc182219920"/>
      <w:bookmarkStart w:id="163" w:name="summary-and-recommendations"/>
      <w:bookmarkEnd w:id="48"/>
      <w:bookmarkEnd w:id="157"/>
      <w:bookmarkEnd w:id="158"/>
      <w:r>
        <w:t>Conclusions and recommendations</w:t>
      </w:r>
      <w:bookmarkEnd w:id="162"/>
    </w:p>
    <w:p w14:paraId="12C83FEB" w14:textId="34D5BDD1" w:rsidR="00C70DC4" w:rsidRDefault="00B11AE4" w:rsidP="006561A1">
      <w:pPr>
        <w:pStyle w:val="Heading2"/>
        <w:numPr>
          <w:ilvl w:val="1"/>
          <w:numId w:val="7"/>
        </w:numPr>
        <w:ind w:left="709" w:hanging="709"/>
      </w:pPr>
      <w:bookmarkStart w:id="164" w:name="_Toc182219921"/>
      <w:bookmarkStart w:id="165" w:name="_Hlk150328077"/>
      <w:r>
        <w:t>The a</w:t>
      </w:r>
      <w:r w:rsidR="00C70DC4">
        <w:t>pproach</w:t>
      </w:r>
      <w:r w:rsidR="00FC190E">
        <w:t xml:space="preserve"> to stock assessment</w:t>
      </w:r>
      <w:bookmarkEnd w:id="164"/>
    </w:p>
    <w:p w14:paraId="6E83FB54" w14:textId="1C5BCC26" w:rsidR="009B2721" w:rsidRDefault="00A52602" w:rsidP="009B2721">
      <w:bookmarkStart w:id="166" w:name="_Hlk150328137"/>
      <w:bookmarkEnd w:id="165"/>
      <w:r>
        <w:t>As reported in previous Stock Assessment Reports and associated review documents</w:t>
      </w:r>
      <w:r w:rsidR="009B2721">
        <w:t xml:space="preserve">, there are substantial uncertainties associated with the </w:t>
      </w:r>
      <w:r>
        <w:t xml:space="preserve">two </w:t>
      </w:r>
      <w:r w:rsidR="009B2721">
        <w:t>primary sources of data</w:t>
      </w:r>
      <w:r>
        <w:t xml:space="preserve"> for assessment. </w:t>
      </w:r>
      <w:r w:rsidR="002F76F7">
        <w:t xml:space="preserve">CPUE </w:t>
      </w:r>
      <w:r>
        <w:t xml:space="preserve">data are positively biased due to hyperstability, and therefore present an overly optimistic assessment of stock status. FIS data are negatively biased because </w:t>
      </w:r>
      <w:r w:rsidR="00B11AE4">
        <w:t xml:space="preserve">historic </w:t>
      </w:r>
      <w:r>
        <w:t xml:space="preserve">FIS site locations are </w:t>
      </w:r>
      <w:r w:rsidR="00B11AE4">
        <w:t xml:space="preserve">not </w:t>
      </w:r>
      <w:r>
        <w:t>representative of the entire stock, and thus they represent an overly pessimistic assessment of stock status</w:t>
      </w:r>
      <w:r w:rsidR="009B2721">
        <w:t xml:space="preserve">. As a result, in recent years </w:t>
      </w:r>
      <w:r w:rsidR="00D72FA8">
        <w:t xml:space="preserve">VFA have requested </w:t>
      </w:r>
      <w:r w:rsidR="009B2721">
        <w:t xml:space="preserve">reviews of the current CPUE </w:t>
      </w:r>
      <w:r w:rsidR="00D72FA8">
        <w:t xml:space="preserve">standardisation approach (Dichmont et al 2022) and the FIS approach (Dixon 2023). </w:t>
      </w:r>
      <w:r w:rsidR="001D54AF">
        <w:t xml:space="preserve">This report is the first to use a revised CPUE standardisation </w:t>
      </w:r>
      <w:r w:rsidR="00092DA4">
        <w:t xml:space="preserve">model </w:t>
      </w:r>
      <w:r w:rsidR="001D54AF">
        <w:t xml:space="preserve">that has been developed through the ASWG. In 2024, new fixed transects were established at some of the “Top 15” </w:t>
      </w:r>
      <w:r w:rsidR="00092DA4">
        <w:t xml:space="preserve">historic </w:t>
      </w:r>
      <w:r w:rsidR="001D54AF">
        <w:t xml:space="preserve">sites to test the establishment of the new fixed transect approach, and to provide comparison data between FIS methods. Establishment of new fixed transect sites in shallow water reefs representative of the </w:t>
      </w:r>
      <w:r w:rsidR="00F25804">
        <w:t xml:space="preserve">current </w:t>
      </w:r>
      <w:r w:rsidR="001D54AF">
        <w:t xml:space="preserve">fishing grounds is planned to commence in 2025. </w:t>
      </w:r>
      <w:r w:rsidR="00D72FA8">
        <w:t xml:space="preserve">Reviews of other components of the management </w:t>
      </w:r>
      <w:r w:rsidR="001D54AF">
        <w:t xml:space="preserve">system </w:t>
      </w:r>
      <w:r w:rsidR="00D72FA8">
        <w:t xml:space="preserve">are also </w:t>
      </w:r>
      <w:r w:rsidR="001D54AF">
        <w:t xml:space="preserve">required over time as the assessment framework is refined </w:t>
      </w:r>
      <w:r w:rsidR="00D72FA8">
        <w:t>(e.g. Performance Indicators, Harvest Strategy, Management Plan).</w:t>
      </w:r>
    </w:p>
    <w:p w14:paraId="251B1B9C" w14:textId="4AE0ADF0" w:rsidR="003B42F2" w:rsidRDefault="001D54AF" w:rsidP="009B2721">
      <w:r>
        <w:t>U</w:t>
      </w:r>
      <w:r w:rsidR="00D72FA8">
        <w:t xml:space="preserve">ncertainties in the </w:t>
      </w:r>
      <w:r>
        <w:t xml:space="preserve">available </w:t>
      </w:r>
      <w:r w:rsidR="00D72FA8">
        <w:t>data</w:t>
      </w:r>
      <w:r w:rsidR="00A52602">
        <w:t xml:space="preserve"> have </w:t>
      </w:r>
      <w:r w:rsidR="00D72FA8">
        <w:t>result</w:t>
      </w:r>
      <w:r w:rsidR="00A52602">
        <w:t>ed</w:t>
      </w:r>
      <w:r w:rsidR="00D72FA8">
        <w:t xml:space="preserve"> </w:t>
      </w:r>
      <w:r w:rsidR="00A52602">
        <w:t>in assessment outcomes that have been misleading</w:t>
      </w:r>
      <w:r w:rsidR="001261FA">
        <w:t xml:space="preserve"> in recent years. </w:t>
      </w:r>
      <w:r w:rsidR="00D72FA8">
        <w:t xml:space="preserve">A </w:t>
      </w:r>
      <w:r w:rsidR="002F76F7">
        <w:t xml:space="preserve">2022 </w:t>
      </w:r>
      <w:r w:rsidR="00D72FA8">
        <w:t>report by MRAG (Dixon et al 2022) highlighted how poorly the outcomes f</w:t>
      </w:r>
      <w:r w:rsidR="003B42F2">
        <w:t>ro</w:t>
      </w:r>
      <w:r w:rsidR="00D72FA8">
        <w:t xml:space="preserve">m the weight of evidence assessment and Draft Harvest </w:t>
      </w:r>
      <w:r w:rsidR="002F76F7">
        <w:t>S</w:t>
      </w:r>
      <w:r w:rsidR="00D72FA8">
        <w:t xml:space="preserve">trategy had translated into TACC outcomes </w:t>
      </w:r>
      <w:r w:rsidR="003B42F2">
        <w:t>for the Eastern Zone</w:t>
      </w:r>
      <w:r w:rsidR="00D72FA8">
        <w:t xml:space="preserve">. </w:t>
      </w:r>
      <w:r w:rsidR="001261FA">
        <w:t xml:space="preserve">This reflected a lack of </w:t>
      </w:r>
      <w:r w:rsidR="00F25804">
        <w:t>confidence</w:t>
      </w:r>
      <w:r w:rsidR="001261FA">
        <w:t xml:space="preserve"> from industry in the assessment outcomes, with most TACC decisions being based on industry views rather than the stock assessment outcomes.</w:t>
      </w:r>
      <w:r>
        <w:t xml:space="preserve"> In 2024, the industry voluntarily proposed large cuts to the TACC to reduce fishing mortality rates in the hope of halting declines in biomass. </w:t>
      </w:r>
      <w:r w:rsidR="00092DA4">
        <w:t xml:space="preserve">These reductions were well beyond those suggested through the Draft Harvest Strategy. </w:t>
      </w:r>
      <w:r>
        <w:t xml:space="preserve">Large reductions in OTs </w:t>
      </w:r>
      <w:r w:rsidR="00092DA4">
        <w:t xml:space="preserve">were </w:t>
      </w:r>
      <w:r>
        <w:t xml:space="preserve">implemented at five of the seven SMUs: Mallacoota Central, Marlo, Mallacoota East, Mallacoota West and Mallacoota Small. </w:t>
      </w:r>
    </w:p>
    <w:p w14:paraId="17FF13E9" w14:textId="5F613E00" w:rsidR="00222EBE" w:rsidRDefault="00B11AE4" w:rsidP="009B2721">
      <w:r>
        <w:t xml:space="preserve">This assessment is based on information for the 2023/24 season, which ended on 30 March 2024. The large reductions in TACC implemented last year are for the current 2024/25 season. Analyses of up-to-date data from the 2024/25 season will be provided at the TACC setting meeting in December but are not included in this report. As expected, this </w:t>
      </w:r>
      <w:r w:rsidR="0006424E">
        <w:t xml:space="preserve">year’s </w:t>
      </w:r>
      <w:r>
        <w:t>report identifies concerning trends in the primary data source of commercial CPUE, which result in suggested reductions in TACC</w:t>
      </w:r>
      <w:r w:rsidR="0006424E">
        <w:t xml:space="preserve"> through the Draft Harvest Strategy</w:t>
      </w:r>
      <w:r>
        <w:t xml:space="preserve">. However, </w:t>
      </w:r>
      <w:r w:rsidR="00F25804" w:rsidRPr="00F25804">
        <w:t xml:space="preserve">the proactive reduction in TACC proposed by industry </w:t>
      </w:r>
      <w:r>
        <w:t xml:space="preserve">at last year’s TACC setting meeting has effectively </w:t>
      </w:r>
      <w:r w:rsidR="00FD52A7">
        <w:t>“</w:t>
      </w:r>
      <w:r>
        <w:t>gotten ahead</w:t>
      </w:r>
      <w:r w:rsidR="00FD52A7">
        <w:t>”</w:t>
      </w:r>
      <w:r>
        <w:t xml:space="preserve"> of the need for TACC reductions</w:t>
      </w:r>
      <w:r w:rsidR="00FD52A7">
        <w:t xml:space="preserve"> based on 2023/24 data</w:t>
      </w:r>
      <w:r>
        <w:t xml:space="preserve">. As a result, the advice provided </w:t>
      </w:r>
      <w:r w:rsidR="00FD52A7">
        <w:t xml:space="preserve">in this report </w:t>
      </w:r>
      <w:r>
        <w:t>at the SMU scale is effectively a “wait and see” approach regard</w:t>
      </w:r>
      <w:r w:rsidR="0006424E">
        <w:t>ing</w:t>
      </w:r>
      <w:r>
        <w:t xml:space="preserve"> the need for </w:t>
      </w:r>
      <w:r w:rsidR="0006424E">
        <w:t xml:space="preserve">further reductions </w:t>
      </w:r>
      <w:r>
        <w:t>in OTs, particularly at SMUs that have already been substantially reduced. On this basis, the observations of divers at these SMUs will be critical in determining whether further reductions in OT are required.</w:t>
      </w:r>
      <w:bookmarkEnd w:id="166"/>
    </w:p>
    <w:p w14:paraId="1D2FA89C" w14:textId="2CE457DF" w:rsidR="00FC190E" w:rsidRDefault="00251403" w:rsidP="00A77A9D">
      <w:pPr>
        <w:pStyle w:val="Heading3"/>
      </w:pPr>
      <w:bookmarkStart w:id="167" w:name="_Toc182219922"/>
      <w:bookmarkStart w:id="168" w:name="_Hlk149286039"/>
      <w:r>
        <w:t>CPUE standardisation</w:t>
      </w:r>
      <w:bookmarkEnd w:id="167"/>
    </w:p>
    <w:p w14:paraId="4063D272" w14:textId="79FDCE49" w:rsidR="003771BF" w:rsidRDefault="00E26B1B" w:rsidP="00251403">
      <w:r>
        <w:t>This year’s report for the Eastern Zone is the first to use a revised CPUE standardisation, agreed through the ASWG</w:t>
      </w:r>
      <w:r w:rsidR="003771BF">
        <w:t xml:space="preserve">. The revised model </w:t>
      </w:r>
      <w:r>
        <w:t>is a modified version of that recommended through the CPUE standardisation review (Dichmont et al 2022). Compared to the previous model</w:t>
      </w:r>
      <w:r w:rsidR="00754240">
        <w:t xml:space="preserve"> (Giri and Gorfine 2018)</w:t>
      </w:r>
      <w:r>
        <w:t xml:space="preserve">, the revised model has removed some of the previous interaction terms </w:t>
      </w:r>
      <w:r w:rsidR="003771BF">
        <w:t xml:space="preserve">that were considered to cause </w:t>
      </w:r>
      <w:r>
        <w:t>unnecessary</w:t>
      </w:r>
      <w:r w:rsidR="003771BF">
        <w:t xml:space="preserve"> complication</w:t>
      </w:r>
      <w:r>
        <w:t>, and importantly, has replaced the “month” term with a “</w:t>
      </w:r>
      <w:r w:rsidR="00FD52A7">
        <w:t>quarter</w:t>
      </w:r>
      <w:r>
        <w:t xml:space="preserve">” term which is considered to </w:t>
      </w:r>
      <w:r w:rsidR="00F25804">
        <w:t>better</w:t>
      </w:r>
      <w:r w:rsidR="003771BF">
        <w:t xml:space="preserve"> </w:t>
      </w:r>
      <w:r>
        <w:t xml:space="preserve">reflect the patterns of fishing across a year. In addition, a revised set of filters on the input dataset has been applied to remove </w:t>
      </w:r>
      <w:r w:rsidR="003771BF">
        <w:t xml:space="preserve">many </w:t>
      </w:r>
      <w:r>
        <w:t xml:space="preserve">of the influential outliers. </w:t>
      </w:r>
    </w:p>
    <w:p w14:paraId="3E05DCE0" w14:textId="289EBBFA" w:rsidR="00251403" w:rsidRPr="00251403" w:rsidRDefault="00F25804" w:rsidP="00251403">
      <w:r>
        <w:t>Importantly</w:t>
      </w:r>
      <w:r w:rsidR="003771BF">
        <w:t>, it must be acknowledged that the key issues with hyperstability of CPUE remain. However, the revised model does show some departure from the nominal mean over time at the Zone level and at most SMUs. While this does not mean it is representative of trends in biomass, a departure away from the nominal mean in the negative direction would be expected under the scenario of reduced biomass over time</w:t>
      </w:r>
      <w:r w:rsidR="00754240">
        <w:t xml:space="preserve"> which has occurred for </w:t>
      </w:r>
      <w:r w:rsidR="00FD52A7">
        <w:t>the Eastern Zone</w:t>
      </w:r>
      <w:r w:rsidR="003771BF">
        <w:t xml:space="preserve">. This </w:t>
      </w:r>
      <w:r w:rsidRPr="00F25804">
        <w:t>provides some indication</w:t>
      </w:r>
      <w:r>
        <w:t xml:space="preserve"> that </w:t>
      </w:r>
      <w:r w:rsidR="003771BF">
        <w:t>the current model is a better representation of changes in biomass than the previous model. Further improvements to the CPUE standardisation are expected to continue, developed through the ASWG.</w:t>
      </w:r>
    </w:p>
    <w:p w14:paraId="6080DE95" w14:textId="77777777" w:rsidR="00251403" w:rsidRDefault="00251403" w:rsidP="00251403">
      <w:pPr>
        <w:pStyle w:val="Heading3"/>
      </w:pPr>
      <w:bookmarkStart w:id="169" w:name="_Toc182219923"/>
      <w:bookmarkEnd w:id="168"/>
      <w:r>
        <w:t>Performance Indicators</w:t>
      </w:r>
      <w:bookmarkEnd w:id="169"/>
    </w:p>
    <w:p w14:paraId="48643087" w14:textId="67752BB0" w:rsidR="00FC190E" w:rsidRDefault="00FC190E" w:rsidP="00FC190E">
      <w:r>
        <w:t>Previous reports have identified that the current Performance Indicators require review. The Performance Indicators are assessed for the long-term from 2003 to current and for the short-term from 2009 to current. This was a highly productive period of the fishery and clearly stocks have declined substantially since that time. These reference points would be useful if the objective for the fishery was to recover stocks to 2003 levels, however no such objectives exist</w:t>
      </w:r>
      <w:r w:rsidR="00826077">
        <w:t xml:space="preserve"> at this time</w:t>
      </w:r>
      <w:r>
        <w:t xml:space="preserve">. It is recommended that </w:t>
      </w:r>
      <w:r w:rsidRPr="00B4471F">
        <w:t>explicit biological objective</w:t>
      </w:r>
      <w:r>
        <w:t>s</w:t>
      </w:r>
      <w:r w:rsidRPr="00B4471F">
        <w:t xml:space="preserve"> regarding stock status </w:t>
      </w:r>
      <w:r>
        <w:t xml:space="preserve">(i.e. stock recovery objectives) are determined to help inform an appropriate performance assessment. </w:t>
      </w:r>
    </w:p>
    <w:p w14:paraId="46A68C4D" w14:textId="6E5B845F" w:rsidR="00FC190E" w:rsidRDefault="00FC190E" w:rsidP="00FC190E">
      <w:r>
        <w:t xml:space="preserve">In this report, we include an </w:t>
      </w:r>
      <w:r w:rsidR="00FD52A7">
        <w:t xml:space="preserve">additional </w:t>
      </w:r>
      <w:r>
        <w:t xml:space="preserve">analysis of the Performance Indicators over the last four years, which aligns with the timelines of the Draft Harvest Strategy. </w:t>
      </w:r>
      <w:r w:rsidR="00FD52A7">
        <w:t>W</w:t>
      </w:r>
      <w:r>
        <w:t xml:space="preserve">e </w:t>
      </w:r>
      <w:r w:rsidR="00FD52A7">
        <w:t xml:space="preserve">also </w:t>
      </w:r>
      <w:r>
        <w:t>included a performance measure of mean daily catch which could be considered in a future review</w:t>
      </w:r>
      <w:r w:rsidR="00826077">
        <w:t>, however we note that this measure has been substantially affected by market forces in recent years</w:t>
      </w:r>
      <w:r>
        <w:t xml:space="preserve">. While CPUE will likely remain a key performance measure in the future, the issues associated with hyperstability need to be </w:t>
      </w:r>
      <w:r w:rsidR="00826077">
        <w:t xml:space="preserve">better </w:t>
      </w:r>
      <w:r>
        <w:t xml:space="preserve">accounted for. </w:t>
      </w:r>
      <w:r w:rsidR="00826077">
        <w:t xml:space="preserve">That said, the revised CPUE standardisation </w:t>
      </w:r>
      <w:r w:rsidR="00FD52A7">
        <w:t xml:space="preserve">model does </w:t>
      </w:r>
      <w:r w:rsidR="00826077">
        <w:t xml:space="preserve">demonstrate some departure from the nominal in a manner expected for a stock in decline. </w:t>
      </w:r>
      <w:r>
        <w:t>The current FIS program is being restructured with new sites likely being implemented in current fishing grounds in 202</w:t>
      </w:r>
      <w:r w:rsidR="00826077">
        <w:t>5</w:t>
      </w:r>
      <w:r>
        <w:t xml:space="preserve">. However, it will be several years before meaningful data </w:t>
      </w:r>
      <w:r w:rsidR="00F25804" w:rsidRPr="00F25804">
        <w:t xml:space="preserve">are available that can inform </w:t>
      </w:r>
      <w:r>
        <w:t xml:space="preserve">performance measures. </w:t>
      </w:r>
      <w:r w:rsidR="00FD52A7">
        <w:t>Finally, t</w:t>
      </w:r>
      <w:r>
        <w:t>he review of Performance Indicators must include potential measures that can be derived from commercial effort logger data that have been gathered for the last two years.</w:t>
      </w:r>
    </w:p>
    <w:p w14:paraId="2748D079" w14:textId="77777777" w:rsidR="00C70DC4" w:rsidRDefault="00C70DC4" w:rsidP="00A77A9D">
      <w:pPr>
        <w:pStyle w:val="Heading3"/>
      </w:pPr>
      <w:bookmarkStart w:id="170" w:name="_Toc150423195"/>
      <w:bookmarkStart w:id="171" w:name="_Toc182219924"/>
      <w:r>
        <w:t>Draft Harvest Strategy</w:t>
      </w:r>
      <w:bookmarkEnd w:id="170"/>
      <w:bookmarkEnd w:id="171"/>
    </w:p>
    <w:p w14:paraId="04E3A26C" w14:textId="4390021F" w:rsidR="00B8305F" w:rsidRDefault="00C70DC4" w:rsidP="00C70DC4">
      <w:pPr>
        <w:rPr>
          <w:lang w:val="en-US"/>
        </w:rPr>
      </w:pPr>
      <w:r>
        <w:t xml:space="preserve">Like all fishery assessment tools, </w:t>
      </w:r>
      <w:r w:rsidR="002F76F7">
        <w:t>h</w:t>
      </w:r>
      <w:r>
        <w:t xml:space="preserve">arvest </w:t>
      </w:r>
      <w:r w:rsidR="002F76F7">
        <w:t>s</w:t>
      </w:r>
      <w:r>
        <w:t xml:space="preserve">trategies evolve over time as new information is acquired. </w:t>
      </w:r>
      <w:r>
        <w:rPr>
          <w:lang w:val="en-US"/>
        </w:rPr>
        <w:t xml:space="preserve">The current Draft Harvest Strategy was first implemented in the 2017/18 season. </w:t>
      </w:r>
      <w:r w:rsidR="009C49AC">
        <w:rPr>
          <w:lang w:val="en-US"/>
        </w:rPr>
        <w:t xml:space="preserve">Since 2018/19, </w:t>
      </w:r>
      <w:r>
        <w:rPr>
          <w:lang w:val="en-US"/>
        </w:rPr>
        <w:t xml:space="preserve">results from the Draft Harvest Strategy have been prepared as a separate report and have also been included explicitly in this report and the stock assessment process. The </w:t>
      </w:r>
      <w:r w:rsidR="003235FF">
        <w:rPr>
          <w:lang w:val="en-US"/>
        </w:rPr>
        <w:t>six</w:t>
      </w:r>
      <w:r w:rsidR="009313C6">
        <w:rPr>
          <w:lang w:val="en-US"/>
        </w:rPr>
        <w:t xml:space="preserve"> </w:t>
      </w:r>
      <w:r>
        <w:rPr>
          <w:lang w:val="en-US"/>
        </w:rPr>
        <w:t xml:space="preserve">most recent stock assessments have used an independent weight of evidence assessment for each SMU and compared these directly with the Draft Harvest Strategy outcomes. These two sources of information have then been presented at TACC setting meetings where final </w:t>
      </w:r>
      <w:r w:rsidR="00B8305F">
        <w:rPr>
          <w:lang w:val="en-US"/>
        </w:rPr>
        <w:t>recommendations</w:t>
      </w:r>
      <w:r>
        <w:rPr>
          <w:lang w:val="en-US"/>
        </w:rPr>
        <w:t xml:space="preserve"> on the OT for an SMU are determined by stakeholders. </w:t>
      </w:r>
    </w:p>
    <w:p w14:paraId="6666B9E1" w14:textId="6C625EFE" w:rsidR="003235FF" w:rsidRDefault="00F25804" w:rsidP="003235FF">
      <w:pPr>
        <w:rPr>
          <w:lang w:val="en-US"/>
        </w:rPr>
      </w:pPr>
      <w:r w:rsidRPr="00F25804">
        <w:rPr>
          <w:lang w:val="en-US"/>
        </w:rPr>
        <w:t>Previous assessments have described weaknesses associated with the Draft Harvest Strategy  including the heavy reliance on hyperstable CPUE data, the limited influence of the tertiary indicator (which is no longer available), non-conservative reference levels that determine limit, threshold and target values, and the reliance on data from a previous season to inform a TACC for a future season. These issues should continue to be addressed through the ASWG.</w:t>
      </w:r>
    </w:p>
    <w:p w14:paraId="71B7041D" w14:textId="7B5CAB76" w:rsidR="00CA132B" w:rsidRDefault="00CA132B" w:rsidP="003235FF">
      <w:pPr>
        <w:rPr>
          <w:lang w:val="en-US"/>
        </w:rPr>
      </w:pPr>
      <w:r>
        <w:rPr>
          <w:lang w:val="en-US"/>
        </w:rPr>
        <w:t xml:space="preserve">This year’s Draft Harvest Strategy results used the revised CPUE standardisation model. As for previous years, the Reference Points were also based on the standardized CPUE time series. It is worth noting that the Reference Points in the published Draft Harvest Strategy (VFA 2019b) based on nominal CPUE are more conservative, however their use </w:t>
      </w:r>
      <w:r w:rsidR="00A33729">
        <w:rPr>
          <w:lang w:val="en-US"/>
        </w:rPr>
        <w:t xml:space="preserve">would have made </w:t>
      </w:r>
      <w:r>
        <w:rPr>
          <w:lang w:val="en-US"/>
        </w:rPr>
        <w:t xml:space="preserve">no </w:t>
      </w:r>
      <w:r w:rsidR="00A33729">
        <w:rPr>
          <w:lang w:val="en-US"/>
        </w:rPr>
        <w:t>difference to the recommended OTs for any of the SMUs this year. This is primarily because the current Reference Points are not appropriate for the fishery, as highlighted by the fact that all SMUs are currently well above the Threshold levels despite large cuts in OT being implemented for most SMUs in recent years.</w:t>
      </w:r>
    </w:p>
    <w:p w14:paraId="07CC5BE8" w14:textId="17E8D28B" w:rsidR="00F25804" w:rsidRPr="00F25804" w:rsidRDefault="00F25804" w:rsidP="00F25804">
      <w:pPr>
        <w:rPr>
          <w:rFonts w:eastAsia="Times New Roman" w:cs="Times New Roman"/>
          <w:lang w:val="en-US"/>
        </w:rPr>
      </w:pPr>
      <w:bookmarkStart w:id="172" w:name="_Toc150423196"/>
      <w:bookmarkStart w:id="173" w:name="_Toc182219925"/>
      <w:r w:rsidRPr="00F25804">
        <w:rPr>
          <w:rFonts w:eastAsia="Times New Roman" w:cs="Times New Roman"/>
          <w:lang w:val="en-US"/>
        </w:rPr>
        <w:t xml:space="preserve">The FRDC Project 2019-118: Drawing strength from each other: simulation testing of Australia’s abalone harvest strategies, is close to completion. Dr Cathy Dichmont shared some of the results of the Management Strategy Evaluation (MSE) work with MRAG staff prior to its publication. The main criticism of the current Harvest Strategy is that it is overly conservative and, under certain circumstances, can result in declines in catch over time. Theoretically, this occurs when CPUE fluctuates with variation around a stable mean level so that the Secondary Indicator drives the Primary Category result. Nevertheless, it should be noted that TACC decisions for the EZ have not followed the outcomes of the Harvest Strategy in recent years. Moreover, having some conservatism in the Harvest Strategy when stocks have been in decline should be seen as a positive. It is hoped that the MSE model can be used to help inform the development of a revised harvest strategy for the fishery in future.  </w:t>
      </w:r>
    </w:p>
    <w:p w14:paraId="4CBA2039" w14:textId="36D95745" w:rsidR="009B5714" w:rsidRDefault="009B5714" w:rsidP="00A77A9D">
      <w:pPr>
        <w:pStyle w:val="Heading3"/>
      </w:pPr>
      <w:r>
        <w:t>Weight of evidence</w:t>
      </w:r>
      <w:bookmarkEnd w:id="172"/>
      <w:bookmarkEnd w:id="173"/>
      <w:r>
        <w:t xml:space="preserve"> </w:t>
      </w:r>
    </w:p>
    <w:p w14:paraId="494BEAD1" w14:textId="6B62EF03" w:rsidR="003771BF" w:rsidRDefault="00666202" w:rsidP="00C70DC4">
      <w:r>
        <w:t xml:space="preserve">The weight of evidence assessment is impeded by the same </w:t>
      </w:r>
      <w:r w:rsidR="00CE5FDC">
        <w:t xml:space="preserve">data </w:t>
      </w:r>
      <w:r>
        <w:t>uncertainties as the Harvest Strategy and Performance Indicators</w:t>
      </w:r>
      <w:r w:rsidR="007D3507">
        <w:t>, particularly regarding the importance of CPUE</w:t>
      </w:r>
      <w:r w:rsidR="00CE5FDC">
        <w:t xml:space="preserve"> as the primary data source</w:t>
      </w:r>
      <w:r w:rsidR="007D3507">
        <w:t>. The FIS review</w:t>
      </w:r>
      <w:r>
        <w:t xml:space="preserve"> </w:t>
      </w:r>
      <w:r w:rsidR="007D3507">
        <w:t xml:space="preserve">identified that historic FIS site locations are no longer representative of the current fishing grounds. The Top 15 sites provide some data for sites adjacent to the current fishing grounds, </w:t>
      </w:r>
      <w:r w:rsidR="00AD568A">
        <w:t xml:space="preserve">however these data need to be augmented with data from shallower sites to provide a reliable index of abundance at the Zone scale, across current fishing grounds. </w:t>
      </w:r>
      <w:r w:rsidR="009B53B3" w:rsidRPr="009B53B3">
        <w:t>This year’s report includes analysis of mean catch per day, however changes in marketing/processing forces arrangements have influenced the interpretation of mean catch per day data in recent years. An improved understanding of daily catch limits per individual diver may help to improve this measure.</w:t>
      </w:r>
    </w:p>
    <w:p w14:paraId="173D4BDB" w14:textId="36846EEB" w:rsidR="00C70DC4" w:rsidRDefault="007D3507" w:rsidP="00C70DC4">
      <w:r>
        <w:t>Length frequency data from the commercial catch were only collected up to 2018/19</w:t>
      </w:r>
      <w:r w:rsidR="002F76F7">
        <w:t xml:space="preserve"> and length</w:t>
      </w:r>
      <w:r w:rsidR="00D92449">
        <w:t xml:space="preserve"> </w:t>
      </w:r>
      <w:r w:rsidR="002F76F7">
        <w:t xml:space="preserve">frequency data gathered during FIS </w:t>
      </w:r>
      <w:r w:rsidR="00CE5FDC">
        <w:t xml:space="preserve">include two sources of </w:t>
      </w:r>
      <w:r w:rsidR="002F76F7">
        <w:t>bias</w:t>
      </w:r>
      <w:r w:rsidR="00CE5FDC">
        <w:t xml:space="preserve"> that mean they should be given little weight in the assessment of stock status</w:t>
      </w:r>
      <w:r>
        <w:t>.</w:t>
      </w:r>
    </w:p>
    <w:p w14:paraId="2593D173" w14:textId="329600AF" w:rsidR="00C70DC4" w:rsidRDefault="00C70DC4" w:rsidP="006561A1">
      <w:pPr>
        <w:pStyle w:val="Heading2"/>
        <w:numPr>
          <w:ilvl w:val="1"/>
          <w:numId w:val="7"/>
        </w:numPr>
        <w:ind w:left="709" w:hanging="709"/>
      </w:pPr>
      <w:bookmarkStart w:id="174" w:name="_Toc182219926"/>
      <w:bookmarkStart w:id="175" w:name="stock-status-and-tacc"/>
      <w:r>
        <w:t xml:space="preserve">TACC setting and </w:t>
      </w:r>
      <w:r w:rsidR="000E5CFE">
        <w:t>Optimal Target catches</w:t>
      </w:r>
      <w:bookmarkEnd w:id="174"/>
    </w:p>
    <w:p w14:paraId="7E195B84" w14:textId="079B36FB" w:rsidR="00C25993" w:rsidRDefault="004E5B94" w:rsidP="00C70DC4">
      <w:bookmarkStart w:id="176" w:name="_Hlk150328750"/>
      <w:r>
        <w:t xml:space="preserve">The </w:t>
      </w:r>
      <w:r w:rsidR="00AC726C">
        <w:t xml:space="preserve">TACC setting process </w:t>
      </w:r>
      <w:r w:rsidR="00956FD8">
        <w:t xml:space="preserve">occurs in December </w:t>
      </w:r>
      <w:r w:rsidR="00E52229">
        <w:t xml:space="preserve">of </w:t>
      </w:r>
      <w:r w:rsidR="00956FD8">
        <w:t xml:space="preserve">each year for the Eastern Zone, around two thirds of the way through a current quota year. </w:t>
      </w:r>
      <w:bookmarkStart w:id="177" w:name="_Hlk149385394"/>
      <w:r w:rsidR="00956FD8">
        <w:t xml:space="preserve">TACC setting </w:t>
      </w:r>
      <w:r w:rsidR="00AC726C">
        <w:t xml:space="preserve">is complicated by the lag in time between the assessment of stock status based on data from the previous </w:t>
      </w:r>
      <w:r w:rsidR="00956FD8">
        <w:t xml:space="preserve">quota year and </w:t>
      </w:r>
      <w:r w:rsidR="00AC726C">
        <w:t xml:space="preserve">the need to establish </w:t>
      </w:r>
      <w:r w:rsidR="00956FD8">
        <w:t>a TACC for the following quota year</w:t>
      </w:r>
      <w:r w:rsidR="00B17626">
        <w:t xml:space="preserve"> (i.e. a full year lag)</w:t>
      </w:r>
      <w:r w:rsidR="008B2018">
        <w:t>.</w:t>
      </w:r>
      <w:r w:rsidR="00B17626">
        <w:t xml:space="preserve"> </w:t>
      </w:r>
      <w:bookmarkEnd w:id="177"/>
      <w:r w:rsidR="00A62EB9">
        <w:t xml:space="preserve">In the last </w:t>
      </w:r>
      <w:r w:rsidR="00754240">
        <w:t xml:space="preserve">three </w:t>
      </w:r>
      <w:r w:rsidR="00A62EB9">
        <w:t>years, informal assessments of up-to-date summaries of catch (SMU and reefcode) and CPUE (SMU only) have been provided</w:t>
      </w:r>
      <w:r w:rsidR="00D92449">
        <w:t xml:space="preserve"> at the TACC setting meeting</w:t>
      </w:r>
      <w:r w:rsidR="00A62EB9">
        <w:t>, and this will occur again in December 202</w:t>
      </w:r>
      <w:r w:rsidR="00754240">
        <w:t>4</w:t>
      </w:r>
      <w:r w:rsidR="00A62EB9">
        <w:t>. However</w:t>
      </w:r>
      <w:r w:rsidR="00C25993">
        <w:t>, future assessment</w:t>
      </w:r>
      <w:r w:rsidR="00A62EB9">
        <w:t xml:space="preserve"> processes</w:t>
      </w:r>
      <w:r w:rsidR="00C25993">
        <w:t xml:space="preserve"> should aim to </w:t>
      </w:r>
      <w:r w:rsidR="00A62EB9">
        <w:t xml:space="preserve">incorporate all </w:t>
      </w:r>
      <w:r w:rsidR="00C25993">
        <w:t>available data</w:t>
      </w:r>
      <w:r w:rsidR="00A62EB9">
        <w:t xml:space="preserve"> into the assessment and TACC setting process in a formal manner. </w:t>
      </w:r>
      <w:r w:rsidR="00754240">
        <w:t xml:space="preserve">It is expected that progress of this will occur through the ASWG in the next few months. </w:t>
      </w:r>
    </w:p>
    <w:p w14:paraId="543AD363" w14:textId="5C1C1501" w:rsidR="009B53B3" w:rsidRDefault="009B53B3" w:rsidP="00C70DC4">
      <w:r w:rsidRPr="009B53B3">
        <w:t xml:space="preserve">The importance of timely data has never been more apparent than for this year’s assessment process. This report identifies concerning trends in the primary data source of commercial CPUE, which results in suggested reductions in TACC through the Draft Harvest Strategy. However, last year’s TACC was reduced substantially from 284 t to 208 t following a recommendation by industry. In the last two years, substantial reductions in OT have been made for five of the seven EZ SMUs. On this basis, the recommended reductions in OT through the Draft Harvest Strategy are not necessarily required because the industry has predetermined “gotten ahead” of these outcomes and made the cuts voluntarily before the Harvest Strategy can take effect. The two SMUs where the OT has been largely maintained are the Airport SMU and the Mallacoota Large SMU. It is noted that the Draft Harvest Strategy outcomes for both SMUs is Stable. </w:t>
      </w:r>
    </w:p>
    <w:p w14:paraId="473F6C70" w14:textId="2ADF5133" w:rsidR="008B2018" w:rsidRPr="00CB7C25" w:rsidRDefault="009D75EC" w:rsidP="00C70DC4">
      <w:r>
        <w:t>The large reduction in TACC that was implemented voluntarily by industry for the 2024/25 season was a responsible decision that reflects concerns over declining biomass across most of the fishery. Any response in stock status will not be observed in available data immediately. On this basis, it is recommended that the current OTs remain stable in the short-term, unless individual diver observations suggest that further red</w:t>
      </w:r>
      <w:r w:rsidR="00F4266B">
        <w:t>uc</w:t>
      </w:r>
      <w:r>
        <w:t>tions in OT are required at some SMUs</w:t>
      </w:r>
      <w:r w:rsidR="00F4266B">
        <w:t xml:space="preserve">. Increases in TACC should not be considered until clear evidence of stock recovery over </w:t>
      </w:r>
      <w:r w:rsidR="008979D8">
        <w:t xml:space="preserve">several </w:t>
      </w:r>
      <w:r w:rsidR="00F4266B">
        <w:t xml:space="preserve">years is </w:t>
      </w:r>
      <w:r w:rsidR="008979D8">
        <w:t>apparent</w:t>
      </w:r>
      <w:r w:rsidR="00F4266B">
        <w:t xml:space="preserve">. </w:t>
      </w:r>
      <w:bookmarkEnd w:id="176"/>
    </w:p>
    <w:p w14:paraId="51C0B576" w14:textId="6C76D91F" w:rsidR="00C70DC4" w:rsidRDefault="00C70DC4" w:rsidP="000E5CFE">
      <w:pPr>
        <w:pStyle w:val="Heading2"/>
        <w:numPr>
          <w:ilvl w:val="1"/>
          <w:numId w:val="7"/>
        </w:numPr>
        <w:ind w:left="709" w:hanging="709"/>
      </w:pPr>
      <w:bookmarkStart w:id="178" w:name="_Toc182219927"/>
      <w:bookmarkStart w:id="179" w:name="eastern-zone-fishery-trends"/>
      <w:r>
        <w:t>Eastern Zone trends</w:t>
      </w:r>
      <w:r w:rsidR="004B2891">
        <w:t xml:space="preserve"> in available data</w:t>
      </w:r>
      <w:bookmarkEnd w:id="178"/>
    </w:p>
    <w:p w14:paraId="69AEAAD2" w14:textId="3CB890E7" w:rsidR="004B2891" w:rsidRDefault="004B2891" w:rsidP="004B2891">
      <w:r>
        <w:t>The commercial catch in the Eastern Zone for 202</w:t>
      </w:r>
      <w:r w:rsidR="00F4266B">
        <w:t>3</w:t>
      </w:r>
      <w:r>
        <w:t>/2</w:t>
      </w:r>
      <w:r w:rsidR="00F4266B">
        <w:t>4</w:t>
      </w:r>
      <w:r>
        <w:t xml:space="preserve"> was </w:t>
      </w:r>
      <w:r w:rsidR="00C82C75">
        <w:t>284</w:t>
      </w:r>
      <w:r>
        <w:t xml:space="preserve">.5 t, which was </w:t>
      </w:r>
      <w:r w:rsidR="00C82C75">
        <w:t>close to 100</w:t>
      </w:r>
      <w:r>
        <w:t>% of the TACC</w:t>
      </w:r>
      <w:r w:rsidR="00C82C75">
        <w:t xml:space="preserve"> (284.6 t)</w:t>
      </w:r>
      <w:r>
        <w:t>. Catches in recent years have been the lowest observed since commercial logbook data were gathered the fishery (from January 1969). The 202</w:t>
      </w:r>
      <w:r w:rsidR="00C82C75">
        <w:t>3</w:t>
      </w:r>
      <w:r>
        <w:t>/2</w:t>
      </w:r>
      <w:r w:rsidR="00C82C75">
        <w:t>4</w:t>
      </w:r>
      <w:r>
        <w:t xml:space="preserve"> catch was </w:t>
      </w:r>
      <w:r w:rsidR="00C82C75">
        <w:t>41</w:t>
      </w:r>
      <w:r>
        <w:t xml:space="preserve">% lower than that harvested in 2003/04 and </w:t>
      </w:r>
      <w:r w:rsidR="00C82C75">
        <w:t>3</w:t>
      </w:r>
      <w:r>
        <w:t>8% lower than that harvested in 2009/10. The TACC for the current 202</w:t>
      </w:r>
      <w:r w:rsidR="00C82C75">
        <w:t>4</w:t>
      </w:r>
      <w:r>
        <w:t>/2</w:t>
      </w:r>
      <w:r w:rsidR="00C82C75">
        <w:t>5</w:t>
      </w:r>
      <w:r>
        <w:t xml:space="preserve"> season was </w:t>
      </w:r>
      <w:r w:rsidR="00C82C75">
        <w:t xml:space="preserve">reduced to 208 t. </w:t>
      </w:r>
    </w:p>
    <w:p w14:paraId="6CDC2463" w14:textId="0FF7C37C" w:rsidR="004B2891" w:rsidRDefault="004B2891" w:rsidP="004B2891">
      <w:r>
        <w:t>Mean daily catch in 202</w:t>
      </w:r>
      <w:r w:rsidR="00C82C75">
        <w:t>3</w:t>
      </w:r>
      <w:r>
        <w:t>/2</w:t>
      </w:r>
      <w:r w:rsidR="00C82C75">
        <w:t>4</w:t>
      </w:r>
      <w:r>
        <w:t xml:space="preserve"> was </w:t>
      </w:r>
      <w:r w:rsidR="00C82C75">
        <w:t>367.8</w:t>
      </w:r>
      <w:r>
        <w:t xml:space="preserve"> kg/day, which was </w:t>
      </w:r>
      <w:r w:rsidR="00C82C75">
        <w:t>14</w:t>
      </w:r>
      <w:r>
        <w:t>% lower than 2003/04 (42</w:t>
      </w:r>
      <w:r w:rsidR="008918FD">
        <w:t>6</w:t>
      </w:r>
      <w:r>
        <w:t>.</w:t>
      </w:r>
      <w:r w:rsidR="008918FD">
        <w:t>5</w:t>
      </w:r>
      <w:r>
        <w:t xml:space="preserve"> kg/day), 1</w:t>
      </w:r>
      <w:r w:rsidR="00C82C75">
        <w:t>5</w:t>
      </w:r>
      <w:r>
        <w:t>% lower than the 2009/10 (43</w:t>
      </w:r>
      <w:r w:rsidR="008918FD">
        <w:t>3.3</w:t>
      </w:r>
      <w:r>
        <w:t xml:space="preserve"> kg/day), </w:t>
      </w:r>
      <w:r w:rsidR="00C82C75">
        <w:t xml:space="preserve">but 33% higher than </w:t>
      </w:r>
      <w:r>
        <w:t>20</w:t>
      </w:r>
      <w:r w:rsidR="00C82C75">
        <w:t>20</w:t>
      </w:r>
      <w:r>
        <w:t>/</w:t>
      </w:r>
      <w:r w:rsidR="00C82C75">
        <w:t>21</w:t>
      </w:r>
      <w:r>
        <w:t xml:space="preserve"> (</w:t>
      </w:r>
      <w:r w:rsidR="00C82C75">
        <w:t>277.5</w:t>
      </w:r>
      <w:r>
        <w:t xml:space="preserve"> kg/day). </w:t>
      </w:r>
      <w:r w:rsidR="00C82C75">
        <w:t xml:space="preserve">Mean daily catch has been substantially impacted by market forces in recent years and thus recent trends should be interpreted cautiously. </w:t>
      </w:r>
    </w:p>
    <w:p w14:paraId="546CCB98" w14:textId="05034A1C" w:rsidR="004B2891" w:rsidRDefault="00C82C75" w:rsidP="004B2891">
      <w:r>
        <w:t xml:space="preserve">Standardised </w:t>
      </w:r>
      <w:r w:rsidR="004B2891">
        <w:t xml:space="preserve">CPUE </w:t>
      </w:r>
      <w:r>
        <w:t xml:space="preserve">(95.8 kg/h) has declined in recent years and is currently 3% lower than </w:t>
      </w:r>
      <w:r w:rsidR="00406BC8">
        <w:t>2003/04</w:t>
      </w:r>
      <w:r w:rsidR="004E5D1E">
        <w:t xml:space="preserve"> (98.6 kg/h)</w:t>
      </w:r>
      <w:r w:rsidR="004B2891">
        <w:t xml:space="preserve">, </w:t>
      </w:r>
      <w:r>
        <w:t>11</w:t>
      </w:r>
      <w:r w:rsidR="004B2891">
        <w:t xml:space="preserve">% lower than </w:t>
      </w:r>
      <w:r w:rsidR="00406BC8">
        <w:t>2009/10</w:t>
      </w:r>
      <w:r>
        <w:t xml:space="preserve"> (</w:t>
      </w:r>
      <w:r w:rsidR="004E5D1E">
        <w:t>107.7 kg/h)</w:t>
      </w:r>
      <w:r w:rsidR="004B2891">
        <w:t xml:space="preserve">, and </w:t>
      </w:r>
      <w:r w:rsidR="004E5D1E">
        <w:t>6</w:t>
      </w:r>
      <w:r w:rsidR="004B2891">
        <w:t xml:space="preserve">% lower than </w:t>
      </w:r>
      <w:r w:rsidR="004E5D1E">
        <w:t>2020/21 (102.2 kg/h)</w:t>
      </w:r>
      <w:r w:rsidR="004B2891">
        <w:t xml:space="preserve">. </w:t>
      </w:r>
      <w:r w:rsidR="009B53B3">
        <w:t>Fishing e</w:t>
      </w:r>
      <w:r w:rsidR="004B2891">
        <w:t xml:space="preserve">ffort is around </w:t>
      </w:r>
      <w:r w:rsidR="004E5D1E">
        <w:t xml:space="preserve">30% </w:t>
      </w:r>
      <w:r w:rsidR="004B2891">
        <w:t>of the historic high levels</w:t>
      </w:r>
      <w:r w:rsidR="004E5D1E">
        <w:t xml:space="preserve">. CPUE has also been influenced by market factors in recent years, with some effort targeting the live market which requires only large abalone to be harvested. The extent of the impact of this on CPUE is unknown. </w:t>
      </w:r>
    </w:p>
    <w:p w14:paraId="365B688E" w14:textId="29F24259" w:rsidR="004B2891" w:rsidRDefault="004E5D1E" w:rsidP="004B2891">
      <w:r>
        <w:t>Ten of the “Top 15” historic sites were surveyed in 2024</w:t>
      </w:r>
      <w:r w:rsidR="004B2891">
        <w:t xml:space="preserve">. </w:t>
      </w:r>
      <w:r>
        <w:t>Of these ten sites, six were near Mallacoota and four were near Marlo. The six Mallacoota sites showed some increases in total abundance relative to recent years, while the four Marlo sites show further decreases in total abundance. While t</w:t>
      </w:r>
      <w:r w:rsidR="004B2891">
        <w:t xml:space="preserve">hese sites are not </w:t>
      </w:r>
      <w:r>
        <w:t xml:space="preserve">considered </w:t>
      </w:r>
      <w:r w:rsidR="004B2891">
        <w:t>representative of the current fishery</w:t>
      </w:r>
      <w:r>
        <w:t xml:space="preserve">, the declines in abundance at Marlo correlate with diver views that this region has declined in abundance in recent years, potentially the result of environmental factors associated with higher water flows exiting the Snowy River. </w:t>
      </w:r>
    </w:p>
    <w:p w14:paraId="35A6F642" w14:textId="77777777" w:rsidR="00C70DC4" w:rsidRPr="00CB7C25" w:rsidRDefault="00C70DC4" w:rsidP="000E5CFE">
      <w:pPr>
        <w:pStyle w:val="Heading2"/>
        <w:numPr>
          <w:ilvl w:val="1"/>
          <w:numId w:val="7"/>
        </w:numPr>
        <w:ind w:left="709" w:hanging="709"/>
      </w:pPr>
      <w:bookmarkStart w:id="180" w:name="_Toc182219928"/>
      <w:bookmarkStart w:id="181" w:name="eastern-zone-stock-status"/>
      <w:bookmarkEnd w:id="179"/>
      <w:r w:rsidRPr="00CB7C25">
        <w:t>Eastern Zone Stock Status</w:t>
      </w:r>
      <w:bookmarkEnd w:id="180"/>
    </w:p>
    <w:p w14:paraId="5D38206C" w14:textId="15DF7BDA" w:rsidR="00080B99" w:rsidRPr="00080B99" w:rsidRDefault="00C70DC4" w:rsidP="00080B99">
      <w:pPr>
        <w:rPr>
          <w:i/>
          <w:iCs/>
        </w:rPr>
      </w:pPr>
      <w:r w:rsidRPr="00CB7C25">
        <w:t>The late</w:t>
      </w:r>
      <w:r>
        <w:t>st Status of Australian Fish Stocks (SAFS) assessment of the Victorian Eastern Zone Abalone Fishery is based on data up to and including 20</w:t>
      </w:r>
      <w:r w:rsidR="00080B99">
        <w:t>21/22</w:t>
      </w:r>
      <w:r>
        <w:t xml:space="preserve"> (Mundy et al. 202</w:t>
      </w:r>
      <w:r w:rsidR="009B53B3">
        <w:t>4</w:t>
      </w:r>
      <w:r>
        <w:t xml:space="preserve">). The authors conclude </w:t>
      </w:r>
      <w:r>
        <w:rPr>
          <w:i/>
          <w:iCs/>
        </w:rPr>
        <w:t>“</w:t>
      </w:r>
      <w:r w:rsidR="00080B99" w:rsidRPr="00080B99">
        <w:rPr>
          <w:i/>
          <w:iCs/>
        </w:rPr>
        <w:t xml:space="preserve">Given the uncertainties around both CPUE and the fishery independent surveys, there is considerable uncertainty in the trajectory of the biomass in the Victorian Eastern Zone management unit [Dixon et al. 2022]. However, it is apparent that there have been significant declines in biomass over the last 2–3 decades, and recent landings have not been consistent with targets meaning several SMU have received a disproportionally high level of fishing pressure [Dixon et al. 2022] and are therefore likely to have experienced further declines in biomass. Coupled with the effects of increased urchin abundance, the available evidence indicates that the biomass of Blacklip Abalone in the Victorian Eastern Zone management unit is still declining, but not to the extent that the stock could be considered to have become depleted or recruitment impaired. </w:t>
      </w:r>
    </w:p>
    <w:p w14:paraId="3DEA6CDA" w14:textId="446C7208" w:rsidR="00C70DC4" w:rsidRDefault="00080B99" w:rsidP="00080B99">
      <w:r w:rsidRPr="00080B99">
        <w:rPr>
          <w:i/>
          <w:iCs/>
        </w:rPr>
        <w:t>On the basis of the evidence provided above, the Victoria Eastern Zone Fishery management unit is classified as a depleting stock.</w:t>
      </w:r>
      <w:r w:rsidR="00C70DC4">
        <w:rPr>
          <w:i/>
          <w:iCs/>
        </w:rPr>
        <w:t>”.</w:t>
      </w:r>
    </w:p>
    <w:p w14:paraId="3CA7D485" w14:textId="403A6E7C" w:rsidR="00390CC1" w:rsidRDefault="00F93FF4" w:rsidP="005B58BB">
      <w:r>
        <w:t>The above assessment was based on the 20</w:t>
      </w:r>
      <w:r w:rsidR="00080B99">
        <w:t>21</w:t>
      </w:r>
      <w:r>
        <w:t>/2</w:t>
      </w:r>
      <w:r w:rsidR="00080B99">
        <w:t>2</w:t>
      </w:r>
      <w:r>
        <w:t xml:space="preserve"> </w:t>
      </w:r>
      <w:r w:rsidR="00477721">
        <w:t>Stock Assessment Report</w:t>
      </w:r>
      <w:r w:rsidR="00071B1C">
        <w:t xml:space="preserve"> (Dixon et al 2022)</w:t>
      </w:r>
      <w:r>
        <w:t xml:space="preserve">. </w:t>
      </w:r>
      <w:r w:rsidR="00080B99">
        <w:t>Since then, further reductions in TACC have been implemented, particularly for the current 2024/25 season where the TACC was reduced from 284 t to 208 t. This report identifies further declines in CPUE for the 2022/23 season, however the industry</w:t>
      </w:r>
      <w:r w:rsidR="009B53B3">
        <w:t>/VFA</w:t>
      </w:r>
      <w:r w:rsidR="00080B99">
        <w:t xml:space="preserve"> ha</w:t>
      </w:r>
      <w:r w:rsidR="009B53B3">
        <w:t>ve</w:t>
      </w:r>
      <w:r w:rsidR="00080B99">
        <w:t xml:space="preserve"> already acted upon these trends by taking the large reductions in TACC for 2024/25. </w:t>
      </w:r>
    </w:p>
    <w:p w14:paraId="4EB70102" w14:textId="68A9E884" w:rsidR="00071B1C" w:rsidRDefault="00B84FB4" w:rsidP="00B84FB4">
      <w:r>
        <w:t>The factors affecting the Eastern Zone stock over the last two decades appear to have affected most</w:t>
      </w:r>
      <w:r w:rsidR="00AD568A">
        <w:t>,</w:t>
      </w:r>
      <w:r>
        <w:t xml:space="preserve"> if not all</w:t>
      </w:r>
      <w:r w:rsidR="00AD568A">
        <w:t>,</w:t>
      </w:r>
      <w:r>
        <w:t xml:space="preserve"> Australian abalone stocks</w:t>
      </w:r>
      <w:r w:rsidR="00092DA4">
        <w:t xml:space="preserve">, primarily through </w:t>
      </w:r>
      <w:r>
        <w:t>reduced recruitment over a prolonged period</w:t>
      </w:r>
      <w:r w:rsidR="00092DA4">
        <w:t xml:space="preserve"> (at least two decades)</w:t>
      </w:r>
      <w:r>
        <w:t>. In addition, sea urchins have increased in abundance and have reduced the available habitat for abalone</w:t>
      </w:r>
      <w:r w:rsidR="00092DA4">
        <w:t xml:space="preserve"> in the Eastern Zone</w:t>
      </w:r>
      <w:r>
        <w:t xml:space="preserve">. </w:t>
      </w:r>
      <w:r w:rsidR="009B53B3">
        <w:t>T</w:t>
      </w:r>
      <w:r w:rsidR="00080B99">
        <w:t xml:space="preserve">he EZAIA is </w:t>
      </w:r>
      <w:r w:rsidR="009B53B3">
        <w:t xml:space="preserve">also </w:t>
      </w:r>
      <w:r w:rsidR="00080B99">
        <w:t xml:space="preserve">investigating potential impacts from higher recent water flows from the Snowy Rover that may have impacted abalone stocks in the Marlo SMU. </w:t>
      </w:r>
    </w:p>
    <w:p w14:paraId="0BDE1D41" w14:textId="359AE002" w:rsidR="00B84FB4" w:rsidRDefault="00071B1C" w:rsidP="00B84FB4">
      <w:r>
        <w:t>While the causes for decline in biomass are important to understand</w:t>
      </w:r>
      <w:r w:rsidR="00092DA4">
        <w:t>, the primary tool available to the fishery to manage these impacts is through appropriate management of fishing mortality</w:t>
      </w:r>
      <w:r>
        <w:t xml:space="preserve"> (i.e. the TACC). I</w:t>
      </w:r>
      <w:r w:rsidR="00092DA4">
        <w:t xml:space="preserve">t was encouraging to see that proactive decisions were made on a voluntary basis </w:t>
      </w:r>
      <w:r>
        <w:t>by industry</w:t>
      </w:r>
      <w:r w:rsidR="009B53B3">
        <w:t>, supported by VFA,</w:t>
      </w:r>
      <w:r>
        <w:t xml:space="preserve"> </w:t>
      </w:r>
      <w:r w:rsidR="00092DA4">
        <w:t>through large reductions in TACC for the 2024/25 season. It is too soon to determine whether these reductions have been sufficient to halt the biomass decline. On this basis, the status of the stocks remains as “declining”.</w:t>
      </w:r>
    </w:p>
    <w:p w14:paraId="1703D52A" w14:textId="277E0220" w:rsidR="00C70DC4" w:rsidRDefault="00C70DC4" w:rsidP="000E5CFE">
      <w:pPr>
        <w:pStyle w:val="Heading2"/>
        <w:numPr>
          <w:ilvl w:val="1"/>
          <w:numId w:val="7"/>
        </w:numPr>
        <w:ind w:left="709" w:hanging="709"/>
      </w:pPr>
      <w:bookmarkStart w:id="182" w:name="_Toc182219929"/>
      <w:r>
        <w:t>Future Monitoring and Research</w:t>
      </w:r>
      <w:bookmarkEnd w:id="182"/>
    </w:p>
    <w:p w14:paraId="4EC95387" w14:textId="77777777" w:rsidR="009B53B3" w:rsidRDefault="009B53B3" w:rsidP="009B53B3">
      <w:r>
        <w:t xml:space="preserve">The research, assessment and management framework for the fishery is currently undergoing a period of critical review and development. Reviews of CPUE measures and the FIS program have been in progress for the last few years. The need for other reviews has been identified, including review of performance measures, Draft Harvest Strategy, and the Management Plan. </w:t>
      </w:r>
    </w:p>
    <w:p w14:paraId="1C964001" w14:textId="77777777" w:rsidR="009B53B3" w:rsidRDefault="009B53B3" w:rsidP="009B53B3">
      <w:r>
        <w:t>In February 2024, the ASWG was established by VFA to utilise the experience and expertise of independent scientific personnel, fishery managers and abalone industry members to provide recommendations on how best to assess and monitor the Victorian Abalone Fishery. Industry participation in the research planning process through the ASWG is critical in improving the assessment framework, and engendering acceptance of its outcomes. The short-term priorities identified by the ASWG for 2024 were focussed on improvements to the stock assessment process, specifically changes to the filters applied to the CPUE dataset, and changes to the CPUE standardisation modelling. These changes have been incorporated into this report.</w:t>
      </w:r>
    </w:p>
    <w:p w14:paraId="4B2237A9" w14:textId="77777777" w:rsidR="009B53B3" w:rsidRDefault="009B53B3" w:rsidP="009B53B3">
      <w:r>
        <w:t xml:space="preserve">This year’s report has highlighted several issues that should be considered by the ASWG in the short-term. In particular, the time lag between the data used in this assessment and the Draft Harvest Strategy needs to be reduced. For the last three years, up-to-date data have been provided to MRAG by VFA in November, one month prior to the TACC setting process. These data are analysed by MRAG and are presented at the TACC setting forum. Undoubtedly, the assessment would be substantially improved if these data were formally included in this report, however there are several logistical issues that currently prevent this from occurring (including the time taken to prepare reports, and the format of the up-to-date data provided to MRAG In November). </w:t>
      </w:r>
    </w:p>
    <w:p w14:paraId="4DFC1027" w14:textId="43B195AE" w:rsidR="00C70DC4" w:rsidRDefault="009B53B3" w:rsidP="009B53B3">
      <w:r>
        <w:t>A key source of data for future assessments will be commercial logger data that can provide spatial assessments of effort and size structure of the catch. In addition, depth and water temperature data should be gathered through a depth logger program. These data have been routinely gathered in the Western and Central Zones for several years, as well as other abalone producing States. Increasingly, commercial logger data are being formally included into the assessment process in other States, and the establishment of these programs remains an urgent priority for the Eastern Zone.</w:t>
      </w:r>
      <w:r w:rsidR="004D204A" w:rsidRPr="004D204A">
        <w:t xml:space="preserve">  </w:t>
      </w:r>
      <w:r w:rsidR="00C70DC4">
        <w:t xml:space="preserve">  </w:t>
      </w:r>
    </w:p>
    <w:p w14:paraId="6BB993ED" w14:textId="77777777" w:rsidR="00B848A2" w:rsidRDefault="00B848A2">
      <w:pPr>
        <w:spacing w:before="0" w:after="160" w:line="259" w:lineRule="auto"/>
        <w:rPr>
          <w:rFonts w:asciiTheme="majorHAnsi" w:eastAsiaTheme="majorEastAsia" w:hAnsiTheme="majorHAnsi" w:cstheme="majorBidi"/>
          <w:color w:val="2E74B5" w:themeColor="accent1" w:themeShade="BF"/>
          <w:sz w:val="32"/>
          <w:szCs w:val="32"/>
        </w:rPr>
      </w:pPr>
      <w:bookmarkStart w:id="183" w:name="references"/>
      <w:bookmarkEnd w:id="163"/>
      <w:bookmarkEnd w:id="175"/>
      <w:bookmarkEnd w:id="181"/>
      <w:r>
        <w:br w:type="page"/>
      </w:r>
    </w:p>
    <w:p w14:paraId="1350B89C" w14:textId="6218C7E5" w:rsidR="00C70DC4" w:rsidRDefault="00B17626" w:rsidP="006561A1">
      <w:pPr>
        <w:pStyle w:val="Heading1"/>
        <w:numPr>
          <w:ilvl w:val="0"/>
          <w:numId w:val="7"/>
        </w:numPr>
        <w:ind w:left="0" w:firstLine="0"/>
      </w:pPr>
      <w:bookmarkStart w:id="184" w:name="_Toc182219930"/>
      <w:r>
        <w:t>Re</w:t>
      </w:r>
      <w:r w:rsidR="00C70DC4">
        <w:t>ferences</w:t>
      </w:r>
      <w:bookmarkEnd w:id="184"/>
    </w:p>
    <w:p w14:paraId="1AC6E256" w14:textId="77777777" w:rsidR="00C70DC4" w:rsidRDefault="00C70DC4" w:rsidP="00C70DC4">
      <w:bookmarkStart w:id="185" w:name="ref-DEDJTR2015"/>
      <w:bookmarkStart w:id="186" w:name="refs"/>
      <w:r>
        <w:t>DEDJTR. 2015. “Victorian wild harvest fishery management plan – 2014.” Melbourne: Department of Environment; Primary Industries.</w:t>
      </w:r>
    </w:p>
    <w:p w14:paraId="20CCABB3" w14:textId="77777777" w:rsidR="00B2336D" w:rsidRDefault="00B2336D" w:rsidP="00C70DC4">
      <w:bookmarkStart w:id="187" w:name="ref-DixonDichmont2019"/>
      <w:bookmarkEnd w:id="185"/>
      <w:r w:rsidRPr="00B2336D">
        <w:t>Dichmont, C.M, Dixon, C.D., and Potts, J. (2022). Developing a new CPUE standardisation for the Central and Eastern Zones of the Victorian Abalone Fishery. MRAG Asia Pacific, Brisbane, Australia.</w:t>
      </w:r>
    </w:p>
    <w:p w14:paraId="5AE5BBEB" w14:textId="169AB533" w:rsidR="00C70DC4" w:rsidRDefault="00C70DC4" w:rsidP="00C70DC4">
      <w:r>
        <w:t>Dixon, C., and D. Dichmont. 2019. “2018/19 Draft Stock Assessment for the Eastern Zone of the Victorian Abalone Fishery.” MRAG.</w:t>
      </w:r>
    </w:p>
    <w:p w14:paraId="4E3BEC71" w14:textId="6217A2E0" w:rsidR="00D01B2F" w:rsidRDefault="00D01B2F" w:rsidP="00D01B2F">
      <w:pPr>
        <w:spacing w:before="0" w:after="160" w:line="259" w:lineRule="auto"/>
      </w:pPr>
      <w:r w:rsidRPr="00D805A4">
        <w:t>Dixon, C.D., Potts, J. and Dichmont, C.M. (2020). Draft Stock Assessment for the Eastern Zone of the Victorian Abalone Fishery 2019/20. MRAG Asia Pacific, Brisbane, Australia.</w:t>
      </w:r>
    </w:p>
    <w:p w14:paraId="33B723C2" w14:textId="41CB083F" w:rsidR="00D01B2F" w:rsidRDefault="00D01B2F" w:rsidP="00D01B2F">
      <w:pPr>
        <w:spacing w:before="0" w:after="160" w:line="259" w:lineRule="auto"/>
      </w:pPr>
      <w:r w:rsidRPr="00D805A4">
        <w:t>Dixon, C.D., Potts, J. and Dichmont, C.M. (2021). Draft Stock Assessment for the Eastern Zone of the Victorian Abalone Fishery 2020/21. MRAG Asia Pacific, Brisbane, Australia.</w:t>
      </w:r>
    </w:p>
    <w:p w14:paraId="25083C05" w14:textId="163E76E4" w:rsidR="00997E51" w:rsidRDefault="00997E51" w:rsidP="00D01B2F">
      <w:pPr>
        <w:spacing w:before="0" w:after="160" w:line="259" w:lineRule="auto"/>
      </w:pPr>
      <w:r w:rsidRPr="00997E51">
        <w:t>Dixon, C.D., Potts, J. and Dichmont, C.M. (2022). Assessment of the Central and Eastern Zones of the Victorian Abalone Fishery 2019/20 to 2021/22. Final Report. MRAG Asia Pacific, Brisbane, Australia.</w:t>
      </w:r>
    </w:p>
    <w:p w14:paraId="02C0099D" w14:textId="716A9D83" w:rsidR="008D1D5F" w:rsidRDefault="008D1D5F" w:rsidP="00C70DC4">
      <w:bookmarkStart w:id="188" w:name="ref-GiriGorfine2018"/>
      <w:bookmarkEnd w:id="187"/>
      <w:r>
        <w:t>Dixon, C.D. (2023). Review of f</w:t>
      </w:r>
      <w:r w:rsidRPr="008D1D5F">
        <w:t>ishery</w:t>
      </w:r>
      <w:r>
        <w:t>-</w:t>
      </w:r>
      <w:r w:rsidRPr="008D1D5F">
        <w:t xml:space="preserve">independent surveys for the </w:t>
      </w:r>
      <w:r>
        <w:t>C</w:t>
      </w:r>
      <w:r w:rsidRPr="008D1D5F">
        <w:t xml:space="preserve">entral and </w:t>
      </w:r>
      <w:r>
        <w:t>E</w:t>
      </w:r>
      <w:r w:rsidRPr="008D1D5F">
        <w:t>astern zone</w:t>
      </w:r>
      <w:r>
        <w:t>s</w:t>
      </w:r>
      <w:r w:rsidRPr="008D1D5F">
        <w:t xml:space="preserve"> of the Victorian abalone fishery</w:t>
      </w:r>
      <w:r>
        <w:t xml:space="preserve">. Year 1 Report. </w:t>
      </w:r>
      <w:r w:rsidRPr="00997E51">
        <w:t>MRAG Asia Pacific, Brisbane, Australia.</w:t>
      </w:r>
    </w:p>
    <w:p w14:paraId="77A96CD3" w14:textId="4E6DC865" w:rsidR="00C439AD" w:rsidRPr="00C439AD" w:rsidRDefault="00C439AD" w:rsidP="00C70DC4">
      <w:r w:rsidRPr="00C439AD">
        <w:t>Dixon, C.D., and Lowe, J. (2023). Stock Assessment for the Eastern Zone of the Victorian Abalone Fishery 2022/23. MRAG Asia Pacific, Brisbane, Australia.</w:t>
      </w:r>
    </w:p>
    <w:p w14:paraId="3A67112F" w14:textId="2B3DA9D7" w:rsidR="00C70DC4" w:rsidRDefault="00C70DC4" w:rsidP="00C70DC4">
      <w:r>
        <w:t xml:space="preserve">Giri, K., and H. Gorfine. </w:t>
      </w:r>
      <w:r w:rsidR="008D1D5F">
        <w:t>(</w:t>
      </w:r>
      <w:r>
        <w:t>2018</w:t>
      </w:r>
      <w:r w:rsidR="008D1D5F">
        <w:t>)</w:t>
      </w:r>
      <w:r>
        <w:t xml:space="preserve">. “Application of a mixed modelling approach to standardize catch-per-unit-effort data for an abalone dive fishery in Western Victoria, Australia.” </w:t>
      </w:r>
      <w:r>
        <w:rPr>
          <w:i/>
          <w:iCs/>
        </w:rPr>
        <w:t>Journal of the Marine Biological Association of the United Kingdom</w:t>
      </w:r>
      <w:r>
        <w:t>, 1–9.</w:t>
      </w:r>
    </w:p>
    <w:p w14:paraId="596EEA71" w14:textId="77777777" w:rsidR="008D1D5F" w:rsidRDefault="008D1D5F" w:rsidP="00C70DC4">
      <w:bookmarkStart w:id="189" w:name="ref-Hart2017"/>
      <w:bookmarkEnd w:id="188"/>
      <w:r w:rsidRPr="008D1D5F">
        <w:t>Gorfine, H., Forbes, D., and Gason, A. (1998). A comparison of two underwater census methods for estimating the abundance of the commercially important blacklip abalone, Haliotis rubra. Fisheries Bulletin 96: 438-450.</w:t>
      </w:r>
    </w:p>
    <w:p w14:paraId="261AD73F" w14:textId="73A18CAA" w:rsidR="005A7671" w:rsidRDefault="005A7671" w:rsidP="005A7671">
      <w:r>
        <w:t>Gorfine, H., Taylor, B., and Smith D.C. (2008). Abalone ‐ 2001. Fisheries Victoria, Assessment Report Series No. 43.</w:t>
      </w:r>
    </w:p>
    <w:p w14:paraId="1F0AFBF6" w14:textId="2C051121" w:rsidR="00C70DC4" w:rsidRDefault="00C70DC4" w:rsidP="00C70DC4">
      <w:r>
        <w:t>Hart, A. 2017. “Review of fixed sites surveys used by the Victorian Abalone Science Program.” Independent Review for VFA. A. Hart, WAFRML.</w:t>
      </w:r>
    </w:p>
    <w:p w14:paraId="0370D593" w14:textId="77777777" w:rsidR="00C70DC4" w:rsidRDefault="00C70DC4" w:rsidP="00C70DC4">
      <w:bookmarkStart w:id="190" w:name="ref-HartGorfine1997"/>
      <w:bookmarkEnd w:id="189"/>
      <w:r>
        <w:t xml:space="preserve">Hart, A., and H. Gorfine. 1997. “Abundance Estimation of Blacklip Abalone (Haliotis rubra) II. A Comparative Evaluation of Catch-Effort, Change-In-Ratio, Mark-Recapture and Diver-Survey Methods.” </w:t>
      </w:r>
      <w:r>
        <w:rPr>
          <w:i/>
          <w:iCs/>
        </w:rPr>
        <w:t>Fisheries Research</w:t>
      </w:r>
      <w:r>
        <w:t xml:space="preserve"> 29: 171–83.</w:t>
      </w:r>
    </w:p>
    <w:p w14:paraId="1ABE2DA4" w14:textId="77777777" w:rsidR="00C70DC4" w:rsidRDefault="00C70DC4" w:rsidP="00C70DC4">
      <w:bookmarkStart w:id="191" w:name="ref-Miner2006"/>
      <w:bookmarkEnd w:id="190"/>
      <w:r>
        <w:t xml:space="preserve">Miner, C. M., J. M. Altstatt, P. T. Raimondi, and T. E. Minchinton. 2006. “Recruitment failure and shifts in community structure following mass mortality limit recovery prospects of black abalone.” </w:t>
      </w:r>
      <w:r>
        <w:rPr>
          <w:i/>
          <w:iCs/>
        </w:rPr>
        <w:t>Marine Ecology Progress Series</w:t>
      </w:r>
      <w:r>
        <w:t xml:space="preserve"> 327: 107–17.</w:t>
      </w:r>
    </w:p>
    <w:p w14:paraId="0CE999C3" w14:textId="77777777" w:rsidR="00C70DC4" w:rsidRDefault="00C70DC4" w:rsidP="00C70DC4">
      <w:bookmarkStart w:id="192" w:name="ref-Mundy2017"/>
      <w:bookmarkEnd w:id="191"/>
      <w:r>
        <w:t>Mundy, C., and H. Jones. 2017. “Tasmanian abalone fishery assessment 2016.” Institute for Marine; Antarctic Studies, Hobart. MRAG 2019. Draft Stock Assessment for the Eastern Zone of the Victorian Abalone Fishery 2018/19.</w:t>
      </w:r>
    </w:p>
    <w:p w14:paraId="78BC959E" w14:textId="77777777" w:rsidR="00C70DC4" w:rsidRDefault="00C70DC4" w:rsidP="00C70DC4">
      <w:bookmarkStart w:id="193" w:name="ref-Mundy2018"/>
      <w:bookmarkEnd w:id="192"/>
      <w:r>
        <w:t xml:space="preserve">Mundy, C., R. Chick, B. Stobart, VFA and L. Strain. 2021. “Blacklip abalone </w:t>
      </w:r>
      <w:r>
        <w:rPr>
          <w:i/>
          <w:iCs/>
        </w:rPr>
        <w:t>Haliotis rubra rubra</w:t>
      </w:r>
      <w:r>
        <w:t xml:space="preserve">.” In, </w:t>
      </w:r>
      <w:r w:rsidRPr="008D774E">
        <w:t>Toby Piddocke, Crispian Ashby, Klaas Hartmann, Alex Hesp, Patrick Hone, Joanne Klemke, Stephen Mayfield, Anthony Roelofs, Thor Saunders, John Stewart, Brent Wise and James Woodhams (eds) 2021, Status of Australian fish stocks reports 2020, Fisheries Research and Development Corporation, Canberra.</w:t>
      </w:r>
    </w:p>
    <w:p w14:paraId="2892B338" w14:textId="761CA297" w:rsidR="00080B99" w:rsidRDefault="00080B99" w:rsidP="00080B99">
      <w:bookmarkStart w:id="194" w:name="ref-VFA2018"/>
      <w:bookmarkEnd w:id="193"/>
      <w:r>
        <w:t xml:space="preserve">Mundy, C., R. Chick, B. Stobart, VFA, L. Strain and Burnell. 2023. “Blacklip abalone </w:t>
      </w:r>
      <w:r>
        <w:rPr>
          <w:i/>
          <w:iCs/>
        </w:rPr>
        <w:t>Haliotis rubra rubra</w:t>
      </w:r>
      <w:r>
        <w:t xml:space="preserve">.” In, </w:t>
      </w:r>
      <w:r w:rsidRPr="00080B99">
        <w:t>Anthony Roelofs, Toby Piddocke, Crispian Ashby, Simon Conron, Klaas Hartmann, Alex Hesp, Patrick Hone, Ian Jacobsen, Marlee Jesson-Kerr, Stephen Mayfield, John Stewart, Michael Usher, James Woodhams and Daniel Wright (eds) 2024, Status of Australian Fish Stocks Reports 2024, Fisheries Research and Development Corporation, Canberra</w:t>
      </w:r>
      <w:r>
        <w:t>.</w:t>
      </w:r>
    </w:p>
    <w:p w14:paraId="75C4CF0C" w14:textId="3844503C" w:rsidR="00C70DC4" w:rsidRDefault="0030452F" w:rsidP="00C70DC4">
      <w:r w:rsidRPr="0030452F">
        <w:t>VFA (2018) 2017/18 Draft Victorian Abalone Stock Assessment – Eastern Zone. Victorian Fisheries Authority Science Report Series No. Draft only.</w:t>
      </w:r>
    </w:p>
    <w:p w14:paraId="1105C058" w14:textId="71A311EA" w:rsidR="00255F6A" w:rsidRDefault="00255F6A" w:rsidP="00255F6A">
      <w:bookmarkStart w:id="195" w:name="ref-VFA2019b"/>
      <w:bookmarkEnd w:id="194"/>
      <w:r>
        <w:t>VFA. 2019a. “Victorian Abalone - Methods used for fishery assessment, Version 1.4 30 June 2019.”</w:t>
      </w:r>
    </w:p>
    <w:p w14:paraId="5873E049" w14:textId="7070421C" w:rsidR="00255F6A" w:rsidRDefault="00255F6A" w:rsidP="00255F6A">
      <w:r>
        <w:t>VFA. 2019b. “Draft Harvest Strategy Victorian Central and Eastern Zone Blacklip Abalone Fishery. Draft Version 2. VFA, February 2019.”</w:t>
      </w:r>
    </w:p>
    <w:p w14:paraId="76949076" w14:textId="62F958C6" w:rsidR="004B0344" w:rsidRDefault="004B0344" w:rsidP="004B0344">
      <w:r>
        <w:t>VFA (2020) Spatial and temporal trends in the abundance of long-spined sea urchins (</w:t>
      </w:r>
      <w:r w:rsidRPr="004B0344">
        <w:rPr>
          <w:i/>
          <w:iCs/>
        </w:rPr>
        <w:t>Centrostephanus rodgersii</w:t>
      </w:r>
      <w:r>
        <w:t>) in Eastern Victoria using available fishery and fishery independent information. Victorian Fisheries Authority Science Report Series No. 10.</w:t>
      </w:r>
    </w:p>
    <w:p w14:paraId="676EBF95" w14:textId="77777777" w:rsidR="004B0344" w:rsidRDefault="004B0344" w:rsidP="00C70DC4">
      <w:pPr>
        <w:sectPr w:rsidR="004B0344" w:rsidSect="00614F86">
          <w:pgSz w:w="11906" w:h="16838"/>
          <w:pgMar w:top="1440" w:right="1440" w:bottom="1440" w:left="1440" w:header="709" w:footer="709" w:gutter="0"/>
          <w:cols w:space="708"/>
          <w:docGrid w:linePitch="360"/>
        </w:sectPr>
      </w:pPr>
    </w:p>
    <w:p w14:paraId="6354FE4F" w14:textId="3B640277" w:rsidR="00C70DC4" w:rsidRDefault="00C70DC4" w:rsidP="00C70DC4">
      <w:pPr>
        <w:pStyle w:val="Heading1"/>
        <w:numPr>
          <w:ilvl w:val="0"/>
          <w:numId w:val="0"/>
        </w:numPr>
      </w:pPr>
      <w:bookmarkStart w:id="196" w:name="_Toc55910670"/>
      <w:bookmarkStart w:id="197" w:name="_Toc182219931"/>
      <w:bookmarkStart w:id="198" w:name="_Toc55910671"/>
      <w:r>
        <w:t xml:space="preserve">Appendix </w:t>
      </w:r>
      <w:r w:rsidR="00EB1E11">
        <w:t>1</w:t>
      </w:r>
      <w:r>
        <w:t>: Summary of LML changes</w:t>
      </w:r>
      <w:bookmarkEnd w:id="196"/>
      <w:bookmarkEnd w:id="197"/>
    </w:p>
    <w:p w14:paraId="4EAD0AFE" w14:textId="1BAEB130" w:rsidR="00C70DC4" w:rsidRPr="004E36BC" w:rsidRDefault="00C70DC4" w:rsidP="004E36BC">
      <w:pPr>
        <w:rPr>
          <w:i/>
          <w:iCs/>
          <w:sz w:val="18"/>
          <w:szCs w:val="18"/>
        </w:rPr>
      </w:pPr>
      <w:bookmarkStart w:id="199" w:name="_Toc55901513"/>
      <w:bookmarkStart w:id="200" w:name="_Toc55909041"/>
      <w:bookmarkStart w:id="201" w:name="_Toc55909191"/>
      <w:bookmarkStart w:id="202" w:name="_Toc55910553"/>
      <w:bookmarkStart w:id="203" w:name="_Toc55910620"/>
      <w:bookmarkStart w:id="204" w:name="_Toc55910736"/>
      <w:bookmarkStart w:id="205" w:name="_Toc55910803"/>
      <w:bookmarkStart w:id="206" w:name="_Toc85714026"/>
      <w:bookmarkStart w:id="207" w:name="_Toc149571244"/>
      <w:r w:rsidRPr="004E36BC">
        <w:rPr>
          <w:i/>
          <w:iCs/>
          <w:sz w:val="18"/>
          <w:szCs w:val="18"/>
        </w:rPr>
        <w:t>Summary of changes in LML for the Eastern Zone. All measurements are in millimetres. Multiple LMLs indicate different LMLs for reefcodes within an SMU. LMLs on 1 April 1998 continue to be the current legislated LMLs. All other changes are voluntary.</w:t>
      </w:r>
      <w:bookmarkEnd w:id="199"/>
      <w:bookmarkEnd w:id="200"/>
      <w:bookmarkEnd w:id="201"/>
      <w:bookmarkEnd w:id="202"/>
      <w:bookmarkEnd w:id="203"/>
      <w:bookmarkEnd w:id="204"/>
      <w:bookmarkEnd w:id="205"/>
      <w:bookmarkEnd w:id="206"/>
      <w:bookmarkEnd w:id="207"/>
    </w:p>
    <w:tbl>
      <w:tblPr>
        <w:tblW w:w="9720" w:type="dxa"/>
        <w:jc w:val="center"/>
        <w:tblLayout w:type="fixed"/>
        <w:tblLook w:val="0420" w:firstRow="1" w:lastRow="0" w:firstColumn="0" w:lastColumn="0" w:noHBand="0" w:noVBand="1"/>
      </w:tblPr>
      <w:tblGrid>
        <w:gridCol w:w="1080"/>
        <w:gridCol w:w="1080"/>
        <w:gridCol w:w="1080"/>
        <w:gridCol w:w="1080"/>
        <w:gridCol w:w="1080"/>
        <w:gridCol w:w="1080"/>
        <w:gridCol w:w="1080"/>
        <w:gridCol w:w="1080"/>
        <w:gridCol w:w="1080"/>
      </w:tblGrid>
      <w:tr w:rsidR="00C70DC4" w14:paraId="254B521E" w14:textId="77777777" w:rsidTr="00614F86">
        <w:trPr>
          <w:cantSplit/>
          <w:tblHeader/>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F8B9A7F" w14:textId="77777777" w:rsidR="00C70DC4" w:rsidRDefault="00C70DC4" w:rsidP="00614F86">
            <w:pPr>
              <w:spacing w:before="40" w:after="40"/>
              <w:ind w:left="100" w:right="100"/>
              <w:jc w:val="center"/>
            </w:pPr>
            <w:r>
              <w:rPr>
                <w:rFonts w:ascii="Arial" w:eastAsia="Arial" w:hAnsi="Arial" w:cs="Arial"/>
                <w:color w:val="111111"/>
                <w:sz w:val="16"/>
                <w:szCs w:val="16"/>
              </w:rPr>
              <w:t>Date from</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B2ED61" w14:textId="77777777" w:rsidR="00C70DC4" w:rsidRDefault="00C70DC4" w:rsidP="00614F86">
            <w:pPr>
              <w:spacing w:before="40" w:after="40"/>
              <w:ind w:left="100" w:right="100"/>
              <w:jc w:val="center"/>
            </w:pPr>
            <w:r>
              <w:rPr>
                <w:rFonts w:ascii="Arial" w:eastAsia="Arial" w:hAnsi="Arial" w:cs="Arial"/>
                <w:color w:val="111111"/>
                <w:sz w:val="16"/>
                <w:szCs w:val="16"/>
              </w:rPr>
              <w:t>Marlo</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04963A7" w14:textId="77777777" w:rsidR="00C70DC4" w:rsidRDefault="00C70DC4" w:rsidP="00614F86">
            <w:pPr>
              <w:spacing w:before="40" w:after="40"/>
              <w:ind w:left="100" w:right="100"/>
              <w:jc w:val="center"/>
            </w:pPr>
            <w:r>
              <w:rPr>
                <w:rFonts w:ascii="Arial" w:eastAsia="Arial" w:hAnsi="Arial" w:cs="Arial"/>
                <w:color w:val="111111"/>
                <w:sz w:val="16"/>
                <w:szCs w:val="16"/>
              </w:rPr>
              <w:t>Mallacoota West</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80C71A" w14:textId="77777777" w:rsidR="00C70DC4" w:rsidRDefault="00C70DC4" w:rsidP="00614F86">
            <w:pPr>
              <w:spacing w:before="40" w:after="40"/>
              <w:ind w:left="100" w:right="100"/>
              <w:jc w:val="center"/>
            </w:pPr>
            <w:r>
              <w:rPr>
                <w:rFonts w:ascii="Arial" w:eastAsia="Arial" w:hAnsi="Arial" w:cs="Arial"/>
                <w:color w:val="111111"/>
                <w:sz w:val="16"/>
                <w:szCs w:val="16"/>
              </w:rPr>
              <w:t>Mallacoota Large</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62E439" w14:textId="77777777" w:rsidR="00C70DC4" w:rsidRDefault="00C70DC4" w:rsidP="00614F86">
            <w:pPr>
              <w:spacing w:before="40" w:after="40"/>
              <w:ind w:left="100" w:right="100"/>
              <w:jc w:val="center"/>
            </w:pPr>
            <w:r>
              <w:rPr>
                <w:rFonts w:ascii="Arial" w:eastAsia="Arial" w:hAnsi="Arial" w:cs="Arial"/>
                <w:color w:val="111111"/>
                <w:sz w:val="16"/>
                <w:szCs w:val="16"/>
              </w:rPr>
              <w:t>Mallacoota Central</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1DA25E4" w14:textId="77777777" w:rsidR="00C70DC4" w:rsidRDefault="00C70DC4" w:rsidP="00614F86">
            <w:pPr>
              <w:spacing w:before="40" w:after="40"/>
              <w:ind w:left="100" w:right="100"/>
              <w:jc w:val="center"/>
            </w:pPr>
            <w:r>
              <w:rPr>
                <w:rFonts w:ascii="Arial" w:eastAsia="Arial" w:hAnsi="Arial" w:cs="Arial"/>
                <w:color w:val="111111"/>
                <w:sz w:val="16"/>
                <w:szCs w:val="16"/>
              </w:rPr>
              <w:t>Mallacoota Small</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8EC64BC" w14:textId="77777777" w:rsidR="00C70DC4" w:rsidRDefault="00C70DC4" w:rsidP="00614F86">
            <w:pPr>
              <w:spacing w:before="40" w:after="40"/>
              <w:ind w:left="100" w:right="100"/>
              <w:jc w:val="center"/>
            </w:pPr>
            <w:r>
              <w:rPr>
                <w:rFonts w:ascii="Arial" w:eastAsia="Arial" w:hAnsi="Arial" w:cs="Arial"/>
                <w:color w:val="111111"/>
                <w:sz w:val="16"/>
                <w:szCs w:val="16"/>
              </w:rPr>
              <w:t>Airport Undersize</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FE15005" w14:textId="77777777" w:rsidR="00C70DC4" w:rsidRDefault="00C70DC4" w:rsidP="00614F86">
            <w:pPr>
              <w:spacing w:before="40" w:after="40"/>
              <w:ind w:left="100" w:right="100"/>
              <w:jc w:val="center"/>
            </w:pPr>
            <w:r>
              <w:rPr>
                <w:rFonts w:ascii="Arial" w:eastAsia="Arial" w:hAnsi="Arial" w:cs="Arial"/>
                <w:color w:val="111111"/>
                <w:sz w:val="16"/>
                <w:szCs w:val="16"/>
              </w:rPr>
              <w:t>Airport</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C7B3D9" w14:textId="77777777" w:rsidR="00C70DC4" w:rsidRDefault="00C70DC4" w:rsidP="00614F86">
            <w:pPr>
              <w:spacing w:before="40" w:after="40"/>
              <w:ind w:left="100" w:right="100"/>
              <w:jc w:val="center"/>
            </w:pPr>
            <w:r>
              <w:rPr>
                <w:rFonts w:ascii="Arial" w:eastAsia="Arial" w:hAnsi="Arial" w:cs="Arial"/>
                <w:color w:val="111111"/>
                <w:sz w:val="16"/>
                <w:szCs w:val="16"/>
              </w:rPr>
              <w:t>Mallacoota East</w:t>
            </w:r>
          </w:p>
        </w:tc>
      </w:tr>
      <w:tr w:rsidR="00C70DC4" w14:paraId="13EB737D"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59A0AE9" w14:textId="77777777" w:rsidR="00C70DC4" w:rsidRDefault="00C70DC4" w:rsidP="00614F86">
            <w:pPr>
              <w:spacing w:before="40" w:after="40"/>
              <w:ind w:left="100" w:right="100"/>
              <w:jc w:val="center"/>
            </w:pPr>
            <w:r>
              <w:rPr>
                <w:rFonts w:ascii="Arial" w:eastAsia="Arial" w:hAnsi="Arial" w:cs="Arial"/>
                <w:color w:val="111111"/>
                <w:sz w:val="16"/>
                <w:szCs w:val="16"/>
              </w:rPr>
              <w:t>1 Apr 1998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A16776"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80AD309"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24EF0D0"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9792ECF"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9058D78" w14:textId="77777777" w:rsidR="00C70DC4" w:rsidRDefault="00C70DC4" w:rsidP="00614F86">
            <w:pPr>
              <w:spacing w:before="40" w:after="40"/>
              <w:ind w:left="100" w:right="100"/>
              <w:jc w:val="center"/>
            </w:pPr>
            <w:r>
              <w:rPr>
                <w:rFonts w:ascii="Arial" w:eastAsia="Arial" w:hAnsi="Arial" w:cs="Arial"/>
                <w:color w:val="111111"/>
                <w:sz w:val="16"/>
                <w:szCs w:val="16"/>
              </w:rPr>
              <w:t>110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5111F5D"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ED2CD8"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DE3031" w14:textId="77777777" w:rsidR="00C70DC4" w:rsidRDefault="00C70DC4" w:rsidP="00614F86">
            <w:pPr>
              <w:spacing w:before="40" w:after="40"/>
              <w:ind w:left="100" w:right="100"/>
              <w:jc w:val="center"/>
            </w:pPr>
            <w:r>
              <w:rPr>
                <w:rFonts w:ascii="Arial" w:eastAsia="Arial" w:hAnsi="Arial" w:cs="Arial"/>
                <w:color w:val="111111"/>
                <w:sz w:val="16"/>
                <w:szCs w:val="16"/>
              </w:rPr>
              <w:t>110 &amp; 120</w:t>
            </w:r>
          </w:p>
        </w:tc>
      </w:tr>
      <w:tr w:rsidR="00C70DC4" w14:paraId="14891752"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BA31EA" w14:textId="77777777" w:rsidR="00C70DC4" w:rsidRDefault="00C70DC4" w:rsidP="00614F86">
            <w:pPr>
              <w:spacing w:before="40" w:after="40"/>
              <w:ind w:left="100" w:right="100"/>
              <w:jc w:val="center"/>
            </w:pPr>
            <w:r>
              <w:rPr>
                <w:rFonts w:ascii="Arial" w:eastAsia="Arial" w:hAnsi="Arial" w:cs="Arial"/>
                <w:color w:val="111111"/>
                <w:sz w:val="16"/>
                <w:szCs w:val="16"/>
              </w:rPr>
              <w:t>2 Mar 2009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419BDFD"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9A86E6"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536064A"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9C0B78"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70B21E" w14:textId="77777777" w:rsidR="00C70DC4" w:rsidRDefault="00C70DC4" w:rsidP="00614F86">
            <w:pPr>
              <w:spacing w:before="40" w:after="40"/>
              <w:ind w:left="100" w:right="100"/>
              <w:jc w:val="center"/>
            </w:pPr>
            <w:r>
              <w:rPr>
                <w:rFonts w:ascii="Arial" w:eastAsia="Arial" w:hAnsi="Arial" w:cs="Arial"/>
                <w:color w:val="111111"/>
                <w:sz w:val="16"/>
                <w:szCs w:val="16"/>
              </w:rPr>
              <w:t>110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B6DF33B"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18D91A"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4D9CE7"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5045382B"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50709D" w14:textId="77777777" w:rsidR="00C70DC4" w:rsidRDefault="00C70DC4" w:rsidP="00614F86">
            <w:pPr>
              <w:spacing w:before="40" w:after="40"/>
              <w:ind w:left="100" w:right="100"/>
              <w:jc w:val="center"/>
            </w:pPr>
            <w:r>
              <w:rPr>
                <w:rFonts w:ascii="Arial" w:eastAsia="Arial" w:hAnsi="Arial" w:cs="Arial"/>
                <w:color w:val="111111"/>
                <w:sz w:val="16"/>
                <w:szCs w:val="16"/>
              </w:rPr>
              <w:t>1 Apr 2009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FD3058"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347CBB"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A1E6D4"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4212523"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9A8C8C" w14:textId="77777777" w:rsidR="00C70DC4" w:rsidRDefault="00C70DC4" w:rsidP="00614F86">
            <w:pPr>
              <w:spacing w:before="40" w:after="40"/>
              <w:ind w:left="100" w:right="100"/>
              <w:jc w:val="center"/>
            </w:pPr>
            <w:r>
              <w:rPr>
                <w:rFonts w:ascii="Arial" w:eastAsia="Arial" w:hAnsi="Arial" w:cs="Arial"/>
                <w:color w:val="111111"/>
                <w:sz w:val="16"/>
                <w:szCs w:val="16"/>
              </w:rPr>
              <w:t>110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0ED916" w14:textId="77777777" w:rsidR="00C70DC4" w:rsidRDefault="00C70DC4" w:rsidP="00614F86">
            <w:pPr>
              <w:spacing w:before="40" w:after="40"/>
              <w:ind w:left="100" w:right="100"/>
              <w:jc w:val="center"/>
            </w:pPr>
            <w:r>
              <w:rPr>
                <w:rFonts w:ascii="Arial" w:eastAsia="Arial" w:hAnsi="Arial" w:cs="Arial"/>
                <w:color w:val="111111"/>
                <w:sz w:val="16"/>
                <w:szCs w:val="16"/>
              </w:rPr>
              <w:t>110 &amp; 112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EAAEF25"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EA52339"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620561D7"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A88AA35" w14:textId="77777777" w:rsidR="00C70DC4" w:rsidRDefault="00C70DC4" w:rsidP="00614F86">
            <w:pPr>
              <w:spacing w:before="40" w:after="40"/>
              <w:ind w:left="100" w:right="100"/>
              <w:jc w:val="center"/>
            </w:pPr>
            <w:r>
              <w:rPr>
                <w:rFonts w:ascii="Arial" w:eastAsia="Arial" w:hAnsi="Arial" w:cs="Arial"/>
                <w:color w:val="111111"/>
                <w:sz w:val="16"/>
                <w:szCs w:val="16"/>
              </w:rPr>
              <w:t>1 Apr 2010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7F66BE7" w14:textId="77777777" w:rsidR="00C70DC4" w:rsidRDefault="00C70DC4" w:rsidP="00614F86">
            <w:pPr>
              <w:spacing w:before="40" w:after="40"/>
              <w:ind w:left="100" w:right="100"/>
              <w:jc w:val="center"/>
            </w:pPr>
            <w:r>
              <w:rPr>
                <w:rFonts w:ascii="Arial" w:eastAsia="Arial" w:hAnsi="Arial" w:cs="Arial"/>
                <w:color w:val="111111"/>
                <w:sz w:val="16"/>
                <w:szCs w:val="16"/>
              </w:rPr>
              <w:t>120 &amp; 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963CB0" w14:textId="77777777" w:rsidR="00C70DC4" w:rsidRDefault="00C70DC4" w:rsidP="00614F86">
            <w:pPr>
              <w:spacing w:before="40" w:after="40"/>
              <w:ind w:left="100" w:right="100"/>
              <w:jc w:val="center"/>
            </w:pPr>
            <w:r>
              <w:rPr>
                <w:rFonts w:ascii="Arial" w:eastAsia="Arial" w:hAnsi="Arial" w:cs="Arial"/>
                <w:color w:val="111111"/>
                <w:sz w:val="16"/>
                <w:szCs w:val="16"/>
              </w:rPr>
              <w:t>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A2CF28" w14:textId="77777777" w:rsidR="00C70DC4" w:rsidRDefault="00C70DC4" w:rsidP="00614F86">
            <w:pPr>
              <w:spacing w:before="40" w:after="40"/>
              <w:ind w:left="100" w:right="100"/>
              <w:jc w:val="center"/>
            </w:pPr>
            <w:r>
              <w:rPr>
                <w:rFonts w:ascii="Arial" w:eastAsia="Arial" w:hAnsi="Arial" w:cs="Arial"/>
                <w:color w:val="111111"/>
                <w:sz w:val="16"/>
                <w:szCs w:val="16"/>
              </w:rPr>
              <w:t>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1F1F33E" w14:textId="77777777" w:rsidR="00C70DC4" w:rsidRDefault="00C70DC4" w:rsidP="00614F86">
            <w:pPr>
              <w:spacing w:before="40" w:after="40"/>
              <w:ind w:left="100" w:right="100"/>
              <w:jc w:val="center"/>
            </w:pPr>
            <w:r>
              <w:rPr>
                <w:rFonts w:ascii="Arial" w:eastAsia="Arial" w:hAnsi="Arial" w:cs="Arial"/>
                <w:color w:val="111111"/>
                <w:sz w:val="16"/>
                <w:szCs w:val="16"/>
              </w:rPr>
              <w:t>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0D76D3" w14:textId="77777777" w:rsidR="00C70DC4" w:rsidRDefault="00C70DC4" w:rsidP="00614F86">
            <w:pPr>
              <w:spacing w:before="40" w:after="40"/>
              <w:ind w:left="100" w:right="100"/>
              <w:jc w:val="center"/>
            </w:pPr>
            <w:r>
              <w:rPr>
                <w:rFonts w:ascii="Arial" w:eastAsia="Arial" w:hAnsi="Arial" w:cs="Arial"/>
                <w:color w:val="111111"/>
                <w:sz w:val="16"/>
                <w:szCs w:val="16"/>
              </w:rPr>
              <w:t>110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1946CAB" w14:textId="77777777" w:rsidR="00C70DC4" w:rsidRDefault="00C70DC4" w:rsidP="00614F86">
            <w:pPr>
              <w:spacing w:before="40" w:after="40"/>
              <w:ind w:left="100" w:right="100"/>
              <w:jc w:val="center"/>
            </w:pPr>
            <w:r>
              <w:rPr>
                <w:rFonts w:ascii="Arial" w:eastAsia="Arial" w:hAnsi="Arial" w:cs="Arial"/>
                <w:color w:val="111111"/>
                <w:sz w:val="16"/>
                <w:szCs w:val="16"/>
              </w:rPr>
              <w:t>110 &amp; 112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619CB3D"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696CB64"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4FFE9028"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3875CE3" w14:textId="77777777" w:rsidR="00C70DC4" w:rsidRDefault="00C70DC4" w:rsidP="00614F86">
            <w:pPr>
              <w:spacing w:before="40" w:after="40"/>
              <w:ind w:left="100" w:right="100"/>
              <w:jc w:val="center"/>
            </w:pPr>
            <w:r>
              <w:rPr>
                <w:rFonts w:ascii="Arial" w:eastAsia="Arial" w:hAnsi="Arial" w:cs="Arial"/>
                <w:color w:val="111111"/>
                <w:sz w:val="16"/>
                <w:szCs w:val="16"/>
              </w:rPr>
              <w:t>1 Apr 2011</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B031387" w14:textId="77777777" w:rsidR="00C70DC4" w:rsidRDefault="00C70DC4" w:rsidP="00614F86">
            <w:pPr>
              <w:spacing w:before="40" w:after="40"/>
              <w:ind w:left="100" w:right="100"/>
              <w:jc w:val="center"/>
            </w:pPr>
            <w:r>
              <w:rPr>
                <w:rFonts w:ascii="Arial" w:eastAsia="Arial" w:hAnsi="Arial" w:cs="Arial"/>
                <w:color w:val="111111"/>
                <w:sz w:val="16"/>
                <w:szCs w:val="16"/>
              </w:rPr>
              <w:t>120 &amp; 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11228C" w14:textId="77777777" w:rsidR="00C70DC4" w:rsidRDefault="00C70DC4" w:rsidP="00614F86">
            <w:pPr>
              <w:spacing w:before="40" w:after="40"/>
              <w:ind w:left="100" w:right="100"/>
              <w:jc w:val="center"/>
            </w:pPr>
            <w:r>
              <w:rPr>
                <w:rFonts w:ascii="Arial" w:eastAsia="Arial" w:hAnsi="Arial" w:cs="Arial"/>
                <w:color w:val="111111"/>
                <w:sz w:val="16"/>
                <w:szCs w:val="16"/>
              </w:rPr>
              <w:t>125 &amp; 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C671C1D" w14:textId="77777777" w:rsidR="00C70DC4" w:rsidRDefault="00C70DC4" w:rsidP="00614F86">
            <w:pPr>
              <w:spacing w:before="40" w:after="40"/>
              <w:ind w:left="100" w:right="100"/>
              <w:jc w:val="center"/>
            </w:pPr>
            <w:r>
              <w:rPr>
                <w:rFonts w:ascii="Arial" w:eastAsia="Arial" w:hAnsi="Arial" w:cs="Arial"/>
                <w:color w:val="111111"/>
                <w:sz w:val="16"/>
                <w:szCs w:val="16"/>
              </w:rPr>
              <w:t>138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AAE7AC6" w14:textId="77777777" w:rsidR="00C70DC4" w:rsidRDefault="00C70DC4" w:rsidP="00614F86">
            <w:pPr>
              <w:spacing w:before="40" w:after="40"/>
              <w:ind w:left="100" w:right="100"/>
              <w:jc w:val="center"/>
            </w:pPr>
            <w:r>
              <w:rPr>
                <w:rFonts w:ascii="Arial" w:eastAsia="Arial" w:hAnsi="Arial" w:cs="Arial"/>
                <w:color w:val="111111"/>
                <w:sz w:val="16"/>
                <w:szCs w:val="16"/>
              </w:rPr>
              <w:t>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2A8C9AF" w14:textId="77777777" w:rsidR="00C70DC4" w:rsidRDefault="00C70DC4" w:rsidP="00614F86">
            <w:pPr>
              <w:spacing w:before="40" w:after="40"/>
              <w:ind w:left="100" w:right="100"/>
              <w:jc w:val="center"/>
            </w:pPr>
            <w:r>
              <w:rPr>
                <w:rFonts w:ascii="Arial" w:eastAsia="Arial" w:hAnsi="Arial" w:cs="Arial"/>
                <w:color w:val="111111"/>
                <w:sz w:val="16"/>
                <w:szCs w:val="16"/>
              </w:rPr>
              <w:t>110 &amp; 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4E0A8D"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CF7A41C"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5F7455"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055E4DAE"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3ED3FF8" w14:textId="77777777" w:rsidR="00C70DC4" w:rsidRDefault="00C70DC4" w:rsidP="00614F86">
            <w:pPr>
              <w:spacing w:before="40" w:after="40"/>
              <w:ind w:left="100" w:right="100"/>
              <w:jc w:val="center"/>
            </w:pPr>
            <w:r>
              <w:rPr>
                <w:rFonts w:ascii="Arial" w:eastAsia="Arial" w:hAnsi="Arial" w:cs="Arial"/>
                <w:color w:val="111111"/>
                <w:sz w:val="16"/>
                <w:szCs w:val="16"/>
              </w:rPr>
              <w:t>1 Apr 2012</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BC0D71" w14:textId="77777777" w:rsidR="00C70DC4" w:rsidRDefault="00C70DC4" w:rsidP="00614F86">
            <w:pPr>
              <w:spacing w:before="40" w:after="40"/>
              <w:ind w:left="100" w:right="100"/>
              <w:jc w:val="center"/>
            </w:pPr>
            <w:r>
              <w:rPr>
                <w:rFonts w:ascii="Arial" w:eastAsia="Arial" w:hAnsi="Arial" w:cs="Arial"/>
                <w:color w:val="111111"/>
                <w:sz w:val="16"/>
                <w:szCs w:val="16"/>
              </w:rPr>
              <w:t>120 &amp; 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C5CAE1A" w14:textId="77777777" w:rsidR="00C70DC4" w:rsidRDefault="00C70DC4" w:rsidP="00614F86">
            <w:pPr>
              <w:spacing w:before="40" w:after="40"/>
              <w:ind w:left="100" w:right="100"/>
              <w:jc w:val="center"/>
            </w:pPr>
            <w:r>
              <w:rPr>
                <w:rFonts w:ascii="Arial" w:eastAsia="Arial" w:hAnsi="Arial" w:cs="Arial"/>
                <w:color w:val="111111"/>
                <w:sz w:val="16"/>
                <w:szCs w:val="16"/>
              </w:rPr>
              <w:t>125 &amp; 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A8FCD46" w14:textId="77777777" w:rsidR="00C70DC4" w:rsidRDefault="00C70DC4" w:rsidP="00614F86">
            <w:pPr>
              <w:spacing w:before="40" w:after="40"/>
              <w:ind w:left="100" w:right="100"/>
              <w:jc w:val="center"/>
            </w:pPr>
            <w:r>
              <w:rPr>
                <w:rFonts w:ascii="Arial" w:eastAsia="Arial" w:hAnsi="Arial" w:cs="Arial"/>
                <w:color w:val="111111"/>
                <w:sz w:val="16"/>
                <w:szCs w:val="16"/>
              </w:rPr>
              <w:t>138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9C2C840" w14:textId="77777777" w:rsidR="00C70DC4" w:rsidRDefault="00C70DC4" w:rsidP="00614F86">
            <w:pPr>
              <w:spacing w:before="40" w:after="40"/>
              <w:ind w:left="100" w:right="100"/>
              <w:jc w:val="center"/>
            </w:pPr>
            <w:r>
              <w:rPr>
                <w:rFonts w:ascii="Arial" w:eastAsia="Arial" w:hAnsi="Arial" w:cs="Arial"/>
                <w:color w:val="111111"/>
                <w:sz w:val="16"/>
                <w:szCs w:val="16"/>
              </w:rPr>
              <w:t>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0892693" w14:textId="77777777" w:rsidR="00C70DC4" w:rsidRDefault="00C70DC4" w:rsidP="00614F86">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99C1BF" w14:textId="77777777" w:rsidR="00C70DC4" w:rsidRDefault="00C70DC4" w:rsidP="00614F86">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AAAF67"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817D54A"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712BB807"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D6BEDE" w14:textId="77777777" w:rsidR="00C70DC4" w:rsidRDefault="00C70DC4" w:rsidP="00614F86">
            <w:pPr>
              <w:spacing w:before="40" w:after="40"/>
              <w:ind w:left="100" w:right="100"/>
              <w:jc w:val="center"/>
            </w:pPr>
            <w:r>
              <w:rPr>
                <w:rFonts w:ascii="Arial" w:eastAsia="Arial" w:hAnsi="Arial" w:cs="Arial"/>
                <w:color w:val="111111"/>
                <w:sz w:val="16"/>
                <w:szCs w:val="16"/>
              </w:rPr>
              <w:t>1 Apr 2013</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264F609" w14:textId="77777777" w:rsidR="00C70DC4" w:rsidRDefault="00C70DC4" w:rsidP="00614F86">
            <w:pPr>
              <w:spacing w:before="40" w:after="40"/>
              <w:ind w:left="100" w:right="100"/>
              <w:jc w:val="center"/>
            </w:pPr>
            <w:r>
              <w:rPr>
                <w:rFonts w:ascii="Arial" w:eastAsia="Arial" w:hAnsi="Arial" w:cs="Arial"/>
                <w:color w:val="111111"/>
                <w:sz w:val="16"/>
                <w:szCs w:val="16"/>
              </w:rPr>
              <w:t>120 &amp; 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63F7143" w14:textId="77777777" w:rsidR="00C70DC4" w:rsidRDefault="00C70DC4" w:rsidP="00614F86">
            <w:pPr>
              <w:spacing w:before="40" w:after="40"/>
              <w:ind w:left="100" w:right="100"/>
              <w:jc w:val="center"/>
            </w:pPr>
            <w:r>
              <w:rPr>
                <w:rFonts w:ascii="Arial" w:eastAsia="Arial" w:hAnsi="Arial" w:cs="Arial"/>
                <w:color w:val="111111"/>
                <w:sz w:val="16"/>
                <w:szCs w:val="16"/>
              </w:rPr>
              <w:t>125 &amp; 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AE907CE" w14:textId="77777777" w:rsidR="00C70DC4" w:rsidRDefault="00C70DC4" w:rsidP="00614F86">
            <w:pPr>
              <w:spacing w:before="40" w:after="40"/>
              <w:ind w:left="100" w:right="100"/>
              <w:jc w:val="center"/>
            </w:pPr>
            <w:r>
              <w:rPr>
                <w:rFonts w:ascii="Arial" w:eastAsia="Arial" w:hAnsi="Arial" w:cs="Arial"/>
                <w:color w:val="111111"/>
                <w:sz w:val="16"/>
                <w:szCs w:val="16"/>
              </w:rPr>
              <w:t>138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DD7354" w14:textId="77777777" w:rsidR="00C70DC4" w:rsidRDefault="00C70DC4" w:rsidP="00614F86">
            <w:pPr>
              <w:spacing w:before="40" w:after="40"/>
              <w:ind w:left="100" w:right="100"/>
              <w:jc w:val="center"/>
            </w:pPr>
            <w:r>
              <w:rPr>
                <w:rFonts w:ascii="Arial" w:eastAsia="Arial" w:hAnsi="Arial" w:cs="Arial"/>
                <w:color w:val="111111"/>
                <w:sz w:val="16"/>
                <w:szCs w:val="16"/>
              </w:rPr>
              <w:t>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29E4358" w14:textId="77777777" w:rsidR="00C70DC4" w:rsidRDefault="00C70DC4" w:rsidP="00614F86">
            <w:pPr>
              <w:spacing w:before="40" w:after="40"/>
              <w:ind w:left="100" w:right="100"/>
              <w:jc w:val="center"/>
            </w:pPr>
            <w:r>
              <w:rPr>
                <w:rFonts w:ascii="Arial" w:eastAsia="Arial" w:hAnsi="Arial" w:cs="Arial"/>
                <w:color w:val="111111"/>
                <w:sz w:val="16"/>
                <w:szCs w:val="16"/>
              </w:rPr>
              <w:t>110 &amp; 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C8A5B0A"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2D360D4"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23688D2"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411D851B"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53FD948" w14:textId="77777777" w:rsidR="00C70DC4" w:rsidRDefault="00C70DC4" w:rsidP="00614F86">
            <w:pPr>
              <w:spacing w:before="40" w:after="40"/>
              <w:ind w:left="100" w:right="100"/>
              <w:jc w:val="center"/>
            </w:pPr>
            <w:r>
              <w:rPr>
                <w:rFonts w:ascii="Arial" w:eastAsia="Arial" w:hAnsi="Arial" w:cs="Arial"/>
                <w:color w:val="111111"/>
                <w:sz w:val="16"/>
                <w:szCs w:val="16"/>
              </w:rPr>
              <w:t>1 Apr 2015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D7F78FE" w14:textId="77777777" w:rsidR="00C70DC4" w:rsidRDefault="00C70DC4" w:rsidP="00614F86">
            <w:pPr>
              <w:spacing w:before="40" w:after="40"/>
              <w:ind w:left="100" w:right="100"/>
              <w:jc w:val="center"/>
            </w:pPr>
            <w:r>
              <w:rPr>
                <w:rFonts w:ascii="Arial" w:eastAsia="Arial" w:hAnsi="Arial" w:cs="Arial"/>
                <w:color w:val="111111"/>
                <w:sz w:val="16"/>
                <w:szCs w:val="16"/>
              </w:rPr>
              <w:t>120 &amp; 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E51A04F" w14:textId="77777777" w:rsidR="00C70DC4" w:rsidRDefault="00C70DC4" w:rsidP="00614F86">
            <w:pPr>
              <w:spacing w:before="40" w:after="40"/>
              <w:ind w:left="100" w:right="100"/>
              <w:jc w:val="center"/>
            </w:pPr>
            <w:r>
              <w:rPr>
                <w:rFonts w:ascii="Arial" w:eastAsia="Arial" w:hAnsi="Arial" w:cs="Arial"/>
                <w:color w:val="111111"/>
                <w:sz w:val="16"/>
                <w:szCs w:val="16"/>
              </w:rPr>
              <w:t>120 &amp; 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7FD03D" w14:textId="77777777" w:rsidR="00C70DC4" w:rsidRDefault="00C70DC4" w:rsidP="00614F86">
            <w:pPr>
              <w:spacing w:before="40" w:after="40"/>
              <w:ind w:left="100" w:right="100"/>
              <w:jc w:val="center"/>
            </w:pPr>
            <w:r>
              <w:rPr>
                <w:rFonts w:ascii="Arial" w:eastAsia="Arial" w:hAnsi="Arial" w:cs="Arial"/>
                <w:color w:val="111111"/>
                <w:sz w:val="16"/>
                <w:szCs w:val="16"/>
              </w:rPr>
              <w:t>138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E649053" w14:textId="77777777" w:rsidR="00C70DC4" w:rsidRDefault="00C70DC4" w:rsidP="00614F86">
            <w:pPr>
              <w:spacing w:before="40" w:after="40"/>
              <w:ind w:left="100" w:right="100"/>
              <w:jc w:val="center"/>
            </w:pPr>
            <w:r>
              <w:rPr>
                <w:rFonts w:ascii="Arial" w:eastAsia="Arial" w:hAnsi="Arial" w:cs="Arial"/>
                <w:color w:val="111111"/>
                <w:sz w:val="16"/>
                <w:szCs w:val="16"/>
              </w:rPr>
              <w:t>123 &amp; 127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330183AA" w14:textId="77777777" w:rsidR="00C70DC4" w:rsidRDefault="00C70DC4" w:rsidP="00614F86">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C24DD7C"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D51B7E4"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3085124"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7DED163E"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4882B09" w14:textId="77777777" w:rsidR="00C70DC4" w:rsidRDefault="00C70DC4" w:rsidP="00614F86">
            <w:pPr>
              <w:spacing w:before="40" w:after="40"/>
              <w:ind w:left="100" w:right="100"/>
              <w:jc w:val="center"/>
            </w:pPr>
            <w:r>
              <w:rPr>
                <w:rFonts w:ascii="Arial" w:eastAsia="Arial" w:hAnsi="Arial" w:cs="Arial"/>
                <w:color w:val="111111"/>
                <w:sz w:val="16"/>
                <w:szCs w:val="16"/>
              </w:rPr>
              <w:t>1 Apr 2017</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6E7C406"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457E628" w14:textId="77777777" w:rsidR="00C70DC4" w:rsidRDefault="00C70DC4" w:rsidP="00614F86">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B256D6A" w14:textId="77777777" w:rsidR="00C70DC4" w:rsidRDefault="00C70DC4" w:rsidP="00614F86">
            <w:pPr>
              <w:spacing w:before="40" w:after="40"/>
              <w:ind w:left="100" w:right="100"/>
              <w:jc w:val="center"/>
            </w:pPr>
            <w:r>
              <w:rPr>
                <w:rFonts w:ascii="Arial" w:eastAsia="Arial" w:hAnsi="Arial" w:cs="Arial"/>
                <w:color w:val="111111"/>
                <w:sz w:val="16"/>
                <w:szCs w:val="16"/>
              </w:rPr>
              <w:t>138</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5E35006" w14:textId="77777777" w:rsidR="00C70DC4" w:rsidRDefault="00C70DC4" w:rsidP="00614F86">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81F230" w14:textId="77777777" w:rsidR="00C70DC4" w:rsidRDefault="00C70DC4" w:rsidP="00614F86">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034E698"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587F0FD0"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D8E7A0D"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r w:rsidR="00C70DC4" w14:paraId="4583B1E3" w14:textId="77777777" w:rsidTr="00614F86">
        <w:trPr>
          <w:cantSplit/>
          <w:jc w:val="center"/>
        </w:trPr>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B7B3A58" w14:textId="77777777" w:rsidR="00C70DC4" w:rsidRDefault="00C70DC4" w:rsidP="00614F86">
            <w:pPr>
              <w:spacing w:before="40" w:after="40"/>
              <w:ind w:left="100" w:right="100"/>
              <w:jc w:val="center"/>
            </w:pPr>
            <w:r>
              <w:rPr>
                <w:rFonts w:ascii="Arial" w:eastAsia="Arial" w:hAnsi="Arial" w:cs="Arial"/>
                <w:color w:val="111111"/>
                <w:sz w:val="16"/>
                <w:szCs w:val="16"/>
              </w:rPr>
              <w:t>1 Apr 2019</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1179F227"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E4B6DC8" w14:textId="77777777" w:rsidR="00C70DC4" w:rsidRDefault="00C70DC4" w:rsidP="00614F86">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EBF3A30" w14:textId="77777777" w:rsidR="00C70DC4" w:rsidRDefault="00C70DC4" w:rsidP="00614F86">
            <w:pPr>
              <w:spacing w:before="40" w:after="40"/>
              <w:ind w:left="100" w:right="100"/>
              <w:jc w:val="center"/>
            </w:pPr>
            <w:r>
              <w:rPr>
                <w:rFonts w:ascii="Arial" w:eastAsia="Arial" w:hAnsi="Arial" w:cs="Arial"/>
                <w:color w:val="111111"/>
                <w:sz w:val="16"/>
                <w:szCs w:val="16"/>
              </w:rPr>
              <w:t>135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09284DE9" w14:textId="77777777" w:rsidR="00C70DC4" w:rsidRDefault="00C70DC4" w:rsidP="00614F86">
            <w:pPr>
              <w:spacing w:before="40" w:after="40"/>
              <w:ind w:left="100" w:right="100"/>
              <w:jc w:val="center"/>
            </w:pPr>
            <w:r>
              <w:rPr>
                <w:rFonts w:ascii="Arial" w:eastAsia="Arial" w:hAnsi="Arial" w:cs="Arial"/>
                <w:color w:val="111111"/>
                <w:sz w:val="16"/>
                <w:szCs w:val="16"/>
              </w:rPr>
              <w:t>125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A418A88" w14:textId="77777777" w:rsidR="00C70DC4" w:rsidRDefault="00C70DC4" w:rsidP="00614F86">
            <w:pPr>
              <w:spacing w:before="40" w:after="40"/>
              <w:ind w:left="100" w:right="100"/>
              <w:jc w:val="center"/>
            </w:pPr>
            <w:r>
              <w:rPr>
                <w:rFonts w:ascii="Arial" w:eastAsia="Arial" w:hAnsi="Arial" w:cs="Arial"/>
                <w:color w:val="111111"/>
                <w:sz w:val="16"/>
                <w:szCs w:val="16"/>
              </w:rPr>
              <w:t>115</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F6C67A8" w14:textId="77777777" w:rsidR="00C70DC4" w:rsidRDefault="00C70DC4" w:rsidP="00614F86">
            <w:pPr>
              <w:spacing w:before="40" w:after="40"/>
              <w:ind w:left="100" w:right="100"/>
              <w:jc w:val="center"/>
            </w:pPr>
            <w:r>
              <w:rPr>
                <w:rFonts w:ascii="Arial" w:eastAsia="Arial" w:hAnsi="Arial" w:cs="Arial"/>
                <w:color w:val="111111"/>
                <w:sz w:val="16"/>
                <w:szCs w:val="16"/>
              </w:rPr>
              <w:t>110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2CD19995" w14:textId="77777777" w:rsidR="00C70DC4" w:rsidRDefault="00C70DC4" w:rsidP="00614F86">
            <w:pPr>
              <w:spacing w:before="40" w:after="40"/>
              <w:ind w:left="100" w:right="100"/>
              <w:jc w:val="center"/>
            </w:pPr>
            <w:r>
              <w:rPr>
                <w:rFonts w:ascii="Arial" w:eastAsia="Arial" w:hAnsi="Arial" w:cs="Arial"/>
                <w:color w:val="111111"/>
                <w:sz w:val="16"/>
                <w:szCs w:val="16"/>
              </w:rPr>
              <w:t>120</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7FFDC536" w14:textId="77777777" w:rsidR="00C70DC4" w:rsidRDefault="00C70DC4" w:rsidP="00614F86">
            <w:pPr>
              <w:spacing w:before="40" w:after="40"/>
              <w:ind w:left="100" w:right="100"/>
              <w:jc w:val="center"/>
            </w:pPr>
            <w:r>
              <w:rPr>
                <w:rFonts w:ascii="Arial" w:eastAsia="Arial" w:hAnsi="Arial" w:cs="Arial"/>
                <w:color w:val="111111"/>
                <w:sz w:val="16"/>
                <w:szCs w:val="16"/>
              </w:rPr>
              <w:t>120</w:t>
            </w:r>
          </w:p>
        </w:tc>
      </w:tr>
    </w:tbl>
    <w:p w14:paraId="684C224F" w14:textId="78820575" w:rsidR="00C70DC4" w:rsidRDefault="00C70DC4" w:rsidP="00C70DC4">
      <w:pPr>
        <w:pStyle w:val="Heading1"/>
        <w:numPr>
          <w:ilvl w:val="0"/>
          <w:numId w:val="0"/>
        </w:numPr>
      </w:pPr>
      <w:bookmarkStart w:id="208" w:name="_Toc182219932"/>
      <w:r>
        <w:t xml:space="preserve">Appendix </w:t>
      </w:r>
      <w:r w:rsidR="00EB1E11">
        <w:t>2</w:t>
      </w:r>
      <w:r>
        <w:t>: Correlation between nominal CPUE and nominal FIS recruit abundance.</w:t>
      </w:r>
      <w:bookmarkEnd w:id="198"/>
      <w:bookmarkEnd w:id="208"/>
    </w:p>
    <w:p w14:paraId="5AC0E2D7" w14:textId="77777777" w:rsidR="00656D26" w:rsidRPr="00EB1E11" w:rsidRDefault="00656D26" w:rsidP="00A77A9D">
      <w:pPr>
        <w:pStyle w:val="Heading3"/>
      </w:pPr>
      <w:bookmarkStart w:id="209" w:name="_Toc150423204"/>
      <w:bookmarkStart w:id="210" w:name="_Toc182219933"/>
      <w:r w:rsidRPr="00EB1E11">
        <w:t>Comparison of CPUE and FIS data</w:t>
      </w:r>
      <w:bookmarkEnd w:id="209"/>
      <w:bookmarkEnd w:id="210"/>
    </w:p>
    <w:p w14:paraId="34CB3EC1" w14:textId="77777777" w:rsidR="00656D26" w:rsidRDefault="00656D26" w:rsidP="00656D26">
      <w:r w:rsidRPr="00121FE1">
        <w:t>The Hart (2017) review examined correlations between CPUE and FIS abundance. Among his conclusions, the author reported “</w:t>
      </w:r>
      <w:r w:rsidRPr="00B4471F">
        <w:rPr>
          <w:i/>
          <w:iCs/>
        </w:rPr>
        <w:t>Close agreement also occurred between the recruit abundance index from the FIS programme and the commercial fishery catch rates….The correlation of these two indices means there is redundancy in the abundance indices available for assessment.</w:t>
      </w:r>
      <w:r w:rsidRPr="00121FE1">
        <w:t xml:space="preserve">” The Hart (2017) analysis was based on data from all three </w:t>
      </w:r>
      <w:r>
        <w:t>Zone</w:t>
      </w:r>
      <w:r w:rsidRPr="00121FE1">
        <w:t>s combined for the period 2003 to 2016.</w:t>
      </w:r>
    </w:p>
    <w:p w14:paraId="7433341F" w14:textId="35E2B103" w:rsidR="00656D26" w:rsidRDefault="00656D26" w:rsidP="00656D26">
      <w:r>
        <w:t xml:space="preserve">In recent </w:t>
      </w:r>
      <w:r w:rsidR="00477721">
        <w:t>Stock Assessment Report</w:t>
      </w:r>
      <w:r>
        <w:t xml:space="preserve">s for the Eastern Zone, trends in CPUE and FIS abundance measures provide conflicting messages regarding the status of the stock at the Zone and SMU scales. To address this issue, we compared the three nominal measures at the SMU and Zone (bottom right) scales relative to the average of each series for ease of comparison (i.e. the grey dashed line = 1, </w:t>
      </w:r>
      <w:r w:rsidRPr="00372DE7">
        <w:t xml:space="preserve">Figure </w:t>
      </w:r>
      <w:r>
        <w:t>52). The standardised trends are essentially the same as the nominal, except the series is shorter. FIS data were not gathered in 2022, so the following results were based on data up to and including 2021.</w:t>
      </w:r>
    </w:p>
    <w:p w14:paraId="6B638A70" w14:textId="77777777" w:rsidR="00656D26" w:rsidRDefault="00656D26" w:rsidP="00656D26">
      <w:r>
        <w:t>The two measures that are comparable are commercial CPUE and FIS recruits. If both were representative of the harvestable biomass, these should be highly correlated, as was found by Hart (2017). However, the figures above provide a strongly contrasting view. In all cases, CPUE has continued to increase over time. While CPUE declined from 2013 to 2016 to average levels, the rapid increases in recent years result in CPUE being around its highest contemporary levels. In contrast, recruit abundance is currently at its lowest levels at all spatial scales except for the Airport SMU, where recruit abundance is currently at the average. In general, recruit abundance was highest in the early 2000s then declined rapidly over the next decade. Thereafter, recruit abundance has stabilised at some SMUs and continued to decline slowly at others. Critically, the rapid decline observed in FIS recruit abundance was not reflected in CPUE which continued to increase until 2013, despite catches from 2003 to 2008 being the highest observed during this period (i.e. 1992 to 2021).</w:t>
      </w:r>
    </w:p>
    <w:p w14:paraId="64C2CA38" w14:textId="10187435" w:rsidR="00656D26" w:rsidRDefault="00656D26" w:rsidP="00656D26">
      <w:r>
        <w:t xml:space="preserve">To explore the relationship between CPUE and FIS recruit abundance, we repeated the analysis of Hart (2017) for each </w:t>
      </w:r>
      <w:r w:rsidRPr="00372DE7">
        <w:t>SMU and for the Eastern Zone (Appendix 3).</w:t>
      </w:r>
      <w:r>
        <w:t xml:space="preserve"> In his review, Hart reported a significant positive correlation between higher CPUEs and higher FIS abundance during the period 2003 to 2016 across all three Zones combined. However, using the full period of available data (1992 to 2020) and the same time series as Hart (2003 to 2016) for each SMU and for the Eastern Zone, we found no correlation at any spatial or temporal scale. It should be noted that for both analyses in this report, FIS recruits are measured consistently over time against the LML (i.e. 110 or 120 mm) whereas CPUE has been affected by voluntary size limit increases in some SMUs. This implies that the trends should be even more exaggerated than those observed.</w:t>
      </w:r>
    </w:p>
    <w:p w14:paraId="1FD4B6F7" w14:textId="77777777" w:rsidR="00656D26" w:rsidRDefault="00656D26" w:rsidP="00656D26">
      <w:r>
        <w:t>FIS pre-recruit abundance has declined at all SMUs except Mallacoota Small and is more pronounced at SMUs with higher LMLs that are assumed to be reflective of faster average growth rates (</w:t>
      </w:r>
      <w:r w:rsidRPr="00372DE7">
        <w:t>Figure 52</w:t>
      </w:r>
      <w:r>
        <w:t>). The magnitude of the overall decline in pre-recruits has generally been more severe than for recruit sized abalone across the time series. At the Zone scale, the steepest decline in pre-recruit abundance occurred from 1999 to 2006 and appears to be a precursor to the sharp decline in recruit abundance from 2003 to 2008 observed at these sites. While the decline in pre-recruit abundance appears to have slowed in the last 7 years, concerningly it remains a significant declining trend.</w:t>
      </w:r>
    </w:p>
    <w:p w14:paraId="3E7BD56E" w14:textId="77777777" w:rsidR="00656D26" w:rsidRDefault="00656D26" w:rsidP="00656D26">
      <w:r>
        <w:t>These opposing trends in the two primary data sources (rising commercial CPUEs despite substantial declines in abundance at survey sites) together with the possibility that survey sites are not representative of the main contemporary fishing grounds, severely compromises the current assessment of stock status.</w:t>
      </w:r>
    </w:p>
    <w:p w14:paraId="54ED2AE2" w14:textId="77777777" w:rsidR="00656D26" w:rsidRDefault="00656D26" w:rsidP="00656D26"/>
    <w:p w14:paraId="2FB7C38A" w14:textId="77777777" w:rsidR="00656D26" w:rsidRDefault="00656D26" w:rsidP="00656D26">
      <w:r>
        <w:rPr>
          <w:noProof/>
        </w:rPr>
        <w:drawing>
          <wp:inline distT="0" distB="0" distL="0" distR="0" wp14:anchorId="0DBDBE3F" wp14:editId="43383813">
            <wp:extent cx="5570220" cy="6926580"/>
            <wp:effectExtent l="0" t="0" r="0" b="0"/>
            <wp:docPr id="52" name="Picture" descr="Figure 52: Relative trends in nominal commercial CPUE, nominal FIS recruits and nominal FIS pre-recruits from 1992 to 2020 for each SMU and for the Eastern Zone as a whole. Grey dashed line represents the average for each series."/>
            <wp:cNvGraphicFramePr/>
            <a:graphic xmlns:a="http://schemas.openxmlformats.org/drawingml/2006/main">
              <a:graphicData uri="http://schemas.openxmlformats.org/drawingml/2006/picture">
                <pic:pic xmlns:pic="http://schemas.openxmlformats.org/drawingml/2006/picture">
                  <pic:nvPicPr>
                    <pic:cNvPr id="0" name="Picture" descr="@parent_files/figure-docx/conclusion.fig52-1.png"/>
                    <pic:cNvPicPr>
                      <a:picLocks noChangeAspect="1" noChangeArrowheads="1"/>
                    </pic:cNvPicPr>
                  </pic:nvPicPr>
                  <pic:blipFill>
                    <a:blip r:embed="rId62"/>
                    <a:stretch>
                      <a:fillRect/>
                    </a:stretch>
                  </pic:blipFill>
                  <pic:spPr bwMode="auto">
                    <a:xfrm>
                      <a:off x="0" y="0"/>
                      <a:ext cx="5570220" cy="6926580"/>
                    </a:xfrm>
                    <a:prstGeom prst="rect">
                      <a:avLst/>
                    </a:prstGeom>
                    <a:noFill/>
                    <a:ln w="9525">
                      <a:noFill/>
                      <a:headEnd/>
                      <a:tailEnd/>
                    </a:ln>
                  </pic:spPr>
                </pic:pic>
              </a:graphicData>
            </a:graphic>
          </wp:inline>
        </w:drawing>
      </w:r>
    </w:p>
    <w:p w14:paraId="37D55229" w14:textId="152EDF83" w:rsidR="00656D26" w:rsidRPr="00185074" w:rsidRDefault="00656D26" w:rsidP="00185074">
      <w:pPr>
        <w:rPr>
          <w:i/>
          <w:iCs/>
          <w:sz w:val="18"/>
          <w:szCs w:val="18"/>
        </w:rPr>
      </w:pPr>
      <w:r w:rsidRPr="00185074">
        <w:rPr>
          <w:i/>
          <w:iCs/>
          <w:sz w:val="18"/>
          <w:szCs w:val="18"/>
        </w:rPr>
        <w:t>Relative trends in nominal commercial CPUE, nominal FIS recruits and nominal FIS pre-recruits from 1992 to 2020 for each SMU and for the Eastern Zone as a whole. Grey dashed line represents the average for each series.</w:t>
      </w:r>
    </w:p>
    <w:p w14:paraId="3F0C6D10" w14:textId="77777777" w:rsidR="00656D26" w:rsidRPr="00656D26" w:rsidRDefault="00656D26" w:rsidP="00656D26"/>
    <w:p w14:paraId="4BCD3087" w14:textId="77777777" w:rsidR="00C70DC4" w:rsidRDefault="00C70DC4" w:rsidP="00C70DC4">
      <w:pPr>
        <w:jc w:val="center"/>
      </w:pPr>
      <w:r w:rsidRPr="00F46EAC">
        <w:rPr>
          <w:noProof/>
        </w:rPr>
        <w:drawing>
          <wp:inline distT="0" distB="0" distL="0" distR="0" wp14:anchorId="6D1EECA3" wp14:editId="56690BBF">
            <wp:extent cx="5090160" cy="7218203"/>
            <wp:effectExtent l="0" t="0" r="0" b="1905"/>
            <wp:docPr id="64" name="Picture 6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scatter chart&#10;&#10;Description automatically generated"/>
                    <pic:cNvPicPr/>
                  </pic:nvPicPr>
                  <pic:blipFill rotWithShape="1">
                    <a:blip r:embed="rId63"/>
                    <a:srcRect l="609" r="1"/>
                    <a:stretch/>
                  </pic:blipFill>
                  <pic:spPr bwMode="auto">
                    <a:xfrm>
                      <a:off x="0" y="0"/>
                      <a:ext cx="5097672" cy="7228855"/>
                    </a:xfrm>
                    <a:prstGeom prst="rect">
                      <a:avLst/>
                    </a:prstGeom>
                    <a:ln>
                      <a:noFill/>
                    </a:ln>
                    <a:extLst>
                      <a:ext uri="{53640926-AAD7-44D8-BBD7-CCE9431645EC}">
                        <a14:shadowObscured xmlns:a14="http://schemas.microsoft.com/office/drawing/2010/main"/>
                      </a:ext>
                    </a:extLst>
                  </pic:spPr>
                </pic:pic>
              </a:graphicData>
            </a:graphic>
          </wp:inline>
        </w:drawing>
      </w:r>
    </w:p>
    <w:p w14:paraId="19CB803D" w14:textId="71CF57FB" w:rsidR="00C70DC4" w:rsidRPr="00185074" w:rsidRDefault="00C70DC4" w:rsidP="00185074">
      <w:pPr>
        <w:rPr>
          <w:i/>
          <w:iCs/>
          <w:sz w:val="18"/>
          <w:szCs w:val="18"/>
        </w:rPr>
      </w:pPr>
      <w:bookmarkStart w:id="211" w:name="_Toc55909042"/>
      <w:bookmarkStart w:id="212" w:name="_Toc55910487"/>
      <w:bookmarkStart w:id="213" w:name="_Toc55910621"/>
      <w:bookmarkStart w:id="214" w:name="_Toc55910737"/>
      <w:bookmarkStart w:id="215" w:name="_Toc55910804"/>
      <w:r w:rsidRPr="00185074">
        <w:rPr>
          <w:i/>
          <w:iCs/>
          <w:sz w:val="18"/>
          <w:szCs w:val="18"/>
        </w:rPr>
        <w:t>Comparison of nominal commercial CPUE (kg/h) and FIS recruit abundance (no. per site) from 1992 to 2020 for all SMUs and the Eastern Zone (bottom right).</w:t>
      </w:r>
      <w:bookmarkEnd w:id="211"/>
      <w:bookmarkEnd w:id="212"/>
      <w:bookmarkEnd w:id="213"/>
      <w:bookmarkEnd w:id="214"/>
      <w:bookmarkEnd w:id="215"/>
      <w:r w:rsidRPr="00185074">
        <w:rPr>
          <w:i/>
          <w:iCs/>
          <w:sz w:val="18"/>
          <w:szCs w:val="18"/>
        </w:rPr>
        <w:t xml:space="preserve"> </w:t>
      </w:r>
    </w:p>
    <w:p w14:paraId="2F036BCB" w14:textId="77777777" w:rsidR="00C70DC4" w:rsidRDefault="00C70DC4" w:rsidP="00C70DC4"/>
    <w:bookmarkEnd w:id="186"/>
    <w:bookmarkEnd w:id="195"/>
    <w:p w14:paraId="314B1719" w14:textId="77777777" w:rsidR="00C70DC4" w:rsidRDefault="00C70DC4" w:rsidP="00C70DC4">
      <w:r>
        <w:br w:type="page"/>
      </w:r>
      <w:bookmarkEnd w:id="183"/>
      <w:r w:rsidRPr="00E16F5E">
        <w:rPr>
          <w:noProof/>
        </w:rPr>
        <w:drawing>
          <wp:inline distT="0" distB="0" distL="0" distR="0" wp14:anchorId="16F472D5" wp14:editId="3AE6240E">
            <wp:extent cx="5731510" cy="4069715"/>
            <wp:effectExtent l="0" t="0" r="2540" b="6985"/>
            <wp:docPr id="66" name="Picture 66"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sky&#10;&#10;Description automatically generated"/>
                    <pic:cNvPicPr/>
                  </pic:nvPicPr>
                  <pic:blipFill>
                    <a:blip r:embed="rId64"/>
                    <a:stretch>
                      <a:fillRect/>
                    </a:stretch>
                  </pic:blipFill>
                  <pic:spPr>
                    <a:xfrm>
                      <a:off x="0" y="0"/>
                      <a:ext cx="5731510" cy="4069715"/>
                    </a:xfrm>
                    <a:prstGeom prst="rect">
                      <a:avLst/>
                    </a:prstGeom>
                  </pic:spPr>
                </pic:pic>
              </a:graphicData>
            </a:graphic>
          </wp:inline>
        </w:drawing>
      </w:r>
    </w:p>
    <w:p w14:paraId="28C1F772" w14:textId="40C90B95" w:rsidR="00C70DC4" w:rsidRPr="00185074" w:rsidRDefault="00C70DC4" w:rsidP="00185074">
      <w:pPr>
        <w:rPr>
          <w:i/>
          <w:iCs/>
          <w:sz w:val="18"/>
          <w:szCs w:val="18"/>
        </w:rPr>
      </w:pPr>
      <w:bookmarkStart w:id="216" w:name="_Toc55909043"/>
      <w:bookmarkStart w:id="217" w:name="_Toc55910488"/>
      <w:bookmarkStart w:id="218" w:name="_Toc55910622"/>
      <w:bookmarkStart w:id="219" w:name="_Toc55910738"/>
      <w:bookmarkStart w:id="220" w:name="_Toc55910805"/>
      <w:r w:rsidRPr="00185074">
        <w:rPr>
          <w:i/>
          <w:iCs/>
          <w:sz w:val="18"/>
          <w:szCs w:val="18"/>
        </w:rPr>
        <w:t>Comparison of nominal commercial CPUE (kg/h) and FIS recruit abundance (no. per site) from 2003 to 2016 for all SMUs and the Eastern Zone.</w:t>
      </w:r>
      <w:bookmarkEnd w:id="216"/>
      <w:bookmarkEnd w:id="217"/>
      <w:bookmarkEnd w:id="218"/>
      <w:bookmarkEnd w:id="219"/>
      <w:bookmarkEnd w:id="220"/>
      <w:r w:rsidRPr="00185074">
        <w:rPr>
          <w:i/>
          <w:iCs/>
          <w:sz w:val="18"/>
          <w:szCs w:val="18"/>
        </w:rPr>
        <w:t xml:space="preserve"> </w:t>
      </w:r>
    </w:p>
    <w:p w14:paraId="343E9054" w14:textId="4B4C5CA1" w:rsidR="00C21A93" w:rsidRDefault="00C21A93">
      <w:pPr>
        <w:spacing w:before="0" w:after="160" w:line="259" w:lineRule="auto"/>
      </w:pPr>
      <w:r>
        <w:br w:type="page"/>
      </w:r>
    </w:p>
    <w:p w14:paraId="197E5F6E" w14:textId="04962825" w:rsidR="00C21A93" w:rsidRDefault="00C21A93" w:rsidP="00C21A93">
      <w:pPr>
        <w:pStyle w:val="Heading1"/>
        <w:numPr>
          <w:ilvl w:val="0"/>
          <w:numId w:val="0"/>
        </w:numPr>
      </w:pPr>
      <w:bookmarkStart w:id="221" w:name="_Toc182219934"/>
      <w:r>
        <w:t xml:space="preserve">Appendix </w:t>
      </w:r>
      <w:r w:rsidR="00EB1E11">
        <w:t>3</w:t>
      </w:r>
      <w:r>
        <w:t xml:space="preserve">: Comparison </w:t>
      </w:r>
      <w:r w:rsidRPr="00C21A93">
        <w:t xml:space="preserve">of </w:t>
      </w:r>
      <w:r>
        <w:t>size structure data gathered in FIS since 2003.</w:t>
      </w:r>
      <w:bookmarkEnd w:id="221"/>
    </w:p>
    <w:p w14:paraId="4EBB5BAE" w14:textId="77777777" w:rsidR="008D1D5F" w:rsidRDefault="008D1D5F" w:rsidP="008D1D5F">
      <w:pPr>
        <w:rPr>
          <w:lang w:val="en-US"/>
        </w:rPr>
      </w:pPr>
      <w:r>
        <w:rPr>
          <w:lang w:val="en-US"/>
        </w:rPr>
        <w:t xml:space="preserve">The manner in which length frequency data were gathered from historic FIS changed considerably over time. Originally, all abalone encountered on a transect were collected and brought to the surface to be measured before being returned to the bottom at the same site. This approach was modified when concerns were raised that collecting abalone from within the site may affect the abundance within the site the following year. On this basis, from 2000/01 all abalone encountered on transects were instead counted </w:t>
      </w:r>
      <w:r w:rsidRPr="007F3005">
        <w:rPr>
          <w:i/>
          <w:iCs/>
          <w:lang w:val="en-US"/>
        </w:rPr>
        <w:t>in situ</w:t>
      </w:r>
      <w:r>
        <w:rPr>
          <w:lang w:val="en-US"/>
        </w:rPr>
        <w:t xml:space="preserve"> in size categories (VFA 2019). At the end of each transect, divers were then instructed to collect the first 25 abalone randomly encountered. VFA (2019) state “</w:t>
      </w:r>
      <w:r w:rsidRPr="00C46EE8">
        <w:rPr>
          <w:i/>
          <w:iCs/>
        </w:rPr>
        <w:t>At the end of each transect 25 abalone are collected as far as possible without bias</w:t>
      </w:r>
      <w:r>
        <w:rPr>
          <w:i/>
          <w:iCs/>
        </w:rPr>
        <w:t xml:space="preserve">”. </w:t>
      </w:r>
      <w:r>
        <w:t xml:space="preserve">On this basis, it appears the </w:t>
      </w:r>
      <w:r>
        <w:rPr>
          <w:lang w:val="en-US"/>
        </w:rPr>
        <w:t xml:space="preserve">objective of the random collection was to gather an independent length-frequency sample that was representative of the surveyed population within transects. </w:t>
      </w:r>
    </w:p>
    <w:p w14:paraId="04B8FBE7" w14:textId="77777777" w:rsidR="008D1D5F" w:rsidRDefault="008D1D5F" w:rsidP="008D1D5F">
      <w:pPr>
        <w:rPr>
          <w:lang w:val="en-US"/>
        </w:rPr>
      </w:pPr>
      <w:r>
        <w:rPr>
          <w:lang w:val="en-US"/>
        </w:rPr>
        <w:t xml:space="preserve">To examine how well the length frequency samples reflected the abundance on transects by size category, we converted the length-frequency data into recruit and pre-recruit abundances and compared the proportion of recruits versus pre-recruits (juvenile counts were excluded) for each data source from data gathered for the Eastern and Central Zones between 2017 and 2020. To reduce the variation in these results, sites were excluded if the total abundance encountered on transects was less than 50 abalone, which approximately halved the number of data points available for the analysis to 222 total. As a result of this reduction, the total counts from length frequency samples ranged between 95 and 158 per site. </w:t>
      </w:r>
    </w:p>
    <w:p w14:paraId="47A490A7" w14:textId="77777777" w:rsidR="008D1D5F" w:rsidRDefault="008D1D5F" w:rsidP="008D1D5F">
      <w:pPr>
        <w:rPr>
          <w:lang w:val="en-US"/>
        </w:rPr>
      </w:pPr>
      <w:r w:rsidRPr="00321AA5">
        <w:rPr>
          <w:lang w:val="en-US"/>
        </w:rPr>
        <w:t>Figure 2</w:t>
      </w:r>
      <w:r>
        <w:rPr>
          <w:lang w:val="en-US"/>
        </w:rPr>
        <w:t xml:space="preserve"> shows the proportion of recruits versus pre-recruits expressed as percentage of recruits for all data combined. The dashed grey line represents the line of best fit for these data. The solid black line that runs from the origin of the axis should be the theoretical line of best fit if there was no bias in these data collection methods. Clearly, there is a strong bias towards collecting larger abalone (i.e. recruits) when gathering length frequency samples at the end of each transect. This bias is strongest when the proportion of recruits observed during transects is low. </w:t>
      </w:r>
      <w:r w:rsidRPr="00321AA5">
        <w:rPr>
          <w:lang w:val="en-US"/>
        </w:rPr>
        <w:t>Figure 3</w:t>
      </w:r>
      <w:r>
        <w:rPr>
          <w:lang w:val="en-US"/>
        </w:rPr>
        <w:t xml:space="preserve"> breaks the dataset into Central and Eastern Zones, and the size limits 110 and 120 mm. The same bias exists at all spatial scales. Interestingly, data gathered from the Central and Eastern Zones were gathered by two different groups of research divers during this period, yet both showed the same trends suggesting this is more to do with the methods of data collection than the individuals involved. </w:t>
      </w:r>
    </w:p>
    <w:p w14:paraId="0F4E384E" w14:textId="77777777" w:rsidR="008D1D5F" w:rsidRDefault="008D1D5F" w:rsidP="008D1D5F">
      <w:pPr>
        <w:rPr>
          <w:i/>
          <w:iCs/>
        </w:rPr>
      </w:pPr>
      <w:r>
        <w:rPr>
          <w:lang w:val="en-US"/>
        </w:rPr>
        <w:t xml:space="preserve">It is considered unlikely that bias in size structure would result from the in situ transect counts as abalone are encountered in a systematic manner. This is supported by </w:t>
      </w:r>
      <w:r>
        <w:t>Gorfine (1998) who states “</w:t>
      </w:r>
      <w:r>
        <w:rPr>
          <w:i/>
          <w:iCs/>
        </w:rPr>
        <w:t>B</w:t>
      </w:r>
      <w:r w:rsidRPr="00C634AD">
        <w:rPr>
          <w:i/>
          <w:iCs/>
        </w:rPr>
        <w:t xml:space="preserve">ecause the application of radial transacts avoids targeting some emergent abalone to the exclusion of others, there is less potential for divers </w:t>
      </w:r>
      <w:r>
        <w:rPr>
          <w:i/>
          <w:iCs/>
        </w:rPr>
        <w:t>t</w:t>
      </w:r>
      <w:r w:rsidRPr="00C634AD">
        <w:rPr>
          <w:i/>
          <w:iCs/>
        </w:rPr>
        <w:t>o</w:t>
      </w:r>
      <w:r>
        <w:rPr>
          <w:i/>
          <w:iCs/>
        </w:rPr>
        <w:t xml:space="preserve"> </w:t>
      </w:r>
      <w:r w:rsidRPr="00C634AD">
        <w:rPr>
          <w:i/>
          <w:iCs/>
        </w:rPr>
        <w:t>bias their sample towards larger abalone as may occur with time searches</w:t>
      </w:r>
      <w:r>
        <w:rPr>
          <w:i/>
          <w:iCs/>
        </w:rPr>
        <w:t>…</w:t>
      </w:r>
      <w:r w:rsidRPr="00C634AD">
        <w:rPr>
          <w:i/>
          <w:iCs/>
        </w:rPr>
        <w:t>. Time searches do not necessarily permit this separation of pre recruits from post recruits because of the potential for divers to collect larger, more accessible abalone at the expense of smaller abalone</w:t>
      </w:r>
      <w:r>
        <w:rPr>
          <w:i/>
          <w:iCs/>
        </w:rPr>
        <w:t>”</w:t>
      </w:r>
      <w:r w:rsidRPr="00C634AD">
        <w:rPr>
          <w:i/>
          <w:iCs/>
        </w:rPr>
        <w:t>.</w:t>
      </w:r>
      <w:r>
        <w:rPr>
          <w:i/>
          <w:iCs/>
        </w:rPr>
        <w:t xml:space="preserve"> </w:t>
      </w:r>
      <w:r>
        <w:t>It seems logical to conclude that the bias in length frequency counts has resulted from divers collecting in the manner of a timed-swim and not “</w:t>
      </w:r>
      <w:r>
        <w:rPr>
          <w:i/>
          <w:iCs/>
        </w:rPr>
        <w:t>as far as possible without bias”</w:t>
      </w:r>
      <w:r>
        <w:t xml:space="preserve">. </w:t>
      </w:r>
    </w:p>
    <w:p w14:paraId="46D2AF73" w14:textId="77777777" w:rsidR="008D1D5F" w:rsidRDefault="008D1D5F" w:rsidP="008D1D5F">
      <w:pPr>
        <w:rPr>
          <w:lang w:val="en-US"/>
        </w:rPr>
      </w:pPr>
      <w:r>
        <w:rPr>
          <w:lang w:val="en-US"/>
        </w:rPr>
        <w:t>The bias suggests that caution should be applied in the analysis of trends in length frequency data gathered from historic surveys, including the pre-recruit measure in the Harvest Strategy. Further, if independent length frequency samples are to be gathered away from fixed transects in any future surveys, strict methods for collection must be applied to ensure a systematic, unbiased, representative size structure is attained.</w:t>
      </w:r>
    </w:p>
    <w:p w14:paraId="1BA1A193" w14:textId="77777777" w:rsidR="008D1D5F" w:rsidRDefault="008D1D5F" w:rsidP="008D1D5F">
      <w:pPr>
        <w:jc w:val="center"/>
        <w:rPr>
          <w:lang w:val="en-US"/>
        </w:rPr>
      </w:pPr>
      <w:r w:rsidRPr="003C5ABD">
        <w:rPr>
          <w:noProof/>
        </w:rPr>
        <w:drawing>
          <wp:inline distT="0" distB="0" distL="0" distR="0" wp14:anchorId="4FF4BF10" wp14:editId="7B52B05C">
            <wp:extent cx="5191685" cy="3383280"/>
            <wp:effectExtent l="0" t="0" r="9525" b="7620"/>
            <wp:docPr id="4631869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6864" cy="3406205"/>
                    </a:xfrm>
                    <a:prstGeom prst="rect">
                      <a:avLst/>
                    </a:prstGeom>
                    <a:noFill/>
                    <a:ln>
                      <a:noFill/>
                    </a:ln>
                  </pic:spPr>
                </pic:pic>
              </a:graphicData>
            </a:graphic>
          </wp:inline>
        </w:drawing>
      </w:r>
    </w:p>
    <w:p w14:paraId="22C0533B" w14:textId="65B2AF1F" w:rsidR="008D1D5F" w:rsidRPr="00185074" w:rsidRDefault="008D1D5F" w:rsidP="00185074">
      <w:pPr>
        <w:rPr>
          <w:i/>
          <w:iCs/>
          <w:sz w:val="18"/>
          <w:szCs w:val="18"/>
        </w:rPr>
      </w:pPr>
      <w:bookmarkStart w:id="222" w:name="_Toc143810739"/>
      <w:r w:rsidRPr="00185074">
        <w:rPr>
          <w:i/>
          <w:iCs/>
          <w:sz w:val="18"/>
          <w:szCs w:val="18"/>
        </w:rPr>
        <w:t>The proportion of recruits versus pre-recruits, expressed as percentage of recruits. The dashed grey line, equation and R squared represents the line of best fit for these data. The solid black line that runs from the origin of the axis should be the theoretical line of best fit if there was no bias in these data collection methods.</w:t>
      </w:r>
      <w:bookmarkEnd w:id="222"/>
    </w:p>
    <w:p w14:paraId="4745B535" w14:textId="77777777" w:rsidR="008D1D5F" w:rsidRPr="007951A7" w:rsidRDefault="008D1D5F" w:rsidP="008D1D5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2"/>
      </w:tblGrid>
      <w:tr w:rsidR="008D1D5F" w14:paraId="4DB08612" w14:textId="77777777" w:rsidTr="00E9281F">
        <w:tc>
          <w:tcPr>
            <w:tcW w:w="4508" w:type="dxa"/>
          </w:tcPr>
          <w:p w14:paraId="584583A0" w14:textId="77777777" w:rsidR="008D1D5F" w:rsidRDefault="008D1D5F" w:rsidP="00E9281F">
            <w:pPr>
              <w:rPr>
                <w:lang w:val="en-US"/>
              </w:rPr>
            </w:pPr>
            <w:r w:rsidRPr="007F3005">
              <w:rPr>
                <w:noProof/>
                <w:lang w:val="en-US"/>
              </w:rPr>
              <w:drawing>
                <wp:inline distT="0" distB="0" distL="0" distR="0" wp14:anchorId="2E44BAAD" wp14:editId="1DBA3F10">
                  <wp:extent cx="2724788" cy="1775460"/>
                  <wp:effectExtent l="0" t="0" r="0" b="0"/>
                  <wp:docPr id="326681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3646" cy="1787748"/>
                          </a:xfrm>
                          <a:prstGeom prst="rect">
                            <a:avLst/>
                          </a:prstGeom>
                          <a:noFill/>
                          <a:ln>
                            <a:noFill/>
                          </a:ln>
                        </pic:spPr>
                      </pic:pic>
                    </a:graphicData>
                  </a:graphic>
                </wp:inline>
              </w:drawing>
            </w:r>
          </w:p>
        </w:tc>
        <w:tc>
          <w:tcPr>
            <w:tcW w:w="4508" w:type="dxa"/>
          </w:tcPr>
          <w:p w14:paraId="7DD77500" w14:textId="77777777" w:rsidR="008D1D5F" w:rsidRDefault="008D1D5F" w:rsidP="00E9281F">
            <w:pPr>
              <w:rPr>
                <w:lang w:val="en-US"/>
              </w:rPr>
            </w:pPr>
            <w:r w:rsidRPr="007F3005">
              <w:rPr>
                <w:noProof/>
                <w:lang w:val="en-US"/>
              </w:rPr>
              <w:drawing>
                <wp:inline distT="0" distB="0" distL="0" distR="0" wp14:anchorId="0D1215D8" wp14:editId="09DCA875">
                  <wp:extent cx="2727960" cy="1777527"/>
                  <wp:effectExtent l="0" t="0" r="0" b="0"/>
                  <wp:docPr id="6409536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091" cy="1780870"/>
                          </a:xfrm>
                          <a:prstGeom prst="rect">
                            <a:avLst/>
                          </a:prstGeom>
                          <a:noFill/>
                          <a:ln>
                            <a:noFill/>
                          </a:ln>
                        </pic:spPr>
                      </pic:pic>
                    </a:graphicData>
                  </a:graphic>
                </wp:inline>
              </w:drawing>
            </w:r>
          </w:p>
        </w:tc>
      </w:tr>
      <w:tr w:rsidR="008D1D5F" w14:paraId="03CCBECD" w14:textId="77777777" w:rsidTr="00E9281F">
        <w:tc>
          <w:tcPr>
            <w:tcW w:w="4508" w:type="dxa"/>
          </w:tcPr>
          <w:p w14:paraId="08145129" w14:textId="77777777" w:rsidR="008D1D5F" w:rsidRDefault="008D1D5F" w:rsidP="00E9281F">
            <w:pPr>
              <w:rPr>
                <w:lang w:val="en-US"/>
              </w:rPr>
            </w:pPr>
            <w:r w:rsidRPr="007F3005">
              <w:rPr>
                <w:noProof/>
                <w:lang w:val="en-US"/>
              </w:rPr>
              <w:drawing>
                <wp:inline distT="0" distB="0" distL="0" distR="0" wp14:anchorId="713751B0" wp14:editId="7245CE30">
                  <wp:extent cx="2705100" cy="1762632"/>
                  <wp:effectExtent l="0" t="0" r="0" b="9525"/>
                  <wp:docPr id="411108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0609" cy="1785770"/>
                          </a:xfrm>
                          <a:prstGeom prst="rect">
                            <a:avLst/>
                          </a:prstGeom>
                          <a:noFill/>
                          <a:ln>
                            <a:noFill/>
                          </a:ln>
                        </pic:spPr>
                      </pic:pic>
                    </a:graphicData>
                  </a:graphic>
                </wp:inline>
              </w:drawing>
            </w:r>
          </w:p>
        </w:tc>
        <w:tc>
          <w:tcPr>
            <w:tcW w:w="4508" w:type="dxa"/>
          </w:tcPr>
          <w:p w14:paraId="0E7A4599" w14:textId="77777777" w:rsidR="008D1D5F" w:rsidRDefault="008D1D5F" w:rsidP="00E9281F">
            <w:pPr>
              <w:rPr>
                <w:lang w:val="en-US"/>
              </w:rPr>
            </w:pPr>
            <w:r w:rsidRPr="007F3005">
              <w:rPr>
                <w:noProof/>
                <w:lang w:val="en-US"/>
              </w:rPr>
              <w:drawing>
                <wp:inline distT="0" distB="0" distL="0" distR="0" wp14:anchorId="7B03EE03" wp14:editId="60CEDC8D">
                  <wp:extent cx="2682240" cy="1747736"/>
                  <wp:effectExtent l="0" t="0" r="3810" b="5080"/>
                  <wp:docPr id="630293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8574" cy="1751864"/>
                          </a:xfrm>
                          <a:prstGeom prst="rect">
                            <a:avLst/>
                          </a:prstGeom>
                          <a:noFill/>
                          <a:ln>
                            <a:noFill/>
                          </a:ln>
                        </pic:spPr>
                      </pic:pic>
                    </a:graphicData>
                  </a:graphic>
                </wp:inline>
              </w:drawing>
            </w:r>
          </w:p>
        </w:tc>
      </w:tr>
    </w:tbl>
    <w:p w14:paraId="048DB95F" w14:textId="7DDAD630" w:rsidR="00E0084D" w:rsidRPr="00185074" w:rsidRDefault="008D1D5F" w:rsidP="00185074">
      <w:pPr>
        <w:rPr>
          <w:i/>
          <w:iCs/>
          <w:sz w:val="18"/>
          <w:szCs w:val="18"/>
        </w:rPr>
      </w:pPr>
      <w:bookmarkStart w:id="223" w:name="_Toc143810740"/>
      <w:r w:rsidRPr="00185074">
        <w:rPr>
          <w:i/>
          <w:iCs/>
          <w:sz w:val="18"/>
          <w:szCs w:val="18"/>
        </w:rPr>
        <w:t>The proportion of recruits versus pre-recruits, expressed as percentage of recruits for a) Central Zone, b) Eastern Zone, c) 120 mm LML and d) 110 mm LML. The dashed grey line represents the line of best fit for these data. The solid black line that runs from the origin of the axis should be the theoretical line of best fit if there was no bias in these data collection methods.</w:t>
      </w:r>
      <w:bookmarkEnd w:id="223"/>
    </w:p>
    <w:p w14:paraId="17EC3457" w14:textId="1E9BC968" w:rsidR="00EB1E11" w:rsidRPr="00EB1E11" w:rsidRDefault="00EB1E11" w:rsidP="00CD495E">
      <w:pPr>
        <w:pStyle w:val="Heading1"/>
        <w:numPr>
          <w:ilvl w:val="0"/>
          <w:numId w:val="0"/>
        </w:numPr>
        <w:spacing w:after="0"/>
      </w:pPr>
      <w:bookmarkStart w:id="224" w:name="_Toc182219935"/>
      <w:r>
        <w:t>Appendix 4: FIS length frequency data for (a) all sites and (b) Top 15 sites at each SMU</w:t>
      </w:r>
      <w:bookmarkEnd w:id="2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B1E11" w14:paraId="4668453E" w14:textId="77777777" w:rsidTr="00CD495E">
        <w:tc>
          <w:tcPr>
            <w:tcW w:w="9218" w:type="dxa"/>
            <w:gridSpan w:val="2"/>
          </w:tcPr>
          <w:p w14:paraId="61A9B3EC" w14:textId="136B0380" w:rsidR="00EB1E11" w:rsidRPr="00CD495E" w:rsidRDefault="00EB1E11" w:rsidP="00E9281F">
            <w:pPr>
              <w:pStyle w:val="Caption"/>
              <w:rPr>
                <w:i w:val="0"/>
                <w:iCs/>
              </w:rPr>
            </w:pPr>
            <w:bookmarkStart w:id="225" w:name="_Toc149571911"/>
            <w:bookmarkStart w:id="226" w:name="_Toc182219838"/>
            <w:r w:rsidRPr="00185074">
              <w:rPr>
                <w:iCs/>
                <w:color w:val="auto"/>
              </w:rPr>
              <w:t>Size frequency distributions for the Airport SMU from (A) 2003 to 2021 for all sites and (B) from 2003 to 2023 for the three Top 15 sites. Black bars represent undersize abalone, grey bars represent (current) legal size abalone. FIS data were not collected in 2022.</w:t>
            </w:r>
            <w:r w:rsidR="00CD495E" w:rsidRPr="00185074">
              <w:rPr>
                <w:iCs/>
                <w:color w:val="auto"/>
              </w:rPr>
              <w:t xml:space="preserve"> </w:t>
            </w:r>
            <w:r w:rsidR="00A205DF" w:rsidRPr="00185074">
              <w:rPr>
                <w:iCs/>
                <w:color w:val="auto"/>
              </w:rPr>
              <w:t>Note scales differ slightly.</w:t>
            </w:r>
            <w:r w:rsidR="00CD495E">
              <w:t xml:space="preserve">                             </w:t>
            </w:r>
            <w:r w:rsidR="00CD495E" w:rsidRPr="00CD495E">
              <w:rPr>
                <w:i w:val="0"/>
                <w:noProof/>
                <w:color w:val="auto"/>
                <w:sz w:val="22"/>
                <w:szCs w:val="22"/>
              </w:rPr>
              <w:t>(A)</w:t>
            </w:r>
            <w:bookmarkEnd w:id="225"/>
            <w:bookmarkEnd w:id="226"/>
          </w:p>
        </w:tc>
      </w:tr>
      <w:tr w:rsidR="00A205DF" w14:paraId="204BF9A4" w14:textId="77777777" w:rsidTr="00CD4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9" w:type="dxa"/>
          </w:tcPr>
          <w:p w14:paraId="43CA2E84" w14:textId="77777777" w:rsidR="00EB1E11" w:rsidRDefault="00EB1E11" w:rsidP="00E9281F">
            <w:r>
              <w:rPr>
                <w:noProof/>
              </w:rPr>
              <w:drawing>
                <wp:inline distT="0" distB="0" distL="0" distR="0" wp14:anchorId="5425A21A" wp14:editId="42C8A2CD">
                  <wp:extent cx="2790000" cy="3488400"/>
                  <wp:effectExtent l="0" t="0" r="0" b="0"/>
                  <wp:docPr id="7" name="Picture" descr="Figure 7: Size frequency distributions for the Airport SMU from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44-1.png"/>
                          <pic:cNvPicPr>
                            <a:picLocks noChangeAspect="1" noChangeArrowheads="1"/>
                          </pic:cNvPicPr>
                        </pic:nvPicPr>
                        <pic:blipFill>
                          <a:blip r:embed="rId70"/>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3E6769A0" w14:textId="77777777" w:rsidR="00EB1E11" w:rsidRDefault="00EB1E11" w:rsidP="00E9281F">
            <w:r>
              <w:rPr>
                <w:noProof/>
              </w:rPr>
              <w:drawing>
                <wp:inline distT="0" distB="0" distL="0" distR="0" wp14:anchorId="261A66C5" wp14:editId="5DE5544E">
                  <wp:extent cx="2790000" cy="3488400"/>
                  <wp:effectExtent l="0" t="0" r="0" b="0"/>
                  <wp:docPr id="8" name="Picture" descr="Figure 8: Size frequency distributions for the Airport SMU from 2011 to 2019.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45-1.png"/>
                          <pic:cNvPicPr>
                            <a:picLocks noChangeAspect="1" noChangeArrowheads="1"/>
                          </pic:cNvPicPr>
                        </pic:nvPicPr>
                        <pic:blipFill>
                          <a:blip r:embed="rId71"/>
                          <a:stretch>
                            <a:fillRect/>
                          </a:stretch>
                        </pic:blipFill>
                        <pic:spPr bwMode="auto">
                          <a:xfrm>
                            <a:off x="0" y="0"/>
                            <a:ext cx="2790000" cy="3488400"/>
                          </a:xfrm>
                          <a:prstGeom prst="rect">
                            <a:avLst/>
                          </a:prstGeom>
                          <a:noFill/>
                          <a:ln w="9525">
                            <a:noFill/>
                            <a:headEnd/>
                            <a:tailEnd/>
                          </a:ln>
                        </pic:spPr>
                      </pic:pic>
                    </a:graphicData>
                  </a:graphic>
                </wp:inline>
              </w:drawing>
            </w:r>
          </w:p>
        </w:tc>
      </w:tr>
      <w:tr w:rsidR="00EB1E11" w14:paraId="3C0C1AD3" w14:textId="77777777" w:rsidTr="00CD495E">
        <w:tc>
          <w:tcPr>
            <w:tcW w:w="9218" w:type="dxa"/>
            <w:gridSpan w:val="2"/>
          </w:tcPr>
          <w:p w14:paraId="1DB4CC3E" w14:textId="77777777" w:rsidR="00EB1E11" w:rsidRDefault="00EB1E11" w:rsidP="00E9281F">
            <w:pPr>
              <w:jc w:val="center"/>
              <w:rPr>
                <w:noProof/>
              </w:rPr>
            </w:pPr>
            <w:r>
              <w:rPr>
                <w:noProof/>
              </w:rPr>
              <w:t>(B)</w:t>
            </w:r>
          </w:p>
        </w:tc>
      </w:tr>
      <w:tr w:rsidR="00A205DF" w14:paraId="09012FD6" w14:textId="77777777" w:rsidTr="00CD49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9" w:type="dxa"/>
          </w:tcPr>
          <w:p w14:paraId="376DE240" w14:textId="32A09905" w:rsidR="00EB1E11" w:rsidRDefault="00A205DF" w:rsidP="00E9281F">
            <w:r>
              <w:rPr>
                <w:noProof/>
              </w:rPr>
              <w:drawing>
                <wp:inline distT="0" distB="0" distL="0" distR="0" wp14:anchorId="561B1481" wp14:editId="0673E89A">
                  <wp:extent cx="2790000" cy="3488400"/>
                  <wp:effectExtent l="0" t="0" r="0" b="0"/>
                  <wp:docPr id="54" name="Picture" descr="Figure 7: Size frequency distributions for the two sites located within the Airport SMU which contribute to the Top 15 sites used for standardization across the zone, 2003 to 2012.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descr="@parent.Eastern_files/figure-docx/size.freq.hist.part1-60-1.png"/>
                          <pic:cNvPicPr>
                            <a:picLocks noChangeAspect="1" noChangeArrowheads="1"/>
                          </pic:cNvPicPr>
                        </pic:nvPicPr>
                        <pic:blipFill>
                          <a:blip r:embed="rId72"/>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0D8D83AD" w14:textId="611B6B75" w:rsidR="00EB1E11" w:rsidRDefault="00A205DF" w:rsidP="00E9281F">
            <w:r>
              <w:rPr>
                <w:noProof/>
              </w:rPr>
              <w:drawing>
                <wp:inline distT="0" distB="0" distL="0" distR="0" wp14:anchorId="73F6501A" wp14:editId="472B6F2E">
                  <wp:extent cx="2790000" cy="3488400"/>
                  <wp:effectExtent l="0" t="0" r="0" b="0"/>
                  <wp:docPr id="57" name="Picture" descr="Figure 8: Size frequency distributions for the two sites located within the Airport SMU which contribute to the Top 15 sites used for standardization across the zone, from 2013 to 2023.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descr="@parent.Eastern_files/figure-docx/size.freq.hist.part2-61-1.png"/>
                          <pic:cNvPicPr>
                            <a:picLocks noChangeAspect="1" noChangeArrowheads="1"/>
                          </pic:cNvPicPr>
                        </pic:nvPicPr>
                        <pic:blipFill>
                          <a:blip r:embed="rId73"/>
                          <a:stretch>
                            <a:fillRect/>
                          </a:stretch>
                        </pic:blipFill>
                        <pic:spPr bwMode="auto">
                          <a:xfrm>
                            <a:off x="0" y="0"/>
                            <a:ext cx="2790000" cy="3488400"/>
                          </a:xfrm>
                          <a:prstGeom prst="rect">
                            <a:avLst/>
                          </a:prstGeom>
                          <a:noFill/>
                          <a:ln w="9525">
                            <a:noFill/>
                            <a:headEnd/>
                            <a:tailEnd/>
                          </a:ln>
                        </pic:spPr>
                      </pic:pic>
                    </a:graphicData>
                  </a:graphic>
                </wp:inline>
              </w:drawing>
            </w:r>
          </w:p>
        </w:tc>
      </w:tr>
    </w:tbl>
    <w:p w14:paraId="0D94C9C3" w14:textId="77777777" w:rsidR="00EB1E11" w:rsidRDefault="00EB1E11" w:rsidP="00EB1E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485"/>
      </w:tblGrid>
      <w:tr w:rsidR="00EB1E11" w14:paraId="3CA0BD8F" w14:textId="77777777" w:rsidTr="00EB1E11">
        <w:tc>
          <w:tcPr>
            <w:tcW w:w="9242" w:type="dxa"/>
            <w:gridSpan w:val="2"/>
          </w:tcPr>
          <w:p w14:paraId="2A05D3F2" w14:textId="6BBFD056" w:rsidR="00EB1E11" w:rsidRDefault="00EB1E11" w:rsidP="00E9281F">
            <w:pPr>
              <w:pStyle w:val="Caption"/>
            </w:pPr>
            <w:bookmarkStart w:id="227" w:name="_Toc149571912"/>
            <w:bookmarkStart w:id="228" w:name="_Toc182219839"/>
            <w:r>
              <w:t>Size frequency distributions for the Marlo SMU from (A) 2003 to 2021 for all sites and (B) from 2003 to 2023 for the four Top 15 sites. Black bars represent undersize abalone, grey bars represent (current) legal size abalone.</w:t>
            </w:r>
            <w:r w:rsidRPr="00570ACF">
              <w:t xml:space="preserve"> </w:t>
            </w:r>
            <w:r>
              <w:t>FIS data were not collected in 2022.</w:t>
            </w:r>
            <w:bookmarkEnd w:id="227"/>
            <w:bookmarkEnd w:id="228"/>
          </w:p>
        </w:tc>
      </w:tr>
      <w:tr w:rsidR="00EB1E11" w14:paraId="57E8CFE7" w14:textId="77777777" w:rsidTr="00EB1E11">
        <w:tc>
          <w:tcPr>
            <w:tcW w:w="9242" w:type="dxa"/>
            <w:gridSpan w:val="2"/>
          </w:tcPr>
          <w:p w14:paraId="7D94FE32" w14:textId="77777777" w:rsidR="00EB1E11" w:rsidRDefault="00EB1E11" w:rsidP="00E9281F">
            <w:pPr>
              <w:jc w:val="center"/>
              <w:rPr>
                <w:noProof/>
              </w:rPr>
            </w:pPr>
            <w:r>
              <w:rPr>
                <w:noProof/>
              </w:rPr>
              <w:t>(A)</w:t>
            </w:r>
          </w:p>
        </w:tc>
      </w:tr>
      <w:tr w:rsidR="00EB1E11" w14:paraId="12CB2A8E" w14:textId="77777777" w:rsidTr="00EB1E11">
        <w:tc>
          <w:tcPr>
            <w:tcW w:w="4649" w:type="dxa"/>
          </w:tcPr>
          <w:p w14:paraId="197CC7FB" w14:textId="77777777" w:rsidR="00EB1E11" w:rsidRDefault="00EB1E11" w:rsidP="00E9281F">
            <w:r>
              <w:rPr>
                <w:noProof/>
              </w:rPr>
              <w:drawing>
                <wp:inline distT="0" distB="0" distL="0" distR="0" wp14:anchorId="4DF910A1" wp14:editId="66FFC3A8">
                  <wp:extent cx="2826000" cy="3470400"/>
                  <wp:effectExtent l="0" t="0" r="0" b="0"/>
                  <wp:docPr id="21" name="Picture" descr="Figure 21: Size frequency distributions for the Marlo SMU from 2005 to 2012. Black bark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74-1.png"/>
                          <pic:cNvPicPr>
                            <a:picLocks noChangeAspect="1" noChangeArrowheads="1"/>
                          </pic:cNvPicPr>
                        </pic:nvPicPr>
                        <pic:blipFill>
                          <a:blip r:embed="rId74"/>
                          <a:stretch>
                            <a:fillRect/>
                          </a:stretch>
                        </pic:blipFill>
                        <pic:spPr bwMode="auto">
                          <a:xfrm>
                            <a:off x="0" y="0"/>
                            <a:ext cx="2826000" cy="3470400"/>
                          </a:xfrm>
                          <a:prstGeom prst="rect">
                            <a:avLst/>
                          </a:prstGeom>
                          <a:noFill/>
                          <a:ln w="9525">
                            <a:noFill/>
                            <a:headEnd/>
                            <a:tailEnd/>
                          </a:ln>
                        </pic:spPr>
                      </pic:pic>
                    </a:graphicData>
                  </a:graphic>
                </wp:inline>
              </w:drawing>
            </w:r>
          </w:p>
        </w:tc>
        <w:tc>
          <w:tcPr>
            <w:tcW w:w="4593" w:type="dxa"/>
          </w:tcPr>
          <w:p w14:paraId="6310B3B6" w14:textId="77777777" w:rsidR="00EB1E11" w:rsidRDefault="00EB1E11" w:rsidP="00E9281F">
            <w:r>
              <w:rPr>
                <w:noProof/>
              </w:rPr>
              <w:drawing>
                <wp:inline distT="0" distB="0" distL="0" distR="0" wp14:anchorId="7D01F5B2" wp14:editId="4F3B9C8F">
                  <wp:extent cx="2790000" cy="3488400"/>
                  <wp:effectExtent l="0" t="0" r="0" b="0"/>
                  <wp:docPr id="22" name="Picture" descr="Figure 22: Size frequency distributions for the Marlo SMU from 2013 to 2019.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75-1.png"/>
                          <pic:cNvPicPr>
                            <a:picLocks noChangeAspect="1" noChangeArrowheads="1"/>
                          </pic:cNvPicPr>
                        </pic:nvPicPr>
                        <pic:blipFill>
                          <a:blip r:embed="rId75"/>
                          <a:stretch>
                            <a:fillRect/>
                          </a:stretch>
                        </pic:blipFill>
                        <pic:spPr bwMode="auto">
                          <a:xfrm>
                            <a:off x="0" y="0"/>
                            <a:ext cx="2790000" cy="3488400"/>
                          </a:xfrm>
                          <a:prstGeom prst="rect">
                            <a:avLst/>
                          </a:prstGeom>
                          <a:noFill/>
                          <a:ln w="9525">
                            <a:noFill/>
                            <a:headEnd/>
                            <a:tailEnd/>
                          </a:ln>
                        </pic:spPr>
                      </pic:pic>
                    </a:graphicData>
                  </a:graphic>
                </wp:inline>
              </w:drawing>
            </w:r>
          </w:p>
        </w:tc>
      </w:tr>
      <w:tr w:rsidR="00EB1E11" w14:paraId="1A17DEFE" w14:textId="77777777" w:rsidTr="00EB1E11">
        <w:tc>
          <w:tcPr>
            <w:tcW w:w="9242" w:type="dxa"/>
            <w:gridSpan w:val="2"/>
          </w:tcPr>
          <w:p w14:paraId="172C5079" w14:textId="77777777" w:rsidR="00EB1E11" w:rsidRDefault="00EB1E11" w:rsidP="00E9281F">
            <w:pPr>
              <w:jc w:val="center"/>
              <w:rPr>
                <w:noProof/>
              </w:rPr>
            </w:pPr>
            <w:r>
              <w:rPr>
                <w:noProof/>
              </w:rPr>
              <w:t>(B)</w:t>
            </w:r>
          </w:p>
        </w:tc>
      </w:tr>
      <w:tr w:rsidR="00EB1E11" w14:paraId="36BD7D55" w14:textId="77777777" w:rsidTr="00EB1E11">
        <w:tc>
          <w:tcPr>
            <w:tcW w:w="4649" w:type="dxa"/>
          </w:tcPr>
          <w:p w14:paraId="20D2701F" w14:textId="77777777" w:rsidR="00EB1E11" w:rsidRDefault="00EB1E11" w:rsidP="00E9281F">
            <w:r>
              <w:rPr>
                <w:noProof/>
              </w:rPr>
              <w:drawing>
                <wp:inline distT="0" distB="0" distL="0" distR="0" wp14:anchorId="3CF1ED32" wp14:editId="28256970">
                  <wp:extent cx="2790000" cy="3488400"/>
                  <wp:effectExtent l="0" t="0" r="0" b="0"/>
                  <wp:docPr id="110" name="Picture" descr="Figure 21: Size frequency distributions for the four sites located within the Marlo SMU which contribute to the Top 15 sites used for standardization across the zone, 2005 to 2012. Black bark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descr="@parent.Eastern_files/figure-docx/size.freq.hist.part1-94-1.png"/>
                          <pic:cNvPicPr>
                            <a:picLocks noChangeAspect="1" noChangeArrowheads="1"/>
                          </pic:cNvPicPr>
                        </pic:nvPicPr>
                        <pic:blipFill>
                          <a:blip r:embed="rId76"/>
                          <a:stretch>
                            <a:fillRect/>
                          </a:stretch>
                        </pic:blipFill>
                        <pic:spPr bwMode="auto">
                          <a:xfrm>
                            <a:off x="0" y="0"/>
                            <a:ext cx="2790000" cy="3488400"/>
                          </a:xfrm>
                          <a:prstGeom prst="rect">
                            <a:avLst/>
                          </a:prstGeom>
                          <a:noFill/>
                          <a:ln w="9525">
                            <a:noFill/>
                            <a:headEnd/>
                            <a:tailEnd/>
                          </a:ln>
                        </pic:spPr>
                      </pic:pic>
                    </a:graphicData>
                  </a:graphic>
                </wp:inline>
              </w:drawing>
            </w:r>
          </w:p>
        </w:tc>
        <w:tc>
          <w:tcPr>
            <w:tcW w:w="4593" w:type="dxa"/>
          </w:tcPr>
          <w:p w14:paraId="4424116E" w14:textId="77777777" w:rsidR="00EB1E11" w:rsidRDefault="00EB1E11" w:rsidP="00E9281F">
            <w:r>
              <w:rPr>
                <w:noProof/>
              </w:rPr>
              <w:drawing>
                <wp:inline distT="0" distB="0" distL="0" distR="0" wp14:anchorId="3E4AB219" wp14:editId="529F3CB4">
                  <wp:extent cx="2790000" cy="3488400"/>
                  <wp:effectExtent l="0" t="0" r="0" b="0"/>
                  <wp:docPr id="113" name="Picture" descr="Figure 22: Size frequency distributions for the four sites located within the Marlo SMU which contribute to the Top 15 sites used for standardization across the zone, 2013 to 2023.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descr="@parent.Eastern_files/figure-docx/size.freq.hist.part2-95-1.png"/>
                          <pic:cNvPicPr>
                            <a:picLocks noChangeAspect="1" noChangeArrowheads="1"/>
                          </pic:cNvPicPr>
                        </pic:nvPicPr>
                        <pic:blipFill>
                          <a:blip r:embed="rId77"/>
                          <a:stretch>
                            <a:fillRect/>
                          </a:stretch>
                        </pic:blipFill>
                        <pic:spPr bwMode="auto">
                          <a:xfrm>
                            <a:off x="0" y="0"/>
                            <a:ext cx="2790000" cy="3488400"/>
                          </a:xfrm>
                          <a:prstGeom prst="rect">
                            <a:avLst/>
                          </a:prstGeom>
                          <a:noFill/>
                          <a:ln w="9525">
                            <a:noFill/>
                            <a:headEnd/>
                            <a:tailEnd/>
                          </a:ln>
                        </pic:spPr>
                      </pic:pic>
                    </a:graphicData>
                  </a:graphic>
                </wp:inline>
              </w:drawing>
            </w:r>
          </w:p>
        </w:tc>
      </w:tr>
      <w:tr w:rsidR="00EB1E11" w14:paraId="24EF2920" w14:textId="77777777" w:rsidTr="00EB1E11">
        <w:tc>
          <w:tcPr>
            <w:tcW w:w="9218" w:type="dxa"/>
            <w:gridSpan w:val="2"/>
          </w:tcPr>
          <w:p w14:paraId="704512CD" w14:textId="7B34A81B" w:rsidR="00EB1E11" w:rsidRDefault="00EB1E11" w:rsidP="00E9281F">
            <w:pPr>
              <w:pStyle w:val="Caption"/>
            </w:pPr>
            <w:bookmarkStart w:id="229" w:name="_Toc149571913"/>
            <w:bookmarkStart w:id="230" w:name="_Toc182219840"/>
            <w:r>
              <w:t>Size frequency distributions for the Mallacoota Central SMU from (A) 2003 to 2021 for all sites and (B) from 2003 to 2023 for the three Top 15 sites. Black bars represent undersize abalone, grey bars represent (current) legal size abalone.</w:t>
            </w:r>
            <w:r w:rsidRPr="00570ACF">
              <w:t xml:space="preserve"> </w:t>
            </w:r>
            <w:r>
              <w:t>FIS data were not collected in 2022.</w:t>
            </w:r>
            <w:bookmarkEnd w:id="229"/>
            <w:bookmarkEnd w:id="230"/>
          </w:p>
        </w:tc>
      </w:tr>
      <w:tr w:rsidR="00EB1E11" w14:paraId="363752BB" w14:textId="77777777" w:rsidTr="00EB1E11">
        <w:tc>
          <w:tcPr>
            <w:tcW w:w="9218" w:type="dxa"/>
            <w:gridSpan w:val="2"/>
          </w:tcPr>
          <w:p w14:paraId="060984C6" w14:textId="77777777" w:rsidR="00EB1E11" w:rsidRDefault="00EB1E11" w:rsidP="00E9281F">
            <w:pPr>
              <w:jc w:val="center"/>
              <w:rPr>
                <w:noProof/>
              </w:rPr>
            </w:pPr>
            <w:r>
              <w:rPr>
                <w:noProof/>
              </w:rPr>
              <w:t>(A)</w:t>
            </w:r>
          </w:p>
        </w:tc>
      </w:tr>
      <w:tr w:rsidR="00EB1E11" w14:paraId="1F744ACF" w14:textId="77777777" w:rsidTr="00EB1E11">
        <w:tc>
          <w:tcPr>
            <w:tcW w:w="4609" w:type="dxa"/>
          </w:tcPr>
          <w:p w14:paraId="036DAF9F" w14:textId="77777777" w:rsidR="00EB1E11" w:rsidRDefault="00EB1E11" w:rsidP="00E9281F">
            <w:r>
              <w:rPr>
                <w:noProof/>
              </w:rPr>
              <w:drawing>
                <wp:inline distT="0" distB="0" distL="0" distR="0" wp14:anchorId="41E89424" wp14:editId="1287FF40">
                  <wp:extent cx="2790000" cy="3488400"/>
                  <wp:effectExtent l="0" t="0" r="0" b="0"/>
                  <wp:docPr id="14" name="Picture" descr="Figure 14: Size frequency distributions for the Mallacoota Central SMU from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59-1.png"/>
                          <pic:cNvPicPr>
                            <a:picLocks noChangeAspect="1" noChangeArrowheads="1"/>
                          </pic:cNvPicPr>
                        </pic:nvPicPr>
                        <pic:blipFill>
                          <a:blip r:embed="rId78"/>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21F71884" w14:textId="77777777" w:rsidR="00EB1E11" w:rsidRDefault="00EB1E11" w:rsidP="00E9281F">
            <w:r>
              <w:rPr>
                <w:noProof/>
              </w:rPr>
              <w:drawing>
                <wp:inline distT="0" distB="0" distL="0" distR="0" wp14:anchorId="0657E962" wp14:editId="75A111BD">
                  <wp:extent cx="2790000" cy="3416400"/>
                  <wp:effectExtent l="0" t="0" r="0" b="0"/>
                  <wp:docPr id="15" name="Picture" descr="Figure 15: Size frequency distributions for the Mallacoota Central SMU from 2011 to 2019.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60-1.png"/>
                          <pic:cNvPicPr>
                            <a:picLocks noChangeAspect="1" noChangeArrowheads="1"/>
                          </pic:cNvPicPr>
                        </pic:nvPicPr>
                        <pic:blipFill rotWithShape="1">
                          <a:blip r:embed="rId79"/>
                          <a:srcRect b="2084"/>
                          <a:stretch/>
                        </pic:blipFill>
                        <pic:spPr bwMode="auto">
                          <a:xfrm>
                            <a:off x="0" y="0"/>
                            <a:ext cx="2790000" cy="3416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1E11" w14:paraId="3CEC3221" w14:textId="77777777" w:rsidTr="00EB1E11">
        <w:tc>
          <w:tcPr>
            <w:tcW w:w="9218" w:type="dxa"/>
            <w:gridSpan w:val="2"/>
          </w:tcPr>
          <w:p w14:paraId="4B66AC48" w14:textId="77777777" w:rsidR="00EB1E11" w:rsidRDefault="00EB1E11" w:rsidP="00E9281F">
            <w:pPr>
              <w:jc w:val="center"/>
              <w:rPr>
                <w:noProof/>
              </w:rPr>
            </w:pPr>
            <w:r>
              <w:rPr>
                <w:noProof/>
              </w:rPr>
              <w:t>(B)</w:t>
            </w:r>
          </w:p>
        </w:tc>
      </w:tr>
      <w:tr w:rsidR="00EB1E11" w14:paraId="7119E4A6" w14:textId="77777777" w:rsidTr="00EB1E11">
        <w:tc>
          <w:tcPr>
            <w:tcW w:w="4609" w:type="dxa"/>
          </w:tcPr>
          <w:p w14:paraId="4C4BEC03" w14:textId="77777777" w:rsidR="00EB1E11" w:rsidRDefault="00EB1E11" w:rsidP="00E9281F">
            <w:r>
              <w:rPr>
                <w:noProof/>
              </w:rPr>
              <w:drawing>
                <wp:inline distT="0" distB="0" distL="0" distR="0" wp14:anchorId="3F328841" wp14:editId="10A2048D">
                  <wp:extent cx="2790000" cy="3488400"/>
                  <wp:effectExtent l="0" t="0" r="0" b="0"/>
                  <wp:docPr id="787590409" name="Picture 787590409" descr="Figure 14: Size frequency distributions for the three sites located within the Mallacoota Central SMU which contribute to the Top 15 sites used for standardization across the zone, 2003 to 2012.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descr="@parent.Eastern_files/figure-docx/size.freq.hist.part1-77-1.png"/>
                          <pic:cNvPicPr>
                            <a:picLocks noChangeAspect="1" noChangeArrowheads="1"/>
                          </pic:cNvPicPr>
                        </pic:nvPicPr>
                        <pic:blipFill>
                          <a:blip r:embed="rId80"/>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17AA08A2" w14:textId="77777777" w:rsidR="00EB1E11" w:rsidRDefault="00EB1E11" w:rsidP="00E9281F">
            <w:r>
              <w:rPr>
                <w:noProof/>
              </w:rPr>
              <w:drawing>
                <wp:inline distT="0" distB="0" distL="0" distR="0" wp14:anchorId="32954E05" wp14:editId="24DEE385">
                  <wp:extent cx="2790000" cy="3488400"/>
                  <wp:effectExtent l="0" t="0" r="0" b="0"/>
                  <wp:docPr id="1136706455" name="Picture 1136706455" descr="Figure 15: Size frequency distributions for the three sites located within the Mallacoota Central SMU which contribute to the Top 15 sites used for standardization across the zone, 2013 to 2023.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descr="@parent.Eastern_files/figure-docx/size.freq.hist.part2-78-1.png"/>
                          <pic:cNvPicPr>
                            <a:picLocks noChangeAspect="1" noChangeArrowheads="1"/>
                          </pic:cNvPicPr>
                        </pic:nvPicPr>
                        <pic:blipFill>
                          <a:blip r:embed="rId81"/>
                          <a:stretch>
                            <a:fillRect/>
                          </a:stretch>
                        </pic:blipFill>
                        <pic:spPr bwMode="auto">
                          <a:xfrm>
                            <a:off x="0" y="0"/>
                            <a:ext cx="2790000" cy="3488400"/>
                          </a:xfrm>
                          <a:prstGeom prst="rect">
                            <a:avLst/>
                          </a:prstGeom>
                          <a:noFill/>
                          <a:ln w="9525">
                            <a:noFill/>
                            <a:headEnd/>
                            <a:tailEnd/>
                          </a:ln>
                        </pic:spPr>
                      </pic:pic>
                    </a:graphicData>
                  </a:graphic>
                </wp:inline>
              </w:drawing>
            </w:r>
          </w:p>
        </w:tc>
      </w:tr>
    </w:tbl>
    <w:p w14:paraId="09659E2F" w14:textId="77777777" w:rsidR="00EB1E11" w:rsidRDefault="00EB1E11" w:rsidP="00EB1E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B1E11" w14:paraId="70C65F9A" w14:textId="77777777" w:rsidTr="00EB1E11">
        <w:tc>
          <w:tcPr>
            <w:tcW w:w="9218" w:type="dxa"/>
            <w:gridSpan w:val="2"/>
          </w:tcPr>
          <w:p w14:paraId="25FCDD66" w14:textId="6958C928" w:rsidR="00EB1E11" w:rsidRDefault="00EB1E11" w:rsidP="00E9281F">
            <w:pPr>
              <w:pStyle w:val="Caption"/>
            </w:pPr>
            <w:bookmarkStart w:id="231" w:name="_Toc149571914"/>
            <w:bookmarkStart w:id="232" w:name="_Toc182219841"/>
            <w:r>
              <w:t>Size frequency distributions for the Mallacoota East SMU from (A) 2003 to 2021 for all sites and (B) from 2003 to 2023 for the two Top 15 sites. Black bars represent undersize abalone, grey bars represent (current) legal size abalone.</w:t>
            </w:r>
            <w:r w:rsidRPr="00570ACF">
              <w:t xml:space="preserve"> </w:t>
            </w:r>
            <w:r>
              <w:t>FIS data were not collected in 2022.</w:t>
            </w:r>
            <w:bookmarkEnd w:id="231"/>
            <w:bookmarkEnd w:id="232"/>
          </w:p>
        </w:tc>
      </w:tr>
      <w:tr w:rsidR="00EB1E11" w14:paraId="33067EC2" w14:textId="77777777" w:rsidTr="00EB1E11">
        <w:tc>
          <w:tcPr>
            <w:tcW w:w="9218" w:type="dxa"/>
            <w:gridSpan w:val="2"/>
          </w:tcPr>
          <w:p w14:paraId="054E9714" w14:textId="77777777" w:rsidR="00EB1E11" w:rsidRDefault="00EB1E11" w:rsidP="00E9281F">
            <w:pPr>
              <w:jc w:val="center"/>
              <w:rPr>
                <w:noProof/>
              </w:rPr>
            </w:pPr>
            <w:r>
              <w:rPr>
                <w:noProof/>
              </w:rPr>
              <w:t>(A)</w:t>
            </w:r>
          </w:p>
        </w:tc>
      </w:tr>
      <w:tr w:rsidR="00EB1E11" w14:paraId="1C05C7C3" w14:textId="77777777" w:rsidTr="00EB1E11">
        <w:tc>
          <w:tcPr>
            <w:tcW w:w="4609" w:type="dxa"/>
          </w:tcPr>
          <w:p w14:paraId="1B399D90" w14:textId="77777777" w:rsidR="00EB1E11" w:rsidRDefault="00EB1E11" w:rsidP="00E9281F">
            <w:r>
              <w:rPr>
                <w:noProof/>
              </w:rPr>
              <w:drawing>
                <wp:inline distT="0" distB="0" distL="0" distR="0" wp14:anchorId="15CB26A8" wp14:editId="2D96BD7E">
                  <wp:extent cx="2790000" cy="3488400"/>
                  <wp:effectExtent l="0" t="0" r="0" b="0"/>
                  <wp:docPr id="34" name="Picture" descr="Figure 34: Size frequency distributions for the Mallacoota East SMU from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103-1.png"/>
                          <pic:cNvPicPr>
                            <a:picLocks noChangeAspect="1" noChangeArrowheads="1"/>
                          </pic:cNvPicPr>
                        </pic:nvPicPr>
                        <pic:blipFill>
                          <a:blip r:embed="rId82"/>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0C5E62ED" w14:textId="77777777" w:rsidR="00EB1E11" w:rsidRDefault="00EB1E11" w:rsidP="00E9281F">
            <w:r>
              <w:rPr>
                <w:noProof/>
              </w:rPr>
              <w:drawing>
                <wp:inline distT="0" distB="0" distL="0" distR="0" wp14:anchorId="0AF06909" wp14:editId="43FA4514">
                  <wp:extent cx="2790000" cy="3488400"/>
                  <wp:effectExtent l="0" t="0" r="0" b="0"/>
                  <wp:docPr id="35" name="Picture" descr="Figure 35: Size frequency distributions for the Mallacoota East SMU from 2011 to 2019.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104-1.png"/>
                          <pic:cNvPicPr>
                            <a:picLocks noChangeAspect="1" noChangeArrowheads="1"/>
                          </pic:cNvPicPr>
                        </pic:nvPicPr>
                        <pic:blipFill>
                          <a:blip r:embed="rId83"/>
                          <a:stretch>
                            <a:fillRect/>
                          </a:stretch>
                        </pic:blipFill>
                        <pic:spPr bwMode="auto">
                          <a:xfrm>
                            <a:off x="0" y="0"/>
                            <a:ext cx="2790000" cy="3488400"/>
                          </a:xfrm>
                          <a:prstGeom prst="rect">
                            <a:avLst/>
                          </a:prstGeom>
                          <a:noFill/>
                          <a:ln w="9525">
                            <a:noFill/>
                            <a:headEnd/>
                            <a:tailEnd/>
                          </a:ln>
                        </pic:spPr>
                      </pic:pic>
                    </a:graphicData>
                  </a:graphic>
                </wp:inline>
              </w:drawing>
            </w:r>
          </w:p>
        </w:tc>
      </w:tr>
      <w:tr w:rsidR="00EB1E11" w14:paraId="6FC4709D" w14:textId="77777777" w:rsidTr="00EB1E11">
        <w:tc>
          <w:tcPr>
            <w:tcW w:w="9218" w:type="dxa"/>
            <w:gridSpan w:val="2"/>
          </w:tcPr>
          <w:p w14:paraId="24CD3705" w14:textId="77777777" w:rsidR="00EB1E11" w:rsidRDefault="00EB1E11" w:rsidP="00E9281F">
            <w:pPr>
              <w:jc w:val="center"/>
              <w:rPr>
                <w:noProof/>
              </w:rPr>
            </w:pPr>
            <w:r>
              <w:rPr>
                <w:noProof/>
              </w:rPr>
              <w:t>(B)</w:t>
            </w:r>
          </w:p>
        </w:tc>
      </w:tr>
      <w:tr w:rsidR="00EB1E11" w14:paraId="4D3F9139" w14:textId="77777777" w:rsidTr="00EB1E11">
        <w:tc>
          <w:tcPr>
            <w:tcW w:w="4609" w:type="dxa"/>
          </w:tcPr>
          <w:p w14:paraId="5E2120E8" w14:textId="77777777" w:rsidR="00EB1E11" w:rsidRDefault="00EB1E11" w:rsidP="00E9281F">
            <w:r>
              <w:rPr>
                <w:noProof/>
              </w:rPr>
              <w:drawing>
                <wp:inline distT="0" distB="0" distL="0" distR="0" wp14:anchorId="7338DCB1" wp14:editId="677756A1">
                  <wp:extent cx="2790000" cy="3488400"/>
                  <wp:effectExtent l="0" t="0" r="0" b="0"/>
                  <wp:docPr id="164" name="Picture" descr="Figure 34: Size frequency distributions for the two sites located within the Mallacoota East SMU which contribute to the Top 15 sites used for standardization across the zone,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descr="@parent.Eastern_files/figure-docx/size.freq.hist.part1-127-1.png"/>
                          <pic:cNvPicPr>
                            <a:picLocks noChangeAspect="1" noChangeArrowheads="1"/>
                          </pic:cNvPicPr>
                        </pic:nvPicPr>
                        <pic:blipFill>
                          <a:blip r:embed="rId84"/>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37F85772" w14:textId="77777777" w:rsidR="00EB1E11" w:rsidRDefault="00EB1E11" w:rsidP="00E9281F">
            <w:r>
              <w:rPr>
                <w:noProof/>
              </w:rPr>
              <w:drawing>
                <wp:inline distT="0" distB="0" distL="0" distR="0" wp14:anchorId="684340B8" wp14:editId="7716B1B3">
                  <wp:extent cx="2790000" cy="3488400"/>
                  <wp:effectExtent l="0" t="0" r="0" b="0"/>
                  <wp:docPr id="167" name="Picture" descr="Figure 35: Size frequency distributions for the two sites located within the Mallacoota East SMU which contribute to the Top 15 sites used for standardization across the zone, 2011 to 2023.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descr="@parent.Eastern_files/figure-docx/size.freq.hist.part2-128-1.png"/>
                          <pic:cNvPicPr>
                            <a:picLocks noChangeAspect="1" noChangeArrowheads="1"/>
                          </pic:cNvPicPr>
                        </pic:nvPicPr>
                        <pic:blipFill>
                          <a:blip r:embed="rId85"/>
                          <a:stretch>
                            <a:fillRect/>
                          </a:stretch>
                        </pic:blipFill>
                        <pic:spPr bwMode="auto">
                          <a:xfrm>
                            <a:off x="0" y="0"/>
                            <a:ext cx="2790000" cy="3488400"/>
                          </a:xfrm>
                          <a:prstGeom prst="rect">
                            <a:avLst/>
                          </a:prstGeom>
                          <a:noFill/>
                          <a:ln w="9525">
                            <a:noFill/>
                            <a:headEnd/>
                            <a:tailEnd/>
                          </a:ln>
                        </pic:spPr>
                      </pic:pic>
                    </a:graphicData>
                  </a:graphic>
                </wp:inline>
              </w:drawing>
            </w:r>
          </w:p>
        </w:tc>
      </w:tr>
    </w:tbl>
    <w:p w14:paraId="1AB30543" w14:textId="77777777" w:rsidR="00EB1E11" w:rsidRDefault="00EB1E11" w:rsidP="00EB1E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B1E11" w14:paraId="2AE29215" w14:textId="77777777" w:rsidTr="00EB1E11">
        <w:tc>
          <w:tcPr>
            <w:tcW w:w="9218" w:type="dxa"/>
            <w:gridSpan w:val="2"/>
          </w:tcPr>
          <w:p w14:paraId="2EB9D9BA" w14:textId="6EA92A57" w:rsidR="00EB1E11" w:rsidRDefault="00EB1E11" w:rsidP="00E9281F">
            <w:pPr>
              <w:pStyle w:val="Caption"/>
            </w:pPr>
            <w:bookmarkStart w:id="233" w:name="_Toc149571915"/>
            <w:bookmarkStart w:id="234" w:name="_Toc182219842"/>
            <w:r>
              <w:t>Size frequency distributions for the Mallacoota West SMU from (A) 2003 to 2021 for all sites and (B) from 2003 to 2023 for the two Top 15 sites. Black bars represent undersize abalone, grey bars represent (current) legal size abalone.</w:t>
            </w:r>
            <w:r w:rsidRPr="00570ACF">
              <w:t xml:space="preserve"> </w:t>
            </w:r>
            <w:r>
              <w:t>FIS data were not collected in 2022.</w:t>
            </w:r>
            <w:bookmarkEnd w:id="233"/>
            <w:bookmarkEnd w:id="234"/>
          </w:p>
        </w:tc>
      </w:tr>
      <w:tr w:rsidR="00EB1E11" w14:paraId="2DAB26F6" w14:textId="77777777" w:rsidTr="00EB1E11">
        <w:tc>
          <w:tcPr>
            <w:tcW w:w="9218" w:type="dxa"/>
            <w:gridSpan w:val="2"/>
          </w:tcPr>
          <w:p w14:paraId="510AFD7B" w14:textId="77777777" w:rsidR="00EB1E11" w:rsidRDefault="00EB1E11" w:rsidP="00E9281F">
            <w:pPr>
              <w:jc w:val="center"/>
              <w:rPr>
                <w:noProof/>
              </w:rPr>
            </w:pPr>
            <w:r>
              <w:rPr>
                <w:noProof/>
              </w:rPr>
              <w:t>(A)</w:t>
            </w:r>
          </w:p>
        </w:tc>
      </w:tr>
      <w:tr w:rsidR="00EB1E11" w14:paraId="419FB6A1" w14:textId="77777777" w:rsidTr="00EB1E11">
        <w:tc>
          <w:tcPr>
            <w:tcW w:w="4609" w:type="dxa"/>
          </w:tcPr>
          <w:p w14:paraId="1A026597" w14:textId="77777777" w:rsidR="00EB1E11" w:rsidRDefault="00EB1E11" w:rsidP="00E9281F">
            <w:r>
              <w:rPr>
                <w:noProof/>
              </w:rPr>
              <w:drawing>
                <wp:inline distT="0" distB="0" distL="0" distR="0" wp14:anchorId="3CAC1E95" wp14:editId="321E0C07">
                  <wp:extent cx="2790000" cy="3488400"/>
                  <wp:effectExtent l="0" t="0" r="0" b="0"/>
                  <wp:docPr id="28" name="Picture" descr="Figure 28: Size frequency distributions for the Mallacoota West SMU from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89-1.png"/>
                          <pic:cNvPicPr>
                            <a:picLocks noChangeAspect="1" noChangeArrowheads="1"/>
                          </pic:cNvPicPr>
                        </pic:nvPicPr>
                        <pic:blipFill>
                          <a:blip r:embed="rId86"/>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69000A80" w14:textId="77777777" w:rsidR="00EB1E11" w:rsidRDefault="00EB1E11" w:rsidP="00E9281F">
            <w:r>
              <w:rPr>
                <w:noProof/>
              </w:rPr>
              <w:drawing>
                <wp:inline distT="0" distB="0" distL="0" distR="0" wp14:anchorId="45C03079" wp14:editId="79107A2E">
                  <wp:extent cx="2790000" cy="3488400"/>
                  <wp:effectExtent l="0" t="0" r="0" b="0"/>
                  <wp:docPr id="29" name="Picture" descr="Figure 29: Size frequency distributions for the Mallacoota West SMU from 2011 to 2019.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90-1.png"/>
                          <pic:cNvPicPr>
                            <a:picLocks noChangeAspect="1" noChangeArrowheads="1"/>
                          </pic:cNvPicPr>
                        </pic:nvPicPr>
                        <pic:blipFill>
                          <a:blip r:embed="rId87"/>
                          <a:stretch>
                            <a:fillRect/>
                          </a:stretch>
                        </pic:blipFill>
                        <pic:spPr bwMode="auto">
                          <a:xfrm>
                            <a:off x="0" y="0"/>
                            <a:ext cx="2790000" cy="3488400"/>
                          </a:xfrm>
                          <a:prstGeom prst="rect">
                            <a:avLst/>
                          </a:prstGeom>
                          <a:noFill/>
                          <a:ln w="9525">
                            <a:noFill/>
                            <a:headEnd/>
                            <a:tailEnd/>
                          </a:ln>
                        </pic:spPr>
                      </pic:pic>
                    </a:graphicData>
                  </a:graphic>
                </wp:inline>
              </w:drawing>
            </w:r>
          </w:p>
        </w:tc>
      </w:tr>
      <w:tr w:rsidR="00EB1E11" w14:paraId="2BF85C41" w14:textId="77777777" w:rsidTr="00EB1E11">
        <w:tc>
          <w:tcPr>
            <w:tcW w:w="9218" w:type="dxa"/>
            <w:gridSpan w:val="2"/>
          </w:tcPr>
          <w:p w14:paraId="272E0812" w14:textId="77777777" w:rsidR="00EB1E11" w:rsidRDefault="00EB1E11" w:rsidP="00E9281F">
            <w:pPr>
              <w:jc w:val="center"/>
              <w:rPr>
                <w:noProof/>
              </w:rPr>
            </w:pPr>
            <w:r>
              <w:rPr>
                <w:noProof/>
              </w:rPr>
              <w:t>(B)</w:t>
            </w:r>
          </w:p>
        </w:tc>
      </w:tr>
      <w:tr w:rsidR="00EB1E11" w14:paraId="1EE96848" w14:textId="77777777" w:rsidTr="00EB1E11">
        <w:tc>
          <w:tcPr>
            <w:tcW w:w="4609" w:type="dxa"/>
          </w:tcPr>
          <w:p w14:paraId="71F7E88D" w14:textId="77777777" w:rsidR="00EB1E11" w:rsidRDefault="00EB1E11" w:rsidP="00E9281F">
            <w:r>
              <w:rPr>
                <w:noProof/>
              </w:rPr>
              <w:drawing>
                <wp:inline distT="0" distB="0" distL="0" distR="0" wp14:anchorId="082C29F4" wp14:editId="21523735">
                  <wp:extent cx="2790000" cy="3488400"/>
                  <wp:effectExtent l="0" t="0" r="0" b="0"/>
                  <wp:docPr id="139" name="Picture" descr="Figure 28: Size frequency distributions for the two sites located within the Mallacoota West SMU which contribute to the Top 15 sites used for standardization across the zone, 2003 to 2012.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descr="@parent.Eastern_files/figure-docx/size.freq.hist.part1-111-1.png"/>
                          <pic:cNvPicPr>
                            <a:picLocks noChangeAspect="1" noChangeArrowheads="1"/>
                          </pic:cNvPicPr>
                        </pic:nvPicPr>
                        <pic:blipFill>
                          <a:blip r:embed="rId88"/>
                          <a:stretch>
                            <a:fillRect/>
                          </a:stretch>
                        </pic:blipFill>
                        <pic:spPr bwMode="auto">
                          <a:xfrm>
                            <a:off x="0" y="0"/>
                            <a:ext cx="2790000" cy="3488400"/>
                          </a:xfrm>
                          <a:prstGeom prst="rect">
                            <a:avLst/>
                          </a:prstGeom>
                          <a:noFill/>
                          <a:ln w="9525">
                            <a:noFill/>
                            <a:headEnd/>
                            <a:tailEnd/>
                          </a:ln>
                        </pic:spPr>
                      </pic:pic>
                    </a:graphicData>
                  </a:graphic>
                </wp:inline>
              </w:drawing>
            </w:r>
          </w:p>
        </w:tc>
        <w:tc>
          <w:tcPr>
            <w:tcW w:w="4609" w:type="dxa"/>
          </w:tcPr>
          <w:p w14:paraId="4EA1593D" w14:textId="77777777" w:rsidR="00EB1E11" w:rsidRDefault="00EB1E11" w:rsidP="00E9281F">
            <w:r>
              <w:rPr>
                <w:noProof/>
              </w:rPr>
              <w:drawing>
                <wp:inline distT="0" distB="0" distL="0" distR="0" wp14:anchorId="6A1C9D41" wp14:editId="66C9BEDF">
                  <wp:extent cx="2790000" cy="3488400"/>
                  <wp:effectExtent l="0" t="0" r="0" b="0"/>
                  <wp:docPr id="142" name="Picture" descr="Figure 29: Size frequency distributions for the two sites located within the Mallacoota West SMU which contribute to the Top 15 sites used for standardization across the zone, 2013 to 2023.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descr="@parent.Eastern_files/figure-docx/size.freq.hist.part2-112-1.png"/>
                          <pic:cNvPicPr>
                            <a:picLocks noChangeAspect="1" noChangeArrowheads="1"/>
                          </pic:cNvPicPr>
                        </pic:nvPicPr>
                        <pic:blipFill>
                          <a:blip r:embed="rId89"/>
                          <a:stretch>
                            <a:fillRect/>
                          </a:stretch>
                        </pic:blipFill>
                        <pic:spPr bwMode="auto">
                          <a:xfrm>
                            <a:off x="0" y="0"/>
                            <a:ext cx="2790000" cy="3488400"/>
                          </a:xfrm>
                          <a:prstGeom prst="rect">
                            <a:avLst/>
                          </a:prstGeom>
                          <a:noFill/>
                          <a:ln w="9525">
                            <a:noFill/>
                            <a:headEnd/>
                            <a:tailEnd/>
                          </a:ln>
                        </pic:spPr>
                      </pic:pic>
                    </a:graphicData>
                  </a:graphic>
                </wp:inline>
              </w:drawing>
            </w:r>
          </w:p>
        </w:tc>
      </w:tr>
    </w:tbl>
    <w:p w14:paraId="7B5253F1" w14:textId="77777777" w:rsidR="00EB1E11" w:rsidRDefault="00EB1E11" w:rsidP="00EB1E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19"/>
      </w:tblGrid>
      <w:tr w:rsidR="00EB1E11" w14:paraId="77A7DE5C" w14:textId="77777777" w:rsidTr="00EB1E11">
        <w:tc>
          <w:tcPr>
            <w:tcW w:w="9205" w:type="dxa"/>
            <w:gridSpan w:val="2"/>
          </w:tcPr>
          <w:p w14:paraId="4B3CD443" w14:textId="0E20E16A" w:rsidR="00EB1E11" w:rsidRDefault="00EB1E11" w:rsidP="00E9281F">
            <w:pPr>
              <w:pStyle w:val="Caption"/>
            </w:pPr>
            <w:bookmarkStart w:id="235" w:name="_Toc149571916"/>
            <w:bookmarkStart w:id="236" w:name="_Toc182219843"/>
            <w:r>
              <w:t>Size frequency distributions for the Mallacoota Large SMU from 2003 to 2021 for all sites There were no Top 15 sites done in the Mallacoota Large SMU in 2023. Black bars represent undersize abalone, grey bars represent (current) legal size abalone.</w:t>
            </w:r>
            <w:r w:rsidRPr="00570ACF">
              <w:t xml:space="preserve"> </w:t>
            </w:r>
            <w:r>
              <w:t>FIS data were not collected in 2022.</w:t>
            </w:r>
            <w:bookmarkEnd w:id="235"/>
            <w:bookmarkEnd w:id="236"/>
          </w:p>
        </w:tc>
      </w:tr>
      <w:tr w:rsidR="00EB1E11" w14:paraId="715D9F63" w14:textId="77777777" w:rsidTr="00EB1E11">
        <w:tc>
          <w:tcPr>
            <w:tcW w:w="9205" w:type="dxa"/>
            <w:gridSpan w:val="2"/>
          </w:tcPr>
          <w:p w14:paraId="7E0A6F52" w14:textId="77777777" w:rsidR="00EB1E11" w:rsidRDefault="00EB1E11" w:rsidP="00E9281F">
            <w:pPr>
              <w:jc w:val="center"/>
              <w:rPr>
                <w:noProof/>
              </w:rPr>
            </w:pPr>
            <w:r>
              <w:rPr>
                <w:noProof/>
              </w:rPr>
              <w:t>(A)</w:t>
            </w:r>
          </w:p>
        </w:tc>
      </w:tr>
      <w:tr w:rsidR="00EB1E11" w14:paraId="54D50CCF" w14:textId="77777777" w:rsidTr="00EB1E11">
        <w:tc>
          <w:tcPr>
            <w:tcW w:w="4596" w:type="dxa"/>
          </w:tcPr>
          <w:p w14:paraId="2FB889E2" w14:textId="77777777" w:rsidR="00EB1E11" w:rsidRDefault="00EB1E11" w:rsidP="00E9281F">
            <w:r>
              <w:rPr>
                <w:noProof/>
              </w:rPr>
              <w:drawing>
                <wp:inline distT="0" distB="0" distL="0" distR="0" wp14:anchorId="64AC5F4E" wp14:editId="43D11B90">
                  <wp:extent cx="2779200" cy="3391200"/>
                  <wp:effectExtent l="0" t="0" r="2540" b="0"/>
                  <wp:docPr id="40" name="Picture" descr="Figure 40: Size frequency distributions for the Mallacoota Large SMU from 2003 to 2010. Black bars represent undersize abalone, grey bars represent (voluntary) legal size abalone. Dark bars (135-139 mm) are where the size limit (138 mm) split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117-1.png"/>
                          <pic:cNvPicPr>
                            <a:picLocks noChangeAspect="1" noChangeArrowheads="1"/>
                          </pic:cNvPicPr>
                        </pic:nvPicPr>
                        <pic:blipFill rotWithShape="1">
                          <a:blip r:embed="rId90"/>
                          <a:srcRect b="2368"/>
                          <a:stretch/>
                        </pic:blipFill>
                        <pic:spPr bwMode="auto">
                          <a:xfrm>
                            <a:off x="0" y="0"/>
                            <a:ext cx="2779200" cy="339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9" w:type="dxa"/>
          </w:tcPr>
          <w:p w14:paraId="558E72C0" w14:textId="77777777" w:rsidR="00EB1E11" w:rsidRDefault="00EB1E11" w:rsidP="00E9281F">
            <w:r>
              <w:rPr>
                <w:noProof/>
              </w:rPr>
              <w:drawing>
                <wp:inline distT="0" distB="0" distL="0" distR="0" wp14:anchorId="481B3030" wp14:editId="56148936">
                  <wp:extent cx="2790000" cy="3488400"/>
                  <wp:effectExtent l="0" t="0" r="0" b="0"/>
                  <wp:docPr id="41" name="Picture" descr="Figure 41: Size frequency distributions for the Mallacoota Large SMU from 2011 to 2019. Black bars represent undersize abalone, grey bars represent (voluntary) legal size abalone. Dark bars (135-139 mm) are where the size limit (138 mm) splits the size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118-1.png"/>
                          <pic:cNvPicPr>
                            <a:picLocks noChangeAspect="1" noChangeArrowheads="1"/>
                          </pic:cNvPicPr>
                        </pic:nvPicPr>
                        <pic:blipFill>
                          <a:blip r:embed="rId91"/>
                          <a:stretch>
                            <a:fillRect/>
                          </a:stretch>
                        </pic:blipFill>
                        <pic:spPr bwMode="auto">
                          <a:xfrm>
                            <a:off x="0" y="0"/>
                            <a:ext cx="2790000" cy="3488400"/>
                          </a:xfrm>
                          <a:prstGeom prst="rect">
                            <a:avLst/>
                          </a:prstGeom>
                          <a:noFill/>
                          <a:ln w="9525">
                            <a:noFill/>
                            <a:headEnd/>
                            <a:tailEnd/>
                          </a:ln>
                        </pic:spPr>
                      </pic:pic>
                    </a:graphicData>
                  </a:graphic>
                </wp:inline>
              </w:drawing>
            </w:r>
          </w:p>
        </w:tc>
      </w:tr>
    </w:tbl>
    <w:p w14:paraId="0C5951F8" w14:textId="77777777" w:rsidR="00EB1E11" w:rsidRDefault="00EB1E11" w:rsidP="00EB1E11"/>
    <w:p w14:paraId="59AA58BB" w14:textId="77777777" w:rsidR="00EB1E11" w:rsidRDefault="00EB1E11" w:rsidP="00EB1E1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B1E11" w14:paraId="5C8110D7" w14:textId="77777777" w:rsidTr="00E9281F">
        <w:tc>
          <w:tcPr>
            <w:tcW w:w="9016" w:type="dxa"/>
            <w:gridSpan w:val="2"/>
          </w:tcPr>
          <w:p w14:paraId="771ADC44" w14:textId="0D2676DF" w:rsidR="00EB1E11" w:rsidRDefault="00EB1E11" w:rsidP="00E9281F">
            <w:pPr>
              <w:pStyle w:val="Caption"/>
            </w:pPr>
            <w:bookmarkStart w:id="237" w:name="_Toc149571917"/>
            <w:bookmarkStart w:id="238" w:name="_Toc182219844"/>
            <w:r>
              <w:t>Size frequency distributions for the Mallacoota Small SMU from (A) 2003 to 2021 for all sites and (B) from 2003 to 2023 for the two Top 15 sites. Black bars represent undersize abalone, grey bars represent (current) legal size abalone.</w:t>
            </w:r>
            <w:r w:rsidRPr="00570ACF">
              <w:t xml:space="preserve"> </w:t>
            </w:r>
            <w:r>
              <w:t>FIS data were not collected in 2022.</w:t>
            </w:r>
            <w:r w:rsidR="00A205DF">
              <w:t xml:space="preserve"> Note the scales differ slightly.</w:t>
            </w:r>
            <w:bookmarkEnd w:id="237"/>
            <w:bookmarkEnd w:id="238"/>
          </w:p>
        </w:tc>
      </w:tr>
      <w:tr w:rsidR="00EB1E11" w14:paraId="0860AE61" w14:textId="77777777" w:rsidTr="00E9281F">
        <w:tc>
          <w:tcPr>
            <w:tcW w:w="9016" w:type="dxa"/>
            <w:gridSpan w:val="2"/>
          </w:tcPr>
          <w:p w14:paraId="5E6FF6EC" w14:textId="77777777" w:rsidR="00EB1E11" w:rsidRDefault="00EB1E11" w:rsidP="00E9281F">
            <w:pPr>
              <w:jc w:val="center"/>
              <w:rPr>
                <w:noProof/>
              </w:rPr>
            </w:pPr>
            <w:r>
              <w:rPr>
                <w:noProof/>
              </w:rPr>
              <w:t>(A)</w:t>
            </w:r>
          </w:p>
        </w:tc>
      </w:tr>
      <w:tr w:rsidR="00EB1E11" w14:paraId="64BFB296" w14:textId="77777777" w:rsidTr="00E9281F">
        <w:tc>
          <w:tcPr>
            <w:tcW w:w="4508" w:type="dxa"/>
          </w:tcPr>
          <w:p w14:paraId="000E6F46" w14:textId="77777777" w:rsidR="00EB1E11" w:rsidRDefault="00EB1E11" w:rsidP="00E9281F">
            <w:r>
              <w:rPr>
                <w:noProof/>
              </w:rPr>
              <w:drawing>
                <wp:inline distT="0" distB="0" distL="0" distR="0" wp14:anchorId="6CE0CC68" wp14:editId="070EB249">
                  <wp:extent cx="2790000" cy="3488400"/>
                  <wp:effectExtent l="0" t="0" r="0" b="0"/>
                  <wp:docPr id="46" name="Picture" descr="Figure 46: Size frequency distributions for the Mallacoota Small SMU from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1-131-1.png"/>
                          <pic:cNvPicPr>
                            <a:picLocks noChangeAspect="1" noChangeArrowheads="1"/>
                          </pic:cNvPicPr>
                        </pic:nvPicPr>
                        <pic:blipFill>
                          <a:blip r:embed="rId92"/>
                          <a:stretch>
                            <a:fillRect/>
                          </a:stretch>
                        </pic:blipFill>
                        <pic:spPr bwMode="auto">
                          <a:xfrm>
                            <a:off x="0" y="0"/>
                            <a:ext cx="2790000" cy="3488400"/>
                          </a:xfrm>
                          <a:prstGeom prst="rect">
                            <a:avLst/>
                          </a:prstGeom>
                          <a:noFill/>
                          <a:ln w="9525">
                            <a:noFill/>
                            <a:headEnd/>
                            <a:tailEnd/>
                          </a:ln>
                        </pic:spPr>
                      </pic:pic>
                    </a:graphicData>
                  </a:graphic>
                </wp:inline>
              </w:drawing>
            </w:r>
          </w:p>
        </w:tc>
        <w:tc>
          <w:tcPr>
            <w:tcW w:w="4508" w:type="dxa"/>
          </w:tcPr>
          <w:p w14:paraId="44CF6E1A" w14:textId="77777777" w:rsidR="00EB1E11" w:rsidRDefault="00EB1E11" w:rsidP="00E9281F">
            <w:r>
              <w:rPr>
                <w:noProof/>
              </w:rPr>
              <w:drawing>
                <wp:inline distT="0" distB="0" distL="0" distR="0" wp14:anchorId="59DA61C6" wp14:editId="29E5DF2B">
                  <wp:extent cx="2790000" cy="3488400"/>
                  <wp:effectExtent l="0" t="0" r="0" b="0"/>
                  <wp:docPr id="47" name="Picture" descr="Figure 47: Size frequency distributions for the Mallacoota Small SMU from 2011 to 2019.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parent_files/figure-docx/size.freq.hist.part2-132-1.png"/>
                          <pic:cNvPicPr>
                            <a:picLocks noChangeAspect="1" noChangeArrowheads="1"/>
                          </pic:cNvPicPr>
                        </pic:nvPicPr>
                        <pic:blipFill>
                          <a:blip r:embed="rId93"/>
                          <a:stretch>
                            <a:fillRect/>
                          </a:stretch>
                        </pic:blipFill>
                        <pic:spPr bwMode="auto">
                          <a:xfrm>
                            <a:off x="0" y="0"/>
                            <a:ext cx="2790000" cy="3488400"/>
                          </a:xfrm>
                          <a:prstGeom prst="rect">
                            <a:avLst/>
                          </a:prstGeom>
                          <a:noFill/>
                          <a:ln w="9525">
                            <a:noFill/>
                            <a:headEnd/>
                            <a:tailEnd/>
                          </a:ln>
                        </pic:spPr>
                      </pic:pic>
                    </a:graphicData>
                  </a:graphic>
                </wp:inline>
              </w:drawing>
            </w:r>
          </w:p>
        </w:tc>
      </w:tr>
      <w:tr w:rsidR="00EB1E11" w14:paraId="27CC0C97" w14:textId="77777777" w:rsidTr="00E9281F">
        <w:tc>
          <w:tcPr>
            <w:tcW w:w="9016" w:type="dxa"/>
            <w:gridSpan w:val="2"/>
          </w:tcPr>
          <w:p w14:paraId="2933157C" w14:textId="77777777" w:rsidR="00EB1E11" w:rsidRDefault="00EB1E11" w:rsidP="00E9281F">
            <w:pPr>
              <w:jc w:val="center"/>
              <w:rPr>
                <w:noProof/>
              </w:rPr>
            </w:pPr>
            <w:r>
              <w:rPr>
                <w:noProof/>
              </w:rPr>
              <w:t>(B)</w:t>
            </w:r>
          </w:p>
        </w:tc>
      </w:tr>
      <w:tr w:rsidR="00EB1E11" w14:paraId="348E1A1D" w14:textId="77777777" w:rsidTr="00E9281F">
        <w:tc>
          <w:tcPr>
            <w:tcW w:w="4508" w:type="dxa"/>
          </w:tcPr>
          <w:p w14:paraId="5A0BCED3" w14:textId="4AEC0EC0" w:rsidR="00EB1E11" w:rsidRDefault="00A205DF" w:rsidP="00E9281F">
            <w:r>
              <w:rPr>
                <w:noProof/>
              </w:rPr>
              <w:drawing>
                <wp:inline distT="0" distB="0" distL="0" distR="0" wp14:anchorId="5CFEA721" wp14:editId="1D77FE4F">
                  <wp:extent cx="2790000" cy="3488400"/>
                  <wp:effectExtent l="0" t="0" r="0" b="0"/>
                  <wp:docPr id="215" name="Picture" descr="Figure 46: Size frequency distributions for the one site located within the Mallacoota Small SMU which contribute to the Top 15 sites used for standardization across the zone, 2003 to 2010.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descr="@parent.Eastern_files/figure-docx/size.freq.hist.part1-157-1.png"/>
                          <pic:cNvPicPr>
                            <a:picLocks noChangeAspect="1" noChangeArrowheads="1"/>
                          </pic:cNvPicPr>
                        </pic:nvPicPr>
                        <pic:blipFill>
                          <a:blip r:embed="rId94"/>
                          <a:stretch>
                            <a:fillRect/>
                          </a:stretch>
                        </pic:blipFill>
                        <pic:spPr bwMode="auto">
                          <a:xfrm>
                            <a:off x="0" y="0"/>
                            <a:ext cx="2790000" cy="3488400"/>
                          </a:xfrm>
                          <a:prstGeom prst="rect">
                            <a:avLst/>
                          </a:prstGeom>
                          <a:noFill/>
                          <a:ln w="9525">
                            <a:noFill/>
                            <a:headEnd/>
                            <a:tailEnd/>
                          </a:ln>
                        </pic:spPr>
                      </pic:pic>
                    </a:graphicData>
                  </a:graphic>
                </wp:inline>
              </w:drawing>
            </w:r>
          </w:p>
        </w:tc>
        <w:tc>
          <w:tcPr>
            <w:tcW w:w="4508" w:type="dxa"/>
          </w:tcPr>
          <w:p w14:paraId="120A69EB" w14:textId="1C8947BA" w:rsidR="00EB1E11" w:rsidRDefault="00A205DF" w:rsidP="00E9281F">
            <w:r>
              <w:rPr>
                <w:noProof/>
              </w:rPr>
              <w:drawing>
                <wp:inline distT="0" distB="0" distL="0" distR="0" wp14:anchorId="599177AC" wp14:editId="28217158">
                  <wp:extent cx="2790000" cy="3488400"/>
                  <wp:effectExtent l="0" t="0" r="0" b="0"/>
                  <wp:docPr id="218" name="Picture" descr="Figure 47: Size frequency distributions for the one site located within the Mallacoota Small SMU which contribute to the Top 15 sites used for standardization across the zone, 2012 to 2023. Black bars represent undersize abalone, grey bars represent (voluntary) legal size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descr="@parent.Eastern_files/figure-docx/size.freq.hist.part2-158-1.png"/>
                          <pic:cNvPicPr>
                            <a:picLocks noChangeAspect="1" noChangeArrowheads="1"/>
                          </pic:cNvPicPr>
                        </pic:nvPicPr>
                        <pic:blipFill>
                          <a:blip r:embed="rId95"/>
                          <a:stretch>
                            <a:fillRect/>
                          </a:stretch>
                        </pic:blipFill>
                        <pic:spPr bwMode="auto">
                          <a:xfrm>
                            <a:off x="0" y="0"/>
                            <a:ext cx="2790000" cy="3488400"/>
                          </a:xfrm>
                          <a:prstGeom prst="rect">
                            <a:avLst/>
                          </a:prstGeom>
                          <a:noFill/>
                          <a:ln w="9525">
                            <a:noFill/>
                            <a:headEnd/>
                            <a:tailEnd/>
                          </a:ln>
                        </pic:spPr>
                      </pic:pic>
                    </a:graphicData>
                  </a:graphic>
                </wp:inline>
              </w:drawing>
            </w:r>
          </w:p>
        </w:tc>
      </w:tr>
    </w:tbl>
    <w:p w14:paraId="4A8C97C9" w14:textId="77777777" w:rsidR="00EB1E11" w:rsidRDefault="00EB1E11" w:rsidP="00EB1E11"/>
    <w:p w14:paraId="6618F83F" w14:textId="6FA0FD43" w:rsidR="00CD495E" w:rsidRPr="00EB1E11" w:rsidRDefault="00CD495E" w:rsidP="00CD495E">
      <w:pPr>
        <w:pStyle w:val="Heading1"/>
        <w:numPr>
          <w:ilvl w:val="0"/>
          <w:numId w:val="0"/>
        </w:numPr>
      </w:pPr>
      <w:bookmarkStart w:id="239" w:name="_Toc182219936"/>
      <w:r>
        <w:t>Appendix 5: Commercial length frequency data for each SMU</w:t>
      </w:r>
      <w:bookmarkEnd w:id="239"/>
    </w:p>
    <w:p w14:paraId="5906FE9E" w14:textId="77777777" w:rsidR="00EB1E11" w:rsidRDefault="00EB1E11" w:rsidP="00EB1E11">
      <w:r>
        <w:rPr>
          <w:noProof/>
        </w:rPr>
        <w:drawing>
          <wp:inline distT="0" distB="0" distL="0" distR="0" wp14:anchorId="7864FEEC" wp14:editId="55949806">
            <wp:extent cx="5727700" cy="7159625"/>
            <wp:effectExtent l="0" t="0" r="0" b="0"/>
            <wp:docPr id="9" name="Picture" descr="Figure 9: Size frequency distributions for the Airport SMU from commercial catch sampling from 2011 to 2019. ‘n’ is the number of abalone measured, ‘Mean’ is the mean size of the samples."/>
            <wp:cNvGraphicFramePr/>
            <a:graphic xmlns:a="http://schemas.openxmlformats.org/drawingml/2006/main">
              <a:graphicData uri="http://schemas.openxmlformats.org/drawingml/2006/picture">
                <pic:pic xmlns:pic="http://schemas.openxmlformats.org/drawingml/2006/picture">
                  <pic:nvPicPr>
                    <pic:cNvPr id="0" name="Picture" descr="@parent_files/figure-docx/Airport.fig9-46-1.png"/>
                    <pic:cNvPicPr>
                      <a:picLocks noChangeAspect="1" noChangeArrowheads="1"/>
                    </pic:cNvPicPr>
                  </pic:nvPicPr>
                  <pic:blipFill>
                    <a:blip r:embed="rId96"/>
                    <a:stretch>
                      <a:fillRect/>
                    </a:stretch>
                  </pic:blipFill>
                  <pic:spPr bwMode="auto">
                    <a:xfrm>
                      <a:off x="0" y="0"/>
                      <a:ext cx="5727700" cy="7159625"/>
                    </a:xfrm>
                    <a:prstGeom prst="rect">
                      <a:avLst/>
                    </a:prstGeom>
                    <a:noFill/>
                    <a:ln w="9525">
                      <a:noFill/>
                      <a:headEnd/>
                      <a:tailEnd/>
                    </a:ln>
                  </pic:spPr>
                </pic:pic>
              </a:graphicData>
            </a:graphic>
          </wp:inline>
        </w:drawing>
      </w:r>
    </w:p>
    <w:p w14:paraId="7C62CF68" w14:textId="77777777" w:rsidR="00EB1E11" w:rsidRDefault="00EB1E11" w:rsidP="00EB1E11">
      <w:pPr>
        <w:pStyle w:val="Caption"/>
      </w:pPr>
      <w:bookmarkStart w:id="240" w:name="_Toc149571918"/>
      <w:bookmarkStart w:id="241" w:name="_Toc182219845"/>
      <w:r>
        <w:t>Figure 9: Size frequency distributions for the Airport SMU from commercial catch sampling from 2011 to 2022. ‘n’ is the number of abalone measured, ‘Mean’ is the mean size of the samples.</w:t>
      </w:r>
      <w:bookmarkEnd w:id="240"/>
      <w:bookmarkEnd w:id="241"/>
    </w:p>
    <w:p w14:paraId="75BBCB14" w14:textId="77777777" w:rsidR="00EB1E11" w:rsidRDefault="00EB1E11" w:rsidP="00EB1E11">
      <w:r>
        <w:rPr>
          <w:noProof/>
        </w:rPr>
        <w:drawing>
          <wp:inline distT="0" distB="0" distL="0" distR="0" wp14:anchorId="4098F46C" wp14:editId="46E5AFB2">
            <wp:extent cx="5727700" cy="7159625"/>
            <wp:effectExtent l="0" t="0" r="0" b="0"/>
            <wp:docPr id="377307258" name="Picture 377307258" descr="Figure 9: Size frequency distributions for the Airport SMU from commercial catch sampling from 2011 to 2019. ‘n’ is the number of abalone measured, ‘Mean’ is the mean size of the samples."/>
            <wp:cNvGraphicFramePr/>
            <a:graphic xmlns:a="http://schemas.openxmlformats.org/drawingml/2006/main">
              <a:graphicData uri="http://schemas.openxmlformats.org/drawingml/2006/picture">
                <pic:pic xmlns:pic="http://schemas.openxmlformats.org/drawingml/2006/picture">
                  <pic:nvPicPr>
                    <pic:cNvPr id="0" name="Picture" descr="@parent_files/figure-docx/Airport.fig9-46-1.png"/>
                    <pic:cNvPicPr>
                      <a:picLocks noChangeAspect="1" noChangeArrowheads="1"/>
                    </pic:cNvPicPr>
                  </pic:nvPicPr>
                  <pic:blipFill>
                    <a:blip r:embed="rId96"/>
                    <a:stretch>
                      <a:fillRect/>
                    </a:stretch>
                  </pic:blipFill>
                  <pic:spPr bwMode="auto">
                    <a:xfrm>
                      <a:off x="0" y="0"/>
                      <a:ext cx="5727700" cy="7159625"/>
                    </a:xfrm>
                    <a:prstGeom prst="rect">
                      <a:avLst/>
                    </a:prstGeom>
                    <a:noFill/>
                    <a:ln w="9525">
                      <a:noFill/>
                      <a:headEnd/>
                      <a:tailEnd/>
                    </a:ln>
                  </pic:spPr>
                </pic:pic>
              </a:graphicData>
            </a:graphic>
          </wp:inline>
        </w:drawing>
      </w:r>
    </w:p>
    <w:p w14:paraId="406AB9AC" w14:textId="77777777" w:rsidR="00EB1E11" w:rsidRDefault="00EB1E11" w:rsidP="00EB1E11">
      <w:pPr>
        <w:pStyle w:val="Caption"/>
      </w:pPr>
      <w:bookmarkStart w:id="242" w:name="_Toc149571919"/>
      <w:bookmarkStart w:id="243" w:name="_Toc182219846"/>
      <w:r>
        <w:t>Size frequency distributions for the Airport SMU from commercial catch sampling from 2011 to 2022. ‘n’ is the number of abalone measured, ‘Mean’ is the mean size of the samples.</w:t>
      </w:r>
      <w:bookmarkEnd w:id="242"/>
      <w:bookmarkEnd w:id="243"/>
    </w:p>
    <w:p w14:paraId="5961DB9E" w14:textId="77777777" w:rsidR="00EB1E11" w:rsidRDefault="00EB1E11" w:rsidP="00EB1E11">
      <w:pPr>
        <w:jc w:val="center"/>
      </w:pPr>
      <w:r>
        <w:rPr>
          <w:noProof/>
        </w:rPr>
        <w:drawing>
          <wp:inline distT="0" distB="0" distL="0" distR="0" wp14:anchorId="74921F0B" wp14:editId="24BDF1F8">
            <wp:extent cx="5638800" cy="7018020"/>
            <wp:effectExtent l="0" t="0" r="0" b="0"/>
            <wp:docPr id="23" name="Picture" descr="Figure 23: Size frequency distributions for the Marlo SMU from commercial catch sampling from 2011 to 2019. ‘n’ is the number of abalone measured, ‘Mean’ is the mean size of the samples."/>
            <wp:cNvGraphicFramePr/>
            <a:graphic xmlns:a="http://schemas.openxmlformats.org/drawingml/2006/main">
              <a:graphicData uri="http://schemas.openxmlformats.org/drawingml/2006/picture">
                <pic:pic xmlns:pic="http://schemas.openxmlformats.org/drawingml/2006/picture">
                  <pic:nvPicPr>
                    <pic:cNvPr id="0" name="Picture" descr="@parent_files/figure-docx/Marlo.fig23-76-1.png"/>
                    <pic:cNvPicPr>
                      <a:picLocks noChangeAspect="1" noChangeArrowheads="1"/>
                    </pic:cNvPicPr>
                  </pic:nvPicPr>
                  <pic:blipFill>
                    <a:blip r:embed="rId97"/>
                    <a:stretch>
                      <a:fillRect/>
                    </a:stretch>
                  </pic:blipFill>
                  <pic:spPr bwMode="auto">
                    <a:xfrm>
                      <a:off x="0" y="0"/>
                      <a:ext cx="5638800" cy="7018020"/>
                    </a:xfrm>
                    <a:prstGeom prst="rect">
                      <a:avLst/>
                    </a:prstGeom>
                    <a:noFill/>
                    <a:ln w="9525">
                      <a:noFill/>
                      <a:headEnd/>
                      <a:tailEnd/>
                    </a:ln>
                  </pic:spPr>
                </pic:pic>
              </a:graphicData>
            </a:graphic>
          </wp:inline>
        </w:drawing>
      </w:r>
    </w:p>
    <w:p w14:paraId="1A3317F7" w14:textId="77777777" w:rsidR="00EB1E11" w:rsidRDefault="00EB1E11" w:rsidP="00EB1E11">
      <w:pPr>
        <w:pStyle w:val="Caption"/>
      </w:pPr>
      <w:bookmarkStart w:id="244" w:name="_Toc149571920"/>
      <w:bookmarkStart w:id="245" w:name="_Toc182219847"/>
      <w:r>
        <w:t>Size frequency distributions for the Marlo SMU from commercial catch sampling from 2011 to 2022. ‘n’ is the number of abalone measured, ‘Mean’ is the mean size of the samples.</w:t>
      </w:r>
      <w:bookmarkEnd w:id="244"/>
      <w:bookmarkEnd w:id="245"/>
    </w:p>
    <w:p w14:paraId="352B10DC" w14:textId="77777777" w:rsidR="00EB1E11" w:rsidRDefault="00EB1E11" w:rsidP="00EB1E11">
      <w:r>
        <w:br w:type="page"/>
      </w:r>
    </w:p>
    <w:p w14:paraId="50328F41" w14:textId="77777777" w:rsidR="00EB1E11" w:rsidRDefault="00EB1E11" w:rsidP="00EB1E11">
      <w:r>
        <w:rPr>
          <w:noProof/>
        </w:rPr>
        <w:drawing>
          <wp:inline distT="0" distB="0" distL="0" distR="0" wp14:anchorId="25F86C12" wp14:editId="4656B220">
            <wp:extent cx="5651500" cy="7033260"/>
            <wp:effectExtent l="0" t="0" r="0" b="0"/>
            <wp:docPr id="16" name="Picture" descr="Figure 16: Size frequency distributions for the Mallacoota Central SMU from commercial catch sampling from 2011 to 2019. ‘n’ is the number of abalone measured, ‘Mean’ is the mean size of the samples."/>
            <wp:cNvGraphicFramePr/>
            <a:graphic xmlns:a="http://schemas.openxmlformats.org/drawingml/2006/main">
              <a:graphicData uri="http://schemas.openxmlformats.org/drawingml/2006/picture">
                <pic:pic xmlns:pic="http://schemas.openxmlformats.org/drawingml/2006/picture">
                  <pic:nvPicPr>
                    <pic:cNvPr id="0" name="Picture" descr="@parent_files/figure-docx/Mallacoota..fig16-61-1.png"/>
                    <pic:cNvPicPr>
                      <a:picLocks noChangeAspect="1" noChangeArrowheads="1"/>
                    </pic:cNvPicPr>
                  </pic:nvPicPr>
                  <pic:blipFill>
                    <a:blip r:embed="rId98"/>
                    <a:stretch>
                      <a:fillRect/>
                    </a:stretch>
                  </pic:blipFill>
                  <pic:spPr bwMode="auto">
                    <a:xfrm>
                      <a:off x="0" y="0"/>
                      <a:ext cx="5651500" cy="7033260"/>
                    </a:xfrm>
                    <a:prstGeom prst="rect">
                      <a:avLst/>
                    </a:prstGeom>
                    <a:noFill/>
                    <a:ln w="9525">
                      <a:noFill/>
                      <a:headEnd/>
                      <a:tailEnd/>
                    </a:ln>
                  </pic:spPr>
                </pic:pic>
              </a:graphicData>
            </a:graphic>
          </wp:inline>
        </w:drawing>
      </w:r>
    </w:p>
    <w:p w14:paraId="3EAE8775" w14:textId="77777777" w:rsidR="00EB1E11" w:rsidRDefault="00EB1E11" w:rsidP="00EB1E11">
      <w:pPr>
        <w:pStyle w:val="Caption"/>
      </w:pPr>
      <w:bookmarkStart w:id="246" w:name="_Toc149571921"/>
      <w:bookmarkStart w:id="247" w:name="_Toc182219848"/>
      <w:r>
        <w:t>Size frequency distributions for the Mallacoota Central SMU from commercial catch sampling from 2011 to 2022. ‘n’ is the number of abalone measured, ‘Mean’ is the mean size of the samples.</w:t>
      </w:r>
      <w:bookmarkEnd w:id="246"/>
      <w:bookmarkEnd w:id="247"/>
    </w:p>
    <w:p w14:paraId="488F5AFC" w14:textId="77777777" w:rsidR="00EB1E11" w:rsidRDefault="00EB1E11" w:rsidP="00EB1E11">
      <w:r>
        <w:br w:type="page"/>
      </w:r>
    </w:p>
    <w:p w14:paraId="3EA25A53" w14:textId="77777777" w:rsidR="00EB1E11" w:rsidRDefault="00EB1E11" w:rsidP="00EB1E11"/>
    <w:p w14:paraId="757007C1" w14:textId="77777777" w:rsidR="00EB1E11" w:rsidRDefault="00EB1E11" w:rsidP="00EB1E11">
      <w:r>
        <w:rPr>
          <w:noProof/>
        </w:rPr>
        <w:drawing>
          <wp:inline distT="0" distB="0" distL="0" distR="0" wp14:anchorId="06FC4953" wp14:editId="1795A483">
            <wp:extent cx="5727700" cy="7159625"/>
            <wp:effectExtent l="0" t="0" r="0" b="0"/>
            <wp:docPr id="36" name="Picture" descr="Figure 36: Size frequency distributions for the Mallacoota East SMU from commercial catch sampling from 2011 to 2019. ‘n’ is the number of abalone measured, ‘Mean’ is the mean size of the sampled catch."/>
            <wp:cNvGraphicFramePr/>
            <a:graphic xmlns:a="http://schemas.openxmlformats.org/drawingml/2006/main">
              <a:graphicData uri="http://schemas.openxmlformats.org/drawingml/2006/picture">
                <pic:pic xmlns:pic="http://schemas.openxmlformats.org/drawingml/2006/picture">
                  <pic:nvPicPr>
                    <pic:cNvPr id="0" name="Picture" descr="@parent_files/figure-docx/MalEast.fig36-105-1.png"/>
                    <pic:cNvPicPr>
                      <a:picLocks noChangeAspect="1" noChangeArrowheads="1"/>
                    </pic:cNvPicPr>
                  </pic:nvPicPr>
                  <pic:blipFill>
                    <a:blip r:embed="rId99"/>
                    <a:stretch>
                      <a:fillRect/>
                    </a:stretch>
                  </pic:blipFill>
                  <pic:spPr bwMode="auto">
                    <a:xfrm>
                      <a:off x="0" y="0"/>
                      <a:ext cx="5727700" cy="7159625"/>
                    </a:xfrm>
                    <a:prstGeom prst="rect">
                      <a:avLst/>
                    </a:prstGeom>
                    <a:noFill/>
                    <a:ln w="9525">
                      <a:noFill/>
                      <a:headEnd/>
                      <a:tailEnd/>
                    </a:ln>
                  </pic:spPr>
                </pic:pic>
              </a:graphicData>
            </a:graphic>
          </wp:inline>
        </w:drawing>
      </w:r>
    </w:p>
    <w:p w14:paraId="65E65CA4" w14:textId="77777777" w:rsidR="00EB1E11" w:rsidRDefault="00EB1E11" w:rsidP="00EB1E11">
      <w:pPr>
        <w:pStyle w:val="Caption"/>
      </w:pPr>
      <w:bookmarkStart w:id="248" w:name="_Toc149571922"/>
      <w:bookmarkStart w:id="249" w:name="_Toc182219849"/>
      <w:r>
        <w:t>Size frequency distributions for the Mallacoota East SMU from commercial catch sampling from 2011 to 2022. ‘n’ is the number of abalone measured, ‘Mean’ is the mean size of the sampled catch.</w:t>
      </w:r>
      <w:bookmarkEnd w:id="248"/>
      <w:bookmarkEnd w:id="249"/>
    </w:p>
    <w:p w14:paraId="517CDE36" w14:textId="77777777" w:rsidR="00EB1E11" w:rsidRDefault="00EB1E11" w:rsidP="00EB1E11">
      <w:r>
        <w:rPr>
          <w:noProof/>
        </w:rPr>
        <w:drawing>
          <wp:inline distT="0" distB="0" distL="0" distR="0" wp14:anchorId="62D4E145" wp14:editId="1BD3104D">
            <wp:extent cx="5727700" cy="7159625"/>
            <wp:effectExtent l="0" t="0" r="0" b="0"/>
            <wp:docPr id="30" name="Picture" descr="Figure 30: Size frequency distributions for the Mallacoota West SMU from commercial catch sampling from 2011 to 2019. ‘n’ is the number of abalone measured, ‘Mean’ is the mean size of the samples."/>
            <wp:cNvGraphicFramePr/>
            <a:graphic xmlns:a="http://schemas.openxmlformats.org/drawingml/2006/main">
              <a:graphicData uri="http://schemas.openxmlformats.org/drawingml/2006/picture">
                <pic:pic xmlns:pic="http://schemas.openxmlformats.org/drawingml/2006/picture">
                  <pic:nvPicPr>
                    <pic:cNvPr id="0" name="Picture" descr="@parent_files/figure-docx/MalWest.fig30-91-1.png"/>
                    <pic:cNvPicPr>
                      <a:picLocks noChangeAspect="1" noChangeArrowheads="1"/>
                    </pic:cNvPicPr>
                  </pic:nvPicPr>
                  <pic:blipFill>
                    <a:blip r:embed="rId100"/>
                    <a:stretch>
                      <a:fillRect/>
                    </a:stretch>
                  </pic:blipFill>
                  <pic:spPr bwMode="auto">
                    <a:xfrm>
                      <a:off x="0" y="0"/>
                      <a:ext cx="5727700" cy="7159625"/>
                    </a:xfrm>
                    <a:prstGeom prst="rect">
                      <a:avLst/>
                    </a:prstGeom>
                    <a:noFill/>
                    <a:ln w="9525">
                      <a:noFill/>
                      <a:headEnd/>
                      <a:tailEnd/>
                    </a:ln>
                  </pic:spPr>
                </pic:pic>
              </a:graphicData>
            </a:graphic>
          </wp:inline>
        </w:drawing>
      </w:r>
    </w:p>
    <w:p w14:paraId="3E65A744" w14:textId="77777777" w:rsidR="00EB1E11" w:rsidRDefault="00EB1E11" w:rsidP="00EB1E11">
      <w:pPr>
        <w:pStyle w:val="Caption"/>
      </w:pPr>
      <w:bookmarkStart w:id="250" w:name="_Toc149571923"/>
      <w:bookmarkStart w:id="251" w:name="_Toc182219850"/>
      <w:r>
        <w:t>Size frequency distributions for the Mallacoota West SMU from commercial catch sampling from 2011 to 2022. ‘n’ is the number of abalone measured, ‘Mean’ is the mean size of the samples.</w:t>
      </w:r>
      <w:bookmarkEnd w:id="250"/>
      <w:bookmarkEnd w:id="251"/>
    </w:p>
    <w:p w14:paraId="5CCEB9E3" w14:textId="77777777" w:rsidR="00EB1E11" w:rsidRDefault="00EB1E11" w:rsidP="00EB1E11"/>
    <w:p w14:paraId="01BE1FAC" w14:textId="77777777" w:rsidR="00EB1E11" w:rsidRDefault="00EB1E11" w:rsidP="00EB1E11">
      <w:r>
        <w:rPr>
          <w:noProof/>
        </w:rPr>
        <w:drawing>
          <wp:inline distT="0" distB="0" distL="0" distR="0" wp14:anchorId="0B251399" wp14:editId="286D7BD9">
            <wp:extent cx="5727700" cy="7159625"/>
            <wp:effectExtent l="0" t="0" r="0" b="0"/>
            <wp:docPr id="42" name="Picture" descr="Figure 42: Size frequency distributions for the Mallacoota Large SMU from commercial catch sampling from 2011 to 2019. ‘n’ is the number of abalone measured."/>
            <wp:cNvGraphicFramePr/>
            <a:graphic xmlns:a="http://schemas.openxmlformats.org/drawingml/2006/main">
              <a:graphicData uri="http://schemas.openxmlformats.org/drawingml/2006/picture">
                <pic:pic xmlns:pic="http://schemas.openxmlformats.org/drawingml/2006/picture">
                  <pic:nvPicPr>
                    <pic:cNvPr id="0" name="Picture" descr="@parent_files/figure-docx/MalLarge.fig42-119-1.png"/>
                    <pic:cNvPicPr>
                      <a:picLocks noChangeAspect="1" noChangeArrowheads="1"/>
                    </pic:cNvPicPr>
                  </pic:nvPicPr>
                  <pic:blipFill>
                    <a:blip r:embed="rId101"/>
                    <a:stretch>
                      <a:fillRect/>
                    </a:stretch>
                  </pic:blipFill>
                  <pic:spPr bwMode="auto">
                    <a:xfrm>
                      <a:off x="0" y="0"/>
                      <a:ext cx="5727700" cy="7159625"/>
                    </a:xfrm>
                    <a:prstGeom prst="rect">
                      <a:avLst/>
                    </a:prstGeom>
                    <a:noFill/>
                    <a:ln w="9525">
                      <a:noFill/>
                      <a:headEnd/>
                      <a:tailEnd/>
                    </a:ln>
                  </pic:spPr>
                </pic:pic>
              </a:graphicData>
            </a:graphic>
          </wp:inline>
        </w:drawing>
      </w:r>
    </w:p>
    <w:p w14:paraId="75D1B3AB" w14:textId="77777777" w:rsidR="00EB1E11" w:rsidRDefault="00EB1E11" w:rsidP="00EB1E11">
      <w:pPr>
        <w:pStyle w:val="Caption"/>
      </w:pPr>
      <w:bookmarkStart w:id="252" w:name="_Toc149571924"/>
      <w:bookmarkStart w:id="253" w:name="_Toc182219851"/>
      <w:r>
        <w:t>Size frequency distributions for the Mallacoota Large SMU from commercial catch sampling from 2011 to 2022. ‘n’ is the number of abalone measured.</w:t>
      </w:r>
      <w:bookmarkEnd w:id="252"/>
      <w:bookmarkEnd w:id="253"/>
    </w:p>
    <w:p w14:paraId="08E68B15" w14:textId="77777777" w:rsidR="00EB1E11" w:rsidRDefault="00EB1E11" w:rsidP="00EB1E11">
      <w:r>
        <w:rPr>
          <w:noProof/>
        </w:rPr>
        <w:drawing>
          <wp:inline distT="0" distB="0" distL="0" distR="0" wp14:anchorId="0B34EE34" wp14:editId="08A3077A">
            <wp:extent cx="5727700" cy="7159625"/>
            <wp:effectExtent l="0" t="0" r="0" b="0"/>
            <wp:docPr id="48" name="Picture" descr="Figure 48: Size frequency distributions for the Mallacoota Small SMU from commercial catch sampling from 2011 to 2019. ‘n’ is the number of abalone measured."/>
            <wp:cNvGraphicFramePr/>
            <a:graphic xmlns:a="http://schemas.openxmlformats.org/drawingml/2006/main">
              <a:graphicData uri="http://schemas.openxmlformats.org/drawingml/2006/picture">
                <pic:pic xmlns:pic="http://schemas.openxmlformats.org/drawingml/2006/picture">
                  <pic:nvPicPr>
                    <pic:cNvPr id="0" name="Picture" descr="@parent_files/figure-docx/MalSmall.fig48-133-1.png"/>
                    <pic:cNvPicPr>
                      <a:picLocks noChangeAspect="1" noChangeArrowheads="1"/>
                    </pic:cNvPicPr>
                  </pic:nvPicPr>
                  <pic:blipFill>
                    <a:blip r:embed="rId102"/>
                    <a:stretch>
                      <a:fillRect/>
                    </a:stretch>
                  </pic:blipFill>
                  <pic:spPr bwMode="auto">
                    <a:xfrm>
                      <a:off x="0" y="0"/>
                      <a:ext cx="5727700" cy="7159625"/>
                    </a:xfrm>
                    <a:prstGeom prst="rect">
                      <a:avLst/>
                    </a:prstGeom>
                    <a:noFill/>
                    <a:ln w="9525">
                      <a:noFill/>
                      <a:headEnd/>
                      <a:tailEnd/>
                    </a:ln>
                  </pic:spPr>
                </pic:pic>
              </a:graphicData>
            </a:graphic>
          </wp:inline>
        </w:drawing>
      </w:r>
    </w:p>
    <w:p w14:paraId="0F7254A9" w14:textId="2026C5D0" w:rsidR="00EB1E11" w:rsidRDefault="00EB1E11" w:rsidP="00EB1E11">
      <w:pPr>
        <w:pStyle w:val="Caption"/>
      </w:pPr>
      <w:bookmarkStart w:id="254" w:name="_Toc149571925"/>
      <w:bookmarkStart w:id="255" w:name="_Toc182219852"/>
      <w:r>
        <w:t>Size frequency distributions for the Mallacoota Small SMU from commercial catch sampling from 2011 to 2022. ‘n’ is the number of abalone measured.</w:t>
      </w:r>
      <w:bookmarkEnd w:id="254"/>
      <w:bookmarkEnd w:id="255"/>
    </w:p>
    <w:p w14:paraId="30269B6E" w14:textId="77777777" w:rsidR="00EB1E11" w:rsidRDefault="00EB1E11" w:rsidP="00EB1E11"/>
    <w:p w14:paraId="5F925214" w14:textId="561E61BD" w:rsidR="0049178A" w:rsidRDefault="0049178A">
      <w:pPr>
        <w:spacing w:before="0" w:after="160" w:line="259" w:lineRule="auto"/>
      </w:pPr>
      <w:r>
        <w:br w:type="page"/>
      </w:r>
    </w:p>
    <w:p w14:paraId="7DD22A80" w14:textId="3B4E5025" w:rsidR="0049178A" w:rsidRPr="00EB1E11" w:rsidRDefault="0049178A" w:rsidP="0049178A">
      <w:pPr>
        <w:pStyle w:val="Heading1"/>
        <w:numPr>
          <w:ilvl w:val="0"/>
          <w:numId w:val="0"/>
        </w:numPr>
      </w:pPr>
      <w:bookmarkStart w:id="256" w:name="_Toc182219937"/>
      <w:r>
        <w:t xml:space="preserve">Appendix 6: </w:t>
      </w:r>
      <w:r w:rsidR="00E70E8C">
        <w:t>Eastern Zone SMU and reefcode maps</w:t>
      </w:r>
      <w:bookmarkEnd w:id="256"/>
    </w:p>
    <w:p w14:paraId="3BF6B93F" w14:textId="77777777" w:rsidR="00B453B2" w:rsidRDefault="00B453B2" w:rsidP="00B21D10">
      <w:r>
        <w:rPr>
          <w:noProof/>
        </w:rPr>
        <w:drawing>
          <wp:inline distT="0" distB="0" distL="0" distR="0" wp14:anchorId="04BD6669" wp14:editId="7AD86557">
            <wp:extent cx="5478780" cy="3925466"/>
            <wp:effectExtent l="0" t="0" r="0" b="0"/>
            <wp:docPr id="72" name="Picture 7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pic:cNvPicPr/>
                  </pic:nvPicPr>
                  <pic:blipFill>
                    <a:blip r:embed="rId103"/>
                    <a:stretch>
                      <a:fillRect/>
                    </a:stretch>
                  </pic:blipFill>
                  <pic:spPr>
                    <a:xfrm>
                      <a:off x="0" y="0"/>
                      <a:ext cx="5501766" cy="3941935"/>
                    </a:xfrm>
                    <a:prstGeom prst="rect">
                      <a:avLst/>
                    </a:prstGeom>
                  </pic:spPr>
                </pic:pic>
              </a:graphicData>
            </a:graphic>
          </wp:inline>
        </w:drawing>
      </w:r>
    </w:p>
    <w:p w14:paraId="237AE02C" w14:textId="13C98C78" w:rsidR="00B453B2" w:rsidRDefault="00B453B2" w:rsidP="00B453B2">
      <w:pPr>
        <w:pStyle w:val="Caption"/>
      </w:pPr>
      <w:bookmarkStart w:id="257" w:name="_Toc149571926"/>
      <w:bookmarkStart w:id="258" w:name="_Toc182219853"/>
      <w:r>
        <w:t>The location of the Marlo SMU and the reef codes within it.</w:t>
      </w:r>
      <w:bookmarkEnd w:id="257"/>
      <w:bookmarkEnd w:id="258"/>
    </w:p>
    <w:p w14:paraId="591C6FDE" w14:textId="77777777" w:rsidR="002D7C7E" w:rsidRDefault="002D7C7E" w:rsidP="002D7C7E"/>
    <w:p w14:paraId="32FC76BC" w14:textId="77777777" w:rsidR="002D7C7E" w:rsidRDefault="002D7C7E" w:rsidP="002D7C7E">
      <w:pPr>
        <w:jc w:val="center"/>
      </w:pPr>
      <w:r>
        <w:rPr>
          <w:noProof/>
        </w:rPr>
        <w:drawing>
          <wp:inline distT="0" distB="0" distL="0" distR="0" wp14:anchorId="0256E55E" wp14:editId="3C08EC72">
            <wp:extent cx="5148924" cy="3680460"/>
            <wp:effectExtent l="0" t="0" r="0"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104"/>
                    <a:stretch>
                      <a:fillRect/>
                    </a:stretch>
                  </pic:blipFill>
                  <pic:spPr>
                    <a:xfrm>
                      <a:off x="0" y="0"/>
                      <a:ext cx="5214210" cy="3727127"/>
                    </a:xfrm>
                    <a:prstGeom prst="rect">
                      <a:avLst/>
                    </a:prstGeom>
                  </pic:spPr>
                </pic:pic>
              </a:graphicData>
            </a:graphic>
          </wp:inline>
        </w:drawing>
      </w:r>
    </w:p>
    <w:p w14:paraId="1A63D108" w14:textId="30795FF0" w:rsidR="002D7C7E" w:rsidRDefault="002D7C7E" w:rsidP="002D7C7E">
      <w:pPr>
        <w:pStyle w:val="Caption"/>
      </w:pPr>
      <w:bookmarkStart w:id="259" w:name="_Toc149571927"/>
      <w:bookmarkStart w:id="260" w:name="_Toc182219854"/>
      <w:r>
        <w:t>The location of the Mallacoota West and Large SMUs and the reef codes within them.</w:t>
      </w:r>
      <w:bookmarkEnd w:id="259"/>
      <w:bookmarkEnd w:id="260"/>
    </w:p>
    <w:p w14:paraId="10E916CD" w14:textId="77777777" w:rsidR="002D7C7E" w:rsidRPr="002D7C7E" w:rsidRDefault="002D7C7E" w:rsidP="002D7C7E"/>
    <w:p w14:paraId="48A0C210" w14:textId="77777777" w:rsidR="00BC1808" w:rsidRDefault="00BC1808" w:rsidP="00B21D10">
      <w:r>
        <w:rPr>
          <w:noProof/>
        </w:rPr>
        <w:drawing>
          <wp:inline distT="0" distB="0" distL="0" distR="0" wp14:anchorId="25E3B432" wp14:editId="3CD65A9F">
            <wp:extent cx="5471160" cy="3938192"/>
            <wp:effectExtent l="0" t="0" r="0" b="0"/>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pic:nvPicPr>
                  <pic:blipFill>
                    <a:blip r:embed="rId105"/>
                    <a:stretch>
                      <a:fillRect/>
                    </a:stretch>
                  </pic:blipFill>
                  <pic:spPr>
                    <a:xfrm>
                      <a:off x="0" y="0"/>
                      <a:ext cx="5482385" cy="3946272"/>
                    </a:xfrm>
                    <a:prstGeom prst="rect">
                      <a:avLst/>
                    </a:prstGeom>
                  </pic:spPr>
                </pic:pic>
              </a:graphicData>
            </a:graphic>
          </wp:inline>
        </w:drawing>
      </w:r>
    </w:p>
    <w:p w14:paraId="5A41B5AE" w14:textId="12C27A7C" w:rsidR="00BC1808" w:rsidRDefault="00BC1808" w:rsidP="00BC1808">
      <w:pPr>
        <w:pStyle w:val="Caption"/>
      </w:pPr>
      <w:bookmarkStart w:id="261" w:name="_Toc149571928"/>
      <w:bookmarkStart w:id="262" w:name="_Toc182219855"/>
      <w:r>
        <w:t>The Mallacoota Central and Small SMUs and the reef codes within them.</w:t>
      </w:r>
      <w:bookmarkEnd w:id="261"/>
      <w:bookmarkEnd w:id="262"/>
    </w:p>
    <w:p w14:paraId="556882AC" w14:textId="77777777" w:rsidR="00B21D10" w:rsidRDefault="00B21D10" w:rsidP="00B21D10">
      <w:r>
        <w:rPr>
          <w:noProof/>
        </w:rPr>
        <w:drawing>
          <wp:inline distT="0" distB="0" distL="0" distR="0" wp14:anchorId="67B8C188" wp14:editId="35E566A2">
            <wp:extent cx="5570220" cy="3993197"/>
            <wp:effectExtent l="0" t="0" r="0" b="7620"/>
            <wp:docPr id="71" name="Picture 7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 map&#10;&#10;Description automatically generated"/>
                    <pic:cNvPicPr/>
                  </pic:nvPicPr>
                  <pic:blipFill>
                    <a:blip r:embed="rId106"/>
                    <a:stretch>
                      <a:fillRect/>
                    </a:stretch>
                  </pic:blipFill>
                  <pic:spPr>
                    <a:xfrm>
                      <a:off x="0" y="0"/>
                      <a:ext cx="5570220" cy="3993197"/>
                    </a:xfrm>
                    <a:prstGeom prst="rect">
                      <a:avLst/>
                    </a:prstGeom>
                  </pic:spPr>
                </pic:pic>
              </a:graphicData>
            </a:graphic>
          </wp:inline>
        </w:drawing>
      </w:r>
    </w:p>
    <w:p w14:paraId="400ED7A2" w14:textId="35ABA84C" w:rsidR="00B17626" w:rsidRDefault="00B21D10" w:rsidP="002D7C7E">
      <w:pPr>
        <w:pStyle w:val="Caption"/>
      </w:pPr>
      <w:bookmarkStart w:id="263" w:name="_Toc149571929"/>
      <w:bookmarkStart w:id="264" w:name="_Toc182219856"/>
      <w:r>
        <w:t>The location of the Airport SMU, part of Mallacoota Small SMU and Mallacoota East SMU and their reef codes.</w:t>
      </w:r>
      <w:bookmarkEnd w:id="263"/>
      <w:bookmarkEnd w:id="264"/>
    </w:p>
    <w:p w14:paraId="53CA9B63" w14:textId="77777777" w:rsidR="00AA64D4" w:rsidRDefault="00AA64D4" w:rsidP="00AA64D4">
      <w:pPr>
        <w:pStyle w:val="Heading1"/>
        <w:numPr>
          <w:ilvl w:val="0"/>
          <w:numId w:val="0"/>
        </w:numPr>
      </w:pPr>
      <w:bookmarkStart w:id="265" w:name="_Toc182219938"/>
      <w:r>
        <w:t>Appendix 7: Long-spined sea urchin abundance from abalone FIS.</w:t>
      </w:r>
      <w:bookmarkEnd w:id="265"/>
    </w:p>
    <w:p w14:paraId="3206AFDE" w14:textId="77777777" w:rsidR="00AA64D4" w:rsidRDefault="00AA64D4" w:rsidP="00AA64D4">
      <w:r>
        <w:t>In 2020, VFA produced a report (VFA 2020) that examined all available data on sea urchin abundance in the Eastern Zone.  This  included an analysis of data from abalone FIS up to 2019. Here, we update the abundance data up to 2021 for all sites, and up to 2023 for the Top 15 FIS sites.</w:t>
      </w:r>
    </w:p>
    <w:p w14:paraId="4595B768" w14:textId="77777777" w:rsidR="00AA64D4" w:rsidRDefault="00AA64D4" w:rsidP="00AA64D4">
      <w:r>
        <w:t xml:space="preserve">Trends in data from all sites combined are not meaningful, because of spatial variation in sea urchin abundance and changes in the FIS design. On this basis, we have included graphs of the abundance over time for all sites and for the Top 15 sites only (Appendix 7).  </w:t>
      </w:r>
    </w:p>
    <w:p w14:paraId="1BA9EFDE" w14:textId="77777777" w:rsidR="00AA64D4" w:rsidRDefault="00AA64D4" w:rsidP="00AA64D4">
      <w:r>
        <w:t xml:space="preserve">For the Top 15 sites at the Zone scale, the abundance of sea urchins declined from 2003 to 2023 (Figure 36). These trends appear counter-intuitive given we know that sea urchins have become an increasing problem for the fishery, however they are not completely unexpected. When sea urchin abundance first begins to increase at an otherwise “healthy” abalone reef, the abundance increases over time while they consume the algae on that reef. But once the sea urchin population has eaten all the algae and have turned the reef into a “barrens” habitat, the abundance of sea urchins declines and stabilises at lower numbers. For example, this may explain the trends seen in Figure 37 for Mallacoota East. On this basis, FIS abalone sites are not a good indicator of changes in the overall abundance of sea urchins. </w:t>
      </w:r>
    </w:p>
    <w:p w14:paraId="6163DE61" w14:textId="77777777" w:rsidR="00AA64D4" w:rsidRDefault="00AA64D4" w:rsidP="00AA64D4">
      <w:r>
        <w:t xml:space="preserve">As identified in VFA (2020), urchin abundance is higher in the far east of the Zone from Little Rame through to the New South Wales border. Fortunately, abundances of urchins are unlikely to increase substantially in shallow waters to the south west of Little Rame because of wave exposure.  </w:t>
      </w:r>
    </w:p>
    <w:p w14:paraId="4F571B0F" w14:textId="10CD190D" w:rsidR="00AA64D4" w:rsidRDefault="00AA64D4" w:rsidP="00AA64D4">
      <w:r>
        <w:t xml:space="preserve">FIS sites have been established to monitor abalone abundance, and thus additional data collected such as sea urchin abundance can provide useful information, but the program is not designed to provide sea urchin specific information. Developing a project that examines all data sources, including VMS spatial effort data from the commercial sea urchin and abalone fisheries, would greatly enhance the understanding of the impact of sea urchin incursion on the abalone stocks in the Eastern Zone. </w:t>
      </w:r>
    </w:p>
    <w:p w14:paraId="2746CADC" w14:textId="77777777" w:rsidR="00AA64D4" w:rsidRDefault="00AA64D4">
      <w:pPr>
        <w:spacing w:before="0" w:after="160" w:line="259" w:lineRule="auto"/>
      </w:pPr>
      <w:r>
        <w:br w:type="page"/>
      </w:r>
    </w:p>
    <w:p w14:paraId="123B8795" w14:textId="77777777" w:rsidR="00AA64D4" w:rsidRDefault="00AA64D4" w:rsidP="00AA64D4"/>
    <w:p w14:paraId="5BB5F6E6" w14:textId="77777777" w:rsidR="00AA64D4" w:rsidRDefault="00AA64D4" w:rsidP="00AA64D4">
      <w:r w:rsidRPr="00CF2E2C">
        <w:rPr>
          <w:noProof/>
        </w:rPr>
        <w:drawing>
          <wp:inline distT="0" distB="0" distL="0" distR="0" wp14:anchorId="5B10C611" wp14:editId="2D8B5045">
            <wp:extent cx="5731510" cy="3638550"/>
            <wp:effectExtent l="0" t="0" r="0" b="0"/>
            <wp:docPr id="1991142886" name="Picture 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42886" name="Picture 1" descr="A graph of a number of numbers&#10;&#10;Description automatically generated with medium confidence"/>
                    <pic:cNvPicPr/>
                  </pic:nvPicPr>
                  <pic:blipFill>
                    <a:blip r:embed="rId107"/>
                    <a:stretch>
                      <a:fillRect/>
                    </a:stretch>
                  </pic:blipFill>
                  <pic:spPr>
                    <a:xfrm>
                      <a:off x="0" y="0"/>
                      <a:ext cx="5731510" cy="3638550"/>
                    </a:xfrm>
                    <a:prstGeom prst="rect">
                      <a:avLst/>
                    </a:prstGeom>
                  </pic:spPr>
                </pic:pic>
              </a:graphicData>
            </a:graphic>
          </wp:inline>
        </w:drawing>
      </w:r>
    </w:p>
    <w:p w14:paraId="6ECDB755" w14:textId="77777777" w:rsidR="00AA64D4" w:rsidRDefault="00AA64D4" w:rsidP="00AA64D4">
      <w:pPr>
        <w:pStyle w:val="Caption"/>
      </w:pPr>
      <w:bookmarkStart w:id="266" w:name="_Toc182219857"/>
      <w:r>
        <w:t>Figure 36: Abundance of sea urchins at the Zone scale for the Top 15 FIS sites.</w:t>
      </w:r>
      <w:bookmarkEnd w:id="266"/>
    </w:p>
    <w:p w14:paraId="64FF39A7" w14:textId="77777777" w:rsidR="00AA64D4" w:rsidRPr="004B13FC" w:rsidRDefault="00AA64D4" w:rsidP="00AA64D4">
      <w:r w:rsidRPr="004B13FC">
        <w:rPr>
          <w:noProof/>
        </w:rPr>
        <w:drawing>
          <wp:inline distT="0" distB="0" distL="0" distR="0" wp14:anchorId="54933597" wp14:editId="2E7BC97C">
            <wp:extent cx="5731510" cy="3621405"/>
            <wp:effectExtent l="0" t="0" r="0" b="0"/>
            <wp:docPr id="190101837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18377" name="Picture 1" descr="A screenshot of a graph&#10;&#10;Description automatically generated"/>
                    <pic:cNvPicPr/>
                  </pic:nvPicPr>
                  <pic:blipFill>
                    <a:blip r:embed="rId108"/>
                    <a:stretch>
                      <a:fillRect/>
                    </a:stretch>
                  </pic:blipFill>
                  <pic:spPr>
                    <a:xfrm>
                      <a:off x="0" y="0"/>
                      <a:ext cx="5731510" cy="3621405"/>
                    </a:xfrm>
                    <a:prstGeom prst="rect">
                      <a:avLst/>
                    </a:prstGeom>
                  </pic:spPr>
                </pic:pic>
              </a:graphicData>
            </a:graphic>
          </wp:inline>
        </w:drawing>
      </w:r>
    </w:p>
    <w:p w14:paraId="2E53AC96" w14:textId="77777777" w:rsidR="00AA64D4" w:rsidRDefault="00AA64D4" w:rsidP="00AA64D4">
      <w:pPr>
        <w:pStyle w:val="Caption"/>
      </w:pPr>
      <w:bookmarkStart w:id="267" w:name="_Toc182219858"/>
      <w:r>
        <w:t>Figure 37: Abundance of sea urchins at the SMU scale for the Top 15 FIS sites.</w:t>
      </w:r>
      <w:bookmarkEnd w:id="267"/>
      <w:r>
        <w:br w:type="page"/>
      </w:r>
    </w:p>
    <w:p w14:paraId="752B5FA8" w14:textId="77777777" w:rsidR="00CF2E2C" w:rsidRDefault="00CF2E2C" w:rsidP="00B17626">
      <w:pPr>
        <w:pStyle w:val="Heading1"/>
        <w:numPr>
          <w:ilvl w:val="0"/>
          <w:numId w:val="0"/>
        </w:numPr>
        <w:sectPr w:rsidR="00CF2E2C" w:rsidSect="00614F86">
          <w:pgSz w:w="11906" w:h="16838"/>
          <w:pgMar w:top="1440" w:right="1440" w:bottom="1440" w:left="1440" w:header="709" w:footer="709" w:gutter="0"/>
          <w:cols w:space="708"/>
          <w:docGrid w:linePitch="360"/>
        </w:sectPr>
      </w:pPr>
    </w:p>
    <w:p w14:paraId="3CBC521E" w14:textId="6C2CFE15" w:rsidR="00F412D5" w:rsidRPr="00F412D5" w:rsidRDefault="00F412D5" w:rsidP="00F412D5">
      <w:pPr>
        <w:pStyle w:val="Caption"/>
      </w:pPr>
      <w:bookmarkStart w:id="268" w:name="_Toc149571930"/>
      <w:bookmarkStart w:id="269" w:name="_Toc182219859"/>
      <w:r>
        <w:t xml:space="preserve">Sea urchin abundance </w:t>
      </w:r>
      <w:r w:rsidRPr="00F412D5">
        <w:t>for each site in the Eastern Zone from 2003 to 2023</w:t>
      </w:r>
      <w:r>
        <w:t>.</w:t>
      </w:r>
      <w:bookmarkEnd w:id="268"/>
      <w:bookmarkEnd w:id="269"/>
    </w:p>
    <w:p w14:paraId="794F1F80" w14:textId="77777777" w:rsidR="00CF2E2C" w:rsidRDefault="00CF2E2C" w:rsidP="00132ABA">
      <w:r w:rsidRPr="00CF2E2C">
        <w:rPr>
          <w:noProof/>
        </w:rPr>
        <w:drawing>
          <wp:inline distT="0" distB="0" distL="0" distR="0" wp14:anchorId="725A6595" wp14:editId="37B7BABD">
            <wp:extent cx="8556625" cy="4701540"/>
            <wp:effectExtent l="0" t="0" r="0" b="0"/>
            <wp:docPr id="35295415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54153" name="Picture 1" descr="A screenshot of a graph&#10;&#10;Description automatically generated"/>
                    <pic:cNvPicPr/>
                  </pic:nvPicPr>
                  <pic:blipFill rotWithShape="1">
                    <a:blip r:embed="rId109"/>
                    <a:srcRect b="10681"/>
                    <a:stretch/>
                  </pic:blipFill>
                  <pic:spPr bwMode="auto">
                    <a:xfrm>
                      <a:off x="0" y="0"/>
                      <a:ext cx="8585204" cy="4717243"/>
                    </a:xfrm>
                    <a:prstGeom prst="rect">
                      <a:avLst/>
                    </a:prstGeom>
                    <a:ln>
                      <a:noFill/>
                    </a:ln>
                    <a:extLst>
                      <a:ext uri="{53640926-AAD7-44D8-BBD7-CCE9431645EC}">
                        <a14:shadowObscured xmlns:a14="http://schemas.microsoft.com/office/drawing/2010/main"/>
                      </a:ext>
                    </a:extLst>
                  </pic:spPr>
                </pic:pic>
              </a:graphicData>
            </a:graphic>
          </wp:inline>
        </w:drawing>
      </w:r>
    </w:p>
    <w:p w14:paraId="082D3268" w14:textId="7B4D3485" w:rsidR="0092261C" w:rsidRDefault="0092261C">
      <w:pPr>
        <w:spacing w:before="0" w:after="160" w:line="259" w:lineRule="auto"/>
      </w:pPr>
      <w:r>
        <w:br w:type="page"/>
      </w:r>
    </w:p>
    <w:p w14:paraId="712E4F83" w14:textId="3BDCD628" w:rsidR="0092261C" w:rsidRPr="00F412D5" w:rsidRDefault="0092261C" w:rsidP="0092261C">
      <w:pPr>
        <w:pStyle w:val="Caption"/>
      </w:pPr>
      <w:bookmarkStart w:id="270" w:name="_Toc149571931"/>
      <w:bookmarkStart w:id="271" w:name="_Toc182219860"/>
      <w:r>
        <w:t xml:space="preserve">Sea urchin abundance </w:t>
      </w:r>
      <w:r w:rsidRPr="00F412D5">
        <w:t xml:space="preserve">for each </w:t>
      </w:r>
      <w:r>
        <w:t xml:space="preserve">Top 15 </w:t>
      </w:r>
      <w:r w:rsidRPr="00F412D5">
        <w:t>site in the Eastern Zone from 2003 to 2023</w:t>
      </w:r>
      <w:r>
        <w:t>.</w:t>
      </w:r>
      <w:bookmarkEnd w:id="270"/>
      <w:bookmarkEnd w:id="271"/>
    </w:p>
    <w:p w14:paraId="629CD531" w14:textId="2AEC89E0" w:rsidR="00B453B2" w:rsidRPr="00B453B2" w:rsidRDefault="0092261C" w:rsidP="00AA64D4">
      <w:r w:rsidRPr="0092261C">
        <w:rPr>
          <w:noProof/>
        </w:rPr>
        <w:drawing>
          <wp:inline distT="0" distB="0" distL="0" distR="0" wp14:anchorId="61AB181E" wp14:editId="464EB58E">
            <wp:extent cx="8542020" cy="5406233"/>
            <wp:effectExtent l="0" t="0" r="0" b="0"/>
            <wp:docPr id="111659225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92258" name="Picture 1" descr="A screenshot of a graph&#10;&#10;Description automatically generated"/>
                    <pic:cNvPicPr/>
                  </pic:nvPicPr>
                  <pic:blipFill>
                    <a:blip r:embed="rId110"/>
                    <a:stretch>
                      <a:fillRect/>
                    </a:stretch>
                  </pic:blipFill>
                  <pic:spPr>
                    <a:xfrm>
                      <a:off x="0" y="0"/>
                      <a:ext cx="8557057" cy="5415750"/>
                    </a:xfrm>
                    <a:prstGeom prst="rect">
                      <a:avLst/>
                    </a:prstGeom>
                  </pic:spPr>
                </pic:pic>
              </a:graphicData>
            </a:graphic>
          </wp:inline>
        </w:drawing>
      </w:r>
    </w:p>
    <w:sectPr w:rsidR="00B453B2" w:rsidRPr="00B453B2" w:rsidSect="00AA64D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47BFE" w14:textId="77777777" w:rsidR="00E71C19" w:rsidRDefault="00E71C19" w:rsidP="0092692C">
      <w:r>
        <w:separator/>
      </w:r>
    </w:p>
  </w:endnote>
  <w:endnote w:type="continuationSeparator" w:id="0">
    <w:p w14:paraId="420B65F3" w14:textId="77777777" w:rsidR="00E71C19" w:rsidRDefault="00E71C19" w:rsidP="0092692C">
      <w:r>
        <w:continuationSeparator/>
      </w:r>
    </w:p>
  </w:endnote>
  <w:endnote w:type="continuationNotice" w:id="1">
    <w:p w14:paraId="6BD8BE5D" w14:textId="77777777" w:rsidR="00E71C19" w:rsidRDefault="00E71C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413E4" w14:textId="12968725" w:rsidR="008D4AAD" w:rsidRDefault="008D4AAD">
    <w:pPr>
      <w:pStyle w:val="Footer"/>
    </w:pPr>
    <w:r>
      <w:rPr>
        <w:noProof/>
      </w:rPr>
      <mc:AlternateContent>
        <mc:Choice Requires="wps">
          <w:drawing>
            <wp:anchor distT="0" distB="0" distL="0" distR="0" simplePos="0" relativeHeight="251662336" behindDoc="0" locked="0" layoutInCell="1" allowOverlap="1" wp14:anchorId="33CB4593" wp14:editId="111762BE">
              <wp:simplePos x="635" y="635"/>
              <wp:positionH relativeFrom="page">
                <wp:align>center</wp:align>
              </wp:positionH>
              <wp:positionV relativeFrom="page">
                <wp:align>bottom</wp:align>
              </wp:positionV>
              <wp:extent cx="686435" cy="441960"/>
              <wp:effectExtent l="0" t="0" r="18415" b="0"/>
              <wp:wrapNone/>
              <wp:docPr id="5923982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5C4C196E" w14:textId="6E786926"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CB4593" id="_x0000_t202" coordsize="21600,21600" o:spt="202" path="m,l,21600r21600,l21600,xe">
              <v:stroke joinstyle="miter"/>
              <v:path gradientshapeok="t" o:connecttype="rect"/>
            </v:shapetype>
            <v:shape id="Text Box 5" o:spid="_x0000_s1029" type="#_x0000_t202" alt="OFFICIAL" style="position:absolute;margin-left:0;margin-top:0;width:54.05pt;height:34.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NPcvOoPAgAA&#10;HAQAAA4AAAAAAAAAAAAAAAAALgIAAGRycy9lMm9Eb2MueG1sUEsBAi0AFAAGAAgAAAAhAGcw+OPb&#10;AAAABAEAAA8AAAAAAAAAAAAAAAAAaQQAAGRycy9kb3ducmV2LnhtbFBLBQYAAAAABAAEAPMAAABx&#10;BQAAAAA=&#10;" filled="f" stroked="f">
              <v:fill o:detectmouseclick="t"/>
              <v:textbox style="mso-fit-shape-to-text:t" inset="0,0,0,15pt">
                <w:txbxContent>
                  <w:p w14:paraId="5C4C196E" w14:textId="6E786926"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50D70" w14:textId="61787800" w:rsidR="00C70DC4" w:rsidRDefault="008D4AAD" w:rsidP="0092692C">
    <w:pPr>
      <w:pStyle w:val="Footer"/>
    </w:pPr>
    <w:r>
      <w:rPr>
        <w:noProof/>
      </w:rPr>
      <mc:AlternateContent>
        <mc:Choice Requires="wps">
          <w:drawing>
            <wp:anchor distT="0" distB="0" distL="0" distR="0" simplePos="0" relativeHeight="251663360" behindDoc="0" locked="0" layoutInCell="1" allowOverlap="1" wp14:anchorId="65A077AE" wp14:editId="6E5DE326">
              <wp:simplePos x="914400" y="9906000"/>
              <wp:positionH relativeFrom="page">
                <wp:align>center</wp:align>
              </wp:positionH>
              <wp:positionV relativeFrom="page">
                <wp:align>bottom</wp:align>
              </wp:positionV>
              <wp:extent cx="686435" cy="441960"/>
              <wp:effectExtent l="0" t="0" r="18415" b="0"/>
              <wp:wrapNone/>
              <wp:docPr id="65852871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B4DC9E" w14:textId="79805F01"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A077AE" id="_x0000_t202" coordsize="21600,21600" o:spt="202" path="m,l,21600r21600,l21600,xe">
              <v:stroke joinstyle="miter"/>
              <v:path gradientshapeok="t" o:connecttype="rect"/>
            </v:shapetype>
            <v:shape id="Text Box 6" o:spid="_x0000_s1030" type="#_x0000_t202" alt="OFFICIAL" style="position:absolute;margin-left:0;margin-top:0;width:54.05pt;height:34.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" filled="f" stroked="f">
              <v:fill o:detectmouseclick="t"/>
              <v:textbox style="mso-fit-shape-to-text:t" inset="0,0,0,15pt">
                <w:txbxContent>
                  <w:p w14:paraId="14B4DC9E" w14:textId="79805F01"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v:textbox>
              <w10:wrap anchorx="page" anchory="page"/>
            </v:shape>
          </w:pict>
        </mc:Fallback>
      </mc:AlternateContent>
    </w:r>
  </w:p>
  <w:p w14:paraId="77D1833C" w14:textId="2C1EDB4C" w:rsidR="00C70DC4" w:rsidRDefault="00C70DC4" w:rsidP="0092692C">
    <w:pPr>
      <w:pStyle w:val="Footer"/>
    </w:pPr>
    <w:r>
      <w:tab/>
    </w:r>
    <w:sdt>
      <w:sdtPr>
        <w:id w:val="13831297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4B6BD" w14:textId="538DA431" w:rsidR="008D4AAD" w:rsidRDefault="008D4AAD">
    <w:pPr>
      <w:pStyle w:val="Footer"/>
    </w:pPr>
    <w:r>
      <w:rPr>
        <w:noProof/>
      </w:rPr>
      <mc:AlternateContent>
        <mc:Choice Requires="wps">
          <w:drawing>
            <wp:anchor distT="0" distB="0" distL="0" distR="0" simplePos="0" relativeHeight="251661312" behindDoc="0" locked="0" layoutInCell="1" allowOverlap="1" wp14:anchorId="7BE0C988" wp14:editId="0F0693F2">
              <wp:simplePos x="635" y="635"/>
              <wp:positionH relativeFrom="page">
                <wp:align>center</wp:align>
              </wp:positionH>
              <wp:positionV relativeFrom="page">
                <wp:align>bottom</wp:align>
              </wp:positionV>
              <wp:extent cx="686435" cy="441960"/>
              <wp:effectExtent l="0" t="0" r="18415" b="0"/>
              <wp:wrapNone/>
              <wp:docPr id="150812111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DAB422A" w14:textId="4E16186D"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E0C988" id="_x0000_t202" coordsize="21600,21600" o:spt="202" path="m,l,21600r21600,l21600,xe">
              <v:stroke joinstyle="miter"/>
              <v:path gradientshapeok="t" o:connecttype="rect"/>
            </v:shapetype>
            <v:shape id="Text Box 4" o:spid="_x0000_s1032" type="#_x0000_t202" alt="OFFICIAL" style="position:absolute;margin-left:0;margin-top:0;width:54.05pt;height:34.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" filled="f" stroked="f">
              <v:fill o:detectmouseclick="t"/>
              <v:textbox style="mso-fit-shape-to-text:t" inset="0,0,0,15pt">
                <w:txbxContent>
                  <w:p w14:paraId="1DAB422A" w14:textId="4E16186D"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48349" w14:textId="77777777" w:rsidR="00E71C19" w:rsidRDefault="00E71C19" w:rsidP="0092692C">
      <w:r>
        <w:separator/>
      </w:r>
    </w:p>
  </w:footnote>
  <w:footnote w:type="continuationSeparator" w:id="0">
    <w:p w14:paraId="38470DF3" w14:textId="77777777" w:rsidR="00E71C19" w:rsidRDefault="00E71C19" w:rsidP="0092692C">
      <w:r>
        <w:continuationSeparator/>
      </w:r>
    </w:p>
  </w:footnote>
  <w:footnote w:type="continuationNotice" w:id="1">
    <w:p w14:paraId="24431022" w14:textId="77777777" w:rsidR="00E71C19" w:rsidRDefault="00E71C1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DAF85" w14:textId="53A55A71" w:rsidR="008D4AAD" w:rsidRDefault="008D4AAD">
    <w:pPr>
      <w:pStyle w:val="Header"/>
    </w:pPr>
    <w:r>
      <w:rPr>
        <w:noProof/>
      </w:rPr>
      <mc:AlternateContent>
        <mc:Choice Requires="wps">
          <w:drawing>
            <wp:anchor distT="0" distB="0" distL="0" distR="0" simplePos="0" relativeHeight="251659264" behindDoc="0" locked="0" layoutInCell="1" allowOverlap="1" wp14:anchorId="098B7C04" wp14:editId="6BE15571">
              <wp:simplePos x="635" y="635"/>
              <wp:positionH relativeFrom="page">
                <wp:align>center</wp:align>
              </wp:positionH>
              <wp:positionV relativeFrom="page">
                <wp:align>top</wp:align>
              </wp:positionV>
              <wp:extent cx="686435" cy="441960"/>
              <wp:effectExtent l="0" t="0" r="18415" b="15240"/>
              <wp:wrapNone/>
              <wp:docPr id="7819991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294D7519" w14:textId="1B91FD60"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8B7C04" id="_x0000_t202" coordsize="21600,21600" o:spt="202" path="m,l,21600r21600,l21600,xe">
              <v:stroke joinstyle="miter"/>
              <v:path gradientshapeok="t" o:connecttype="rect"/>
            </v:shapetype>
            <v:shape id="Text Box 2" o:spid="_x0000_s1027" type="#_x0000_t202" alt="OFFICIAL" style="position:absolute;margin-left:0;margin-top:0;width:54.05pt;height:34.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" filled="f" stroked="f">
              <v:fill o:detectmouseclick="t"/>
              <v:textbox style="mso-fit-shape-to-text:t" inset="0,15pt,0,0">
                <w:txbxContent>
                  <w:p w14:paraId="294D7519" w14:textId="1B91FD60"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9B2F3" w14:textId="5F9630F2" w:rsidR="00C70DC4" w:rsidRDefault="008D4AAD" w:rsidP="00A07BD9">
    <w:pPr>
      <w:pStyle w:val="Header"/>
      <w:tabs>
        <w:tab w:val="clear" w:pos="4513"/>
        <w:tab w:val="clear" w:pos="9026"/>
      </w:tabs>
      <w:jc w:val="right"/>
    </w:pPr>
    <w:r>
      <w:rPr>
        <w:noProof/>
      </w:rPr>
      <mc:AlternateContent>
        <mc:Choice Requires="wps">
          <w:drawing>
            <wp:anchor distT="0" distB="0" distL="0" distR="0" simplePos="0" relativeHeight="251660288" behindDoc="0" locked="0" layoutInCell="1" allowOverlap="1" wp14:anchorId="1FE0ABA7" wp14:editId="545D77C5">
              <wp:simplePos x="914400" y="447675"/>
              <wp:positionH relativeFrom="page">
                <wp:align>center</wp:align>
              </wp:positionH>
              <wp:positionV relativeFrom="page">
                <wp:align>top</wp:align>
              </wp:positionV>
              <wp:extent cx="686435" cy="441960"/>
              <wp:effectExtent l="0" t="0" r="18415" b="15240"/>
              <wp:wrapNone/>
              <wp:docPr id="140345640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6A52C945" w14:textId="05005C7F"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E0ABA7" id="_x0000_t202" coordsize="21600,21600" o:spt="202" path="m,l,21600r21600,l21600,xe">
              <v:stroke joinstyle="miter"/>
              <v:path gradientshapeok="t" o:connecttype="rect"/>
            </v:shapetype>
            <v:shape id="Text Box 3" o:spid="_x0000_s1028" type="#_x0000_t202" alt="OFFICIAL" style="position:absolute;left:0;text-align:left;margin-left:0;margin-top:0;width:54.05pt;height:34.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" filled="f" stroked="f">
              <v:fill o:detectmouseclick="t"/>
              <v:textbox style="mso-fit-shape-to-text:t" inset="0,15pt,0,0">
                <w:txbxContent>
                  <w:p w14:paraId="6A52C945" w14:textId="05005C7F"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v:textbox>
              <w10:wrap anchorx="page" anchory="page"/>
            </v:shape>
          </w:pict>
        </mc:Fallback>
      </mc:AlternateContent>
    </w:r>
    <w:r w:rsidR="00C70DC4">
      <w:tab/>
    </w:r>
    <w:r w:rsidR="00C70DC4">
      <w:tab/>
    </w:r>
    <w:r w:rsidR="00C70DC4" w:rsidRPr="00F23E51">
      <w:t>Eastern Zone Stock Assessment Report 202</w:t>
    </w:r>
    <w:r w:rsidR="00C439AD">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D4EEA" w14:textId="3BF3F07F" w:rsidR="008D4AAD" w:rsidRDefault="008D4AAD">
    <w:pPr>
      <w:pStyle w:val="Header"/>
    </w:pPr>
    <w:r>
      <w:rPr>
        <w:noProof/>
      </w:rPr>
      <mc:AlternateContent>
        <mc:Choice Requires="wps">
          <w:drawing>
            <wp:anchor distT="0" distB="0" distL="0" distR="0" simplePos="0" relativeHeight="251658240" behindDoc="0" locked="0" layoutInCell="1" allowOverlap="1" wp14:anchorId="185E1F04" wp14:editId="78B4E42E">
              <wp:simplePos x="635" y="635"/>
              <wp:positionH relativeFrom="page">
                <wp:align>center</wp:align>
              </wp:positionH>
              <wp:positionV relativeFrom="page">
                <wp:align>top</wp:align>
              </wp:positionV>
              <wp:extent cx="686435" cy="441960"/>
              <wp:effectExtent l="0" t="0" r="18415" b="15240"/>
              <wp:wrapNone/>
              <wp:docPr id="98471328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441960"/>
                      </a:xfrm>
                      <a:prstGeom prst="rect">
                        <a:avLst/>
                      </a:prstGeom>
                      <a:noFill/>
                      <a:ln>
                        <a:noFill/>
                      </a:ln>
                    </wps:spPr>
                    <wps:txbx>
                      <w:txbxContent>
                        <w:p w14:paraId="14FB68D8" w14:textId="0BF1D3E1"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5E1F04" id="_x0000_t202" coordsize="21600,21600" o:spt="202" path="m,l,21600r21600,l21600,xe">
              <v:stroke joinstyle="miter"/>
              <v:path gradientshapeok="t" o:connecttype="rect"/>
            </v:shapetype>
            <v:shape id="_x0000_s1031" type="#_x0000_t202" alt="OFFICIAL" style="position:absolute;margin-left:0;margin-top:0;width:54.05pt;height:34.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m6CwIAABU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" filled="f" stroked="f">
              <v:fill o:detectmouseclick="t"/>
              <v:textbox style="mso-fit-shape-to-text:t" inset="0,15pt,0,0">
                <w:txbxContent>
                  <w:p w14:paraId="14FB68D8" w14:textId="0BF1D3E1" w:rsidR="008D4AAD" w:rsidRPr="008D4AAD" w:rsidRDefault="008D4AAD" w:rsidP="008D4AAD">
                    <w:pPr>
                      <w:spacing w:after="0"/>
                      <w:rPr>
                        <w:rFonts w:ascii="Arial" w:eastAsia="Arial" w:hAnsi="Arial" w:cs="Arial"/>
                        <w:noProof/>
                        <w:color w:val="000000"/>
                        <w:sz w:val="24"/>
                        <w:szCs w:val="24"/>
                      </w:rPr>
                    </w:pPr>
                    <w:r w:rsidRPr="008D4AAD">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63C26A0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C7E7373"/>
    <w:multiLevelType w:val="multilevel"/>
    <w:tmpl w:val="C4DA8BCE"/>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0B25F8F"/>
    <w:multiLevelType w:val="multilevel"/>
    <w:tmpl w:val="21CCD2F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0B2D2F"/>
    <w:multiLevelType w:val="multilevel"/>
    <w:tmpl w:val="21CCD2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841805"/>
    <w:multiLevelType w:val="multilevel"/>
    <w:tmpl w:val="08A86E08"/>
    <w:lvl w:ilvl="0">
      <w:start w:val="1"/>
      <w:numFmt w:val="decimal"/>
      <w:pStyle w:val="StandardPrinciple1"/>
      <w:lvlText w:val="%1."/>
      <w:lvlJc w:val="left"/>
      <w:pPr>
        <w:ind w:left="360" w:hanging="360"/>
      </w:pPr>
    </w:lvl>
    <w:lvl w:ilvl="1">
      <w:start w:val="1"/>
      <w:numFmt w:val="decimal"/>
      <w:pStyle w:val="StandardPrinciple2"/>
      <w:lvlText w:val="%1.%2."/>
      <w:lvlJc w:val="left"/>
      <w:pPr>
        <w:ind w:left="792" w:hanging="432"/>
      </w:pPr>
    </w:lvl>
    <w:lvl w:ilvl="2">
      <w:start w:val="1"/>
      <w:numFmt w:val="decimal"/>
      <w:pStyle w:val="StandardPrinciple3"/>
      <w:lvlText w:val="%1.%2.%3."/>
      <w:lvlJc w:val="left"/>
      <w:pPr>
        <w:ind w:left="1224" w:hanging="504"/>
      </w:pPr>
    </w:lvl>
    <w:lvl w:ilvl="3">
      <w:start w:val="1"/>
      <w:numFmt w:val="decimal"/>
      <w:pStyle w:val="StandardPrincipl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763D6D"/>
    <w:multiLevelType w:val="multilevel"/>
    <w:tmpl w:val="994ED1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8CB5467"/>
    <w:multiLevelType w:val="hybridMultilevel"/>
    <w:tmpl w:val="7616B29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7" w15:restartNumberingAfterBreak="0">
    <w:nsid w:val="4AAB4F28"/>
    <w:multiLevelType w:val="hybridMultilevel"/>
    <w:tmpl w:val="D6AE5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910205"/>
    <w:multiLevelType w:val="hybridMultilevel"/>
    <w:tmpl w:val="E14EF2B8"/>
    <w:lvl w:ilvl="0" w:tplc="E93E6FCA">
      <w:start w:val="1"/>
      <w:numFmt w:val="decimal"/>
      <w:pStyle w:val="MRAGHeading1"/>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CEB3DDC"/>
    <w:multiLevelType w:val="multilevel"/>
    <w:tmpl w:val="AA4CA5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CFA0EF4"/>
    <w:multiLevelType w:val="hybridMultilevel"/>
    <w:tmpl w:val="C7441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0233940">
    <w:abstractNumId w:val="2"/>
  </w:num>
  <w:num w:numId="2" w16cid:durableId="1480417636">
    <w:abstractNumId w:val="8"/>
  </w:num>
  <w:num w:numId="3" w16cid:durableId="204491681">
    <w:abstractNumId w:val="4"/>
  </w:num>
  <w:num w:numId="4" w16cid:durableId="2034112240">
    <w:abstractNumId w:val="0"/>
  </w:num>
  <w:num w:numId="5" w16cid:durableId="497498925">
    <w:abstractNumId w:val="1"/>
  </w:num>
  <w:num w:numId="6" w16cid:durableId="1515152080">
    <w:abstractNumId w:val="5"/>
  </w:num>
  <w:num w:numId="7" w16cid:durableId="2078162892">
    <w:abstractNumId w:val="9"/>
  </w:num>
  <w:num w:numId="8" w16cid:durableId="1281297187">
    <w:abstractNumId w:val="10"/>
  </w:num>
  <w:num w:numId="9" w16cid:durableId="1708944639">
    <w:abstractNumId w:val="1"/>
  </w:num>
  <w:num w:numId="10" w16cid:durableId="1153448204">
    <w:abstractNumId w:val="6"/>
  </w:num>
  <w:num w:numId="11" w16cid:durableId="11913790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90910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4608407">
    <w:abstractNumId w:val="9"/>
  </w:num>
  <w:num w:numId="14" w16cid:durableId="145631604">
    <w:abstractNumId w:val="9"/>
  </w:num>
  <w:num w:numId="15" w16cid:durableId="4250795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0301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35352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98644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46972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688261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942434">
    <w:abstractNumId w:val="2"/>
  </w:num>
  <w:num w:numId="22" w16cid:durableId="1190030107">
    <w:abstractNumId w:val="3"/>
  </w:num>
  <w:num w:numId="23" w16cid:durableId="12602134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54376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42302811">
    <w:abstractNumId w:val="2"/>
  </w:num>
  <w:num w:numId="26" w16cid:durableId="2021855226">
    <w:abstractNumId w:val="1"/>
  </w:num>
  <w:num w:numId="27" w16cid:durableId="163322344">
    <w:abstractNumId w:val="1"/>
  </w:num>
  <w:num w:numId="28" w16cid:durableId="466901422">
    <w:abstractNumId w:val="1"/>
  </w:num>
  <w:num w:numId="29" w16cid:durableId="1441949923">
    <w:abstractNumId w:val="2"/>
  </w:num>
  <w:num w:numId="30" w16cid:durableId="350108961">
    <w:abstractNumId w:val="1"/>
  </w:num>
  <w:num w:numId="31" w16cid:durableId="2090998850">
    <w:abstractNumId w:val="7"/>
  </w:num>
  <w:num w:numId="32" w16cid:durableId="21303917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87033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rvz2zp69xfsme9td5v22w3arsszxzvxf9v&quot;&gt;My EndNote Library-Saved&lt;record-ids&gt;&lt;item&gt;357&lt;/item&gt;&lt;item&gt;462&lt;/item&gt;&lt;item&gt;465&lt;/item&gt;&lt;item&gt;470&lt;/item&gt;&lt;item&gt;698&lt;/item&gt;&lt;item&gt;731&lt;/item&gt;&lt;item&gt;770&lt;/item&gt;&lt;item&gt;771&lt;/item&gt;&lt;item&gt;772&lt;/item&gt;&lt;item&gt;773&lt;/item&gt;&lt;item&gt;774&lt;/item&gt;&lt;item&gt;775&lt;/item&gt;&lt;item&gt;776&lt;/item&gt;&lt;/record-ids&gt;&lt;/item&gt;&lt;/Libraries&gt;"/>
  </w:docVars>
  <w:rsids>
    <w:rsidRoot w:val="005C5433"/>
    <w:rsid w:val="00001514"/>
    <w:rsid w:val="00002507"/>
    <w:rsid w:val="000026EF"/>
    <w:rsid w:val="00002CDB"/>
    <w:rsid w:val="00002F76"/>
    <w:rsid w:val="000034EB"/>
    <w:rsid w:val="000036C4"/>
    <w:rsid w:val="000037D2"/>
    <w:rsid w:val="00003847"/>
    <w:rsid w:val="000038AE"/>
    <w:rsid w:val="00003EDA"/>
    <w:rsid w:val="00003F31"/>
    <w:rsid w:val="00004306"/>
    <w:rsid w:val="000043ED"/>
    <w:rsid w:val="0000468C"/>
    <w:rsid w:val="00004F6C"/>
    <w:rsid w:val="00005723"/>
    <w:rsid w:val="00005B5C"/>
    <w:rsid w:val="00005E50"/>
    <w:rsid w:val="00005EA4"/>
    <w:rsid w:val="00005F8B"/>
    <w:rsid w:val="0000605E"/>
    <w:rsid w:val="000061E7"/>
    <w:rsid w:val="00006C32"/>
    <w:rsid w:val="00006E11"/>
    <w:rsid w:val="00007400"/>
    <w:rsid w:val="00007FD7"/>
    <w:rsid w:val="00011114"/>
    <w:rsid w:val="0001120A"/>
    <w:rsid w:val="00011595"/>
    <w:rsid w:val="0001236C"/>
    <w:rsid w:val="00012D97"/>
    <w:rsid w:val="00013303"/>
    <w:rsid w:val="00013936"/>
    <w:rsid w:val="000139E9"/>
    <w:rsid w:val="00013D65"/>
    <w:rsid w:val="00014E2F"/>
    <w:rsid w:val="000153BA"/>
    <w:rsid w:val="000154C9"/>
    <w:rsid w:val="00015853"/>
    <w:rsid w:val="00015A61"/>
    <w:rsid w:val="00015D76"/>
    <w:rsid w:val="00015F17"/>
    <w:rsid w:val="00015F9C"/>
    <w:rsid w:val="00016A85"/>
    <w:rsid w:val="0002049C"/>
    <w:rsid w:val="000204A7"/>
    <w:rsid w:val="0002089E"/>
    <w:rsid w:val="000208CE"/>
    <w:rsid w:val="00020977"/>
    <w:rsid w:val="00021867"/>
    <w:rsid w:val="0002188D"/>
    <w:rsid w:val="000226F0"/>
    <w:rsid w:val="00022D2D"/>
    <w:rsid w:val="00023B85"/>
    <w:rsid w:val="00023EEA"/>
    <w:rsid w:val="00023F3A"/>
    <w:rsid w:val="00024430"/>
    <w:rsid w:val="000259B3"/>
    <w:rsid w:val="00025A71"/>
    <w:rsid w:val="00026530"/>
    <w:rsid w:val="00026801"/>
    <w:rsid w:val="00026B71"/>
    <w:rsid w:val="00026BAF"/>
    <w:rsid w:val="00026FEB"/>
    <w:rsid w:val="00027276"/>
    <w:rsid w:val="000272B6"/>
    <w:rsid w:val="000272CD"/>
    <w:rsid w:val="00027A88"/>
    <w:rsid w:val="00027FF3"/>
    <w:rsid w:val="00030162"/>
    <w:rsid w:val="00030205"/>
    <w:rsid w:val="00030207"/>
    <w:rsid w:val="00030262"/>
    <w:rsid w:val="000305BB"/>
    <w:rsid w:val="000313D6"/>
    <w:rsid w:val="000315F0"/>
    <w:rsid w:val="00031790"/>
    <w:rsid w:val="00031E22"/>
    <w:rsid w:val="00031FB5"/>
    <w:rsid w:val="000320E7"/>
    <w:rsid w:val="000323E5"/>
    <w:rsid w:val="000323F5"/>
    <w:rsid w:val="00032A51"/>
    <w:rsid w:val="00032AD4"/>
    <w:rsid w:val="00032F0B"/>
    <w:rsid w:val="000333DF"/>
    <w:rsid w:val="0003351F"/>
    <w:rsid w:val="00033787"/>
    <w:rsid w:val="0003426C"/>
    <w:rsid w:val="00034394"/>
    <w:rsid w:val="0003495D"/>
    <w:rsid w:val="000349A1"/>
    <w:rsid w:val="00035C80"/>
    <w:rsid w:val="0003669D"/>
    <w:rsid w:val="0003687B"/>
    <w:rsid w:val="00037025"/>
    <w:rsid w:val="0003717B"/>
    <w:rsid w:val="0003763A"/>
    <w:rsid w:val="00037CB9"/>
    <w:rsid w:val="00037CD3"/>
    <w:rsid w:val="000400B6"/>
    <w:rsid w:val="00040211"/>
    <w:rsid w:val="000404B9"/>
    <w:rsid w:val="000411BC"/>
    <w:rsid w:val="00041204"/>
    <w:rsid w:val="00042A5A"/>
    <w:rsid w:val="00043969"/>
    <w:rsid w:val="00043A8D"/>
    <w:rsid w:val="00044485"/>
    <w:rsid w:val="000447CF"/>
    <w:rsid w:val="0004492B"/>
    <w:rsid w:val="00044E68"/>
    <w:rsid w:val="000453D8"/>
    <w:rsid w:val="00045585"/>
    <w:rsid w:val="00045827"/>
    <w:rsid w:val="00045F79"/>
    <w:rsid w:val="00046E52"/>
    <w:rsid w:val="00047259"/>
    <w:rsid w:val="00047336"/>
    <w:rsid w:val="0005052C"/>
    <w:rsid w:val="00050693"/>
    <w:rsid w:val="000508B7"/>
    <w:rsid w:val="00050D95"/>
    <w:rsid w:val="00050FFE"/>
    <w:rsid w:val="00051174"/>
    <w:rsid w:val="000514E0"/>
    <w:rsid w:val="00051747"/>
    <w:rsid w:val="0005263B"/>
    <w:rsid w:val="000531F7"/>
    <w:rsid w:val="00053637"/>
    <w:rsid w:val="000539E5"/>
    <w:rsid w:val="000542E3"/>
    <w:rsid w:val="00054F12"/>
    <w:rsid w:val="0005505C"/>
    <w:rsid w:val="000554CB"/>
    <w:rsid w:val="000556BF"/>
    <w:rsid w:val="000558A8"/>
    <w:rsid w:val="00055D51"/>
    <w:rsid w:val="00055FF4"/>
    <w:rsid w:val="0005606A"/>
    <w:rsid w:val="00056CE3"/>
    <w:rsid w:val="00056D34"/>
    <w:rsid w:val="00056D6C"/>
    <w:rsid w:val="000571FD"/>
    <w:rsid w:val="0005730C"/>
    <w:rsid w:val="00057531"/>
    <w:rsid w:val="00057734"/>
    <w:rsid w:val="00057791"/>
    <w:rsid w:val="00060DB3"/>
    <w:rsid w:val="000613AB"/>
    <w:rsid w:val="000615D2"/>
    <w:rsid w:val="0006177D"/>
    <w:rsid w:val="00061787"/>
    <w:rsid w:val="00061B74"/>
    <w:rsid w:val="00061DEE"/>
    <w:rsid w:val="00062188"/>
    <w:rsid w:val="00062408"/>
    <w:rsid w:val="000629DA"/>
    <w:rsid w:val="00062AFC"/>
    <w:rsid w:val="00062DA4"/>
    <w:rsid w:val="00062FA1"/>
    <w:rsid w:val="00063951"/>
    <w:rsid w:val="0006403C"/>
    <w:rsid w:val="0006417D"/>
    <w:rsid w:val="0006424E"/>
    <w:rsid w:val="000642D5"/>
    <w:rsid w:val="00064A23"/>
    <w:rsid w:val="00065391"/>
    <w:rsid w:val="00065CEC"/>
    <w:rsid w:val="000668C5"/>
    <w:rsid w:val="00066E5C"/>
    <w:rsid w:val="00066EA8"/>
    <w:rsid w:val="0006738C"/>
    <w:rsid w:val="0006747A"/>
    <w:rsid w:val="000679FC"/>
    <w:rsid w:val="00067BFC"/>
    <w:rsid w:val="0007088B"/>
    <w:rsid w:val="00070B7D"/>
    <w:rsid w:val="00070D96"/>
    <w:rsid w:val="00070DBB"/>
    <w:rsid w:val="0007109D"/>
    <w:rsid w:val="000712DD"/>
    <w:rsid w:val="0007153C"/>
    <w:rsid w:val="00071B1C"/>
    <w:rsid w:val="0007221D"/>
    <w:rsid w:val="0007284A"/>
    <w:rsid w:val="000729E8"/>
    <w:rsid w:val="0007380B"/>
    <w:rsid w:val="00074435"/>
    <w:rsid w:val="000745DC"/>
    <w:rsid w:val="0007460B"/>
    <w:rsid w:val="000753E5"/>
    <w:rsid w:val="00075DE1"/>
    <w:rsid w:val="0007607B"/>
    <w:rsid w:val="00076156"/>
    <w:rsid w:val="000761AD"/>
    <w:rsid w:val="000764DB"/>
    <w:rsid w:val="000766F1"/>
    <w:rsid w:val="000770B9"/>
    <w:rsid w:val="000771EE"/>
    <w:rsid w:val="000774BF"/>
    <w:rsid w:val="00077962"/>
    <w:rsid w:val="000804A8"/>
    <w:rsid w:val="00080B99"/>
    <w:rsid w:val="00080C3B"/>
    <w:rsid w:val="00080C92"/>
    <w:rsid w:val="00080EC9"/>
    <w:rsid w:val="00080F58"/>
    <w:rsid w:val="000818F0"/>
    <w:rsid w:val="00081B92"/>
    <w:rsid w:val="00082456"/>
    <w:rsid w:val="00082633"/>
    <w:rsid w:val="000826C9"/>
    <w:rsid w:val="00082C22"/>
    <w:rsid w:val="00082CB6"/>
    <w:rsid w:val="0008301F"/>
    <w:rsid w:val="000835F6"/>
    <w:rsid w:val="0008367F"/>
    <w:rsid w:val="00083B4D"/>
    <w:rsid w:val="0008437F"/>
    <w:rsid w:val="0008466E"/>
    <w:rsid w:val="0008493F"/>
    <w:rsid w:val="000849CA"/>
    <w:rsid w:val="0008518F"/>
    <w:rsid w:val="0008539B"/>
    <w:rsid w:val="000853EE"/>
    <w:rsid w:val="000856E1"/>
    <w:rsid w:val="00085B1D"/>
    <w:rsid w:val="00086677"/>
    <w:rsid w:val="00086774"/>
    <w:rsid w:val="0008743D"/>
    <w:rsid w:val="00087B89"/>
    <w:rsid w:val="0009081E"/>
    <w:rsid w:val="00090C8F"/>
    <w:rsid w:val="00090F02"/>
    <w:rsid w:val="0009139C"/>
    <w:rsid w:val="00091460"/>
    <w:rsid w:val="00091D97"/>
    <w:rsid w:val="0009241E"/>
    <w:rsid w:val="0009264D"/>
    <w:rsid w:val="0009291B"/>
    <w:rsid w:val="00092DA4"/>
    <w:rsid w:val="00092DB4"/>
    <w:rsid w:val="00093241"/>
    <w:rsid w:val="0009476F"/>
    <w:rsid w:val="0009525C"/>
    <w:rsid w:val="00095296"/>
    <w:rsid w:val="00096214"/>
    <w:rsid w:val="00097076"/>
    <w:rsid w:val="000A05F4"/>
    <w:rsid w:val="000A0755"/>
    <w:rsid w:val="000A11CD"/>
    <w:rsid w:val="000A1513"/>
    <w:rsid w:val="000A1671"/>
    <w:rsid w:val="000A18E3"/>
    <w:rsid w:val="000A1E8C"/>
    <w:rsid w:val="000A3465"/>
    <w:rsid w:val="000A3817"/>
    <w:rsid w:val="000A39AA"/>
    <w:rsid w:val="000A4189"/>
    <w:rsid w:val="000A4255"/>
    <w:rsid w:val="000A453C"/>
    <w:rsid w:val="000A50D8"/>
    <w:rsid w:val="000A53ED"/>
    <w:rsid w:val="000A5B40"/>
    <w:rsid w:val="000A6765"/>
    <w:rsid w:val="000A7279"/>
    <w:rsid w:val="000A7A69"/>
    <w:rsid w:val="000A7B28"/>
    <w:rsid w:val="000B007A"/>
    <w:rsid w:val="000B0700"/>
    <w:rsid w:val="000B0C64"/>
    <w:rsid w:val="000B13F7"/>
    <w:rsid w:val="000B1400"/>
    <w:rsid w:val="000B20D2"/>
    <w:rsid w:val="000B2EF0"/>
    <w:rsid w:val="000B2F6B"/>
    <w:rsid w:val="000B31C3"/>
    <w:rsid w:val="000B39EA"/>
    <w:rsid w:val="000B3C6B"/>
    <w:rsid w:val="000B45BB"/>
    <w:rsid w:val="000B4890"/>
    <w:rsid w:val="000B4B30"/>
    <w:rsid w:val="000B5ECF"/>
    <w:rsid w:val="000B642B"/>
    <w:rsid w:val="000B6C6D"/>
    <w:rsid w:val="000B7058"/>
    <w:rsid w:val="000B7274"/>
    <w:rsid w:val="000B763F"/>
    <w:rsid w:val="000B7837"/>
    <w:rsid w:val="000B79DC"/>
    <w:rsid w:val="000B7AD9"/>
    <w:rsid w:val="000B7D1B"/>
    <w:rsid w:val="000C0889"/>
    <w:rsid w:val="000C0FC9"/>
    <w:rsid w:val="000C1B00"/>
    <w:rsid w:val="000C218E"/>
    <w:rsid w:val="000C2DFD"/>
    <w:rsid w:val="000C3583"/>
    <w:rsid w:val="000C3C87"/>
    <w:rsid w:val="000C3E44"/>
    <w:rsid w:val="000C41C6"/>
    <w:rsid w:val="000C44F7"/>
    <w:rsid w:val="000C4999"/>
    <w:rsid w:val="000C49F8"/>
    <w:rsid w:val="000C4C30"/>
    <w:rsid w:val="000C4D6C"/>
    <w:rsid w:val="000C4DD7"/>
    <w:rsid w:val="000C4F59"/>
    <w:rsid w:val="000C542E"/>
    <w:rsid w:val="000C71CF"/>
    <w:rsid w:val="000C7CC2"/>
    <w:rsid w:val="000C7DA8"/>
    <w:rsid w:val="000D0124"/>
    <w:rsid w:val="000D046C"/>
    <w:rsid w:val="000D07F2"/>
    <w:rsid w:val="000D0C1E"/>
    <w:rsid w:val="000D0C56"/>
    <w:rsid w:val="000D1208"/>
    <w:rsid w:val="000D133D"/>
    <w:rsid w:val="000D1488"/>
    <w:rsid w:val="000D1EEA"/>
    <w:rsid w:val="000D2065"/>
    <w:rsid w:val="000D2314"/>
    <w:rsid w:val="000D35C5"/>
    <w:rsid w:val="000D3771"/>
    <w:rsid w:val="000D3AA2"/>
    <w:rsid w:val="000D41F4"/>
    <w:rsid w:val="000D52D0"/>
    <w:rsid w:val="000D5AA2"/>
    <w:rsid w:val="000D5EA1"/>
    <w:rsid w:val="000D6496"/>
    <w:rsid w:val="000D68B0"/>
    <w:rsid w:val="000D7673"/>
    <w:rsid w:val="000D7707"/>
    <w:rsid w:val="000D7EE6"/>
    <w:rsid w:val="000E01E1"/>
    <w:rsid w:val="000E0B6B"/>
    <w:rsid w:val="000E0C8B"/>
    <w:rsid w:val="000E1645"/>
    <w:rsid w:val="000E1724"/>
    <w:rsid w:val="000E21A5"/>
    <w:rsid w:val="000E21B7"/>
    <w:rsid w:val="000E2478"/>
    <w:rsid w:val="000E26DE"/>
    <w:rsid w:val="000E2964"/>
    <w:rsid w:val="000E29CF"/>
    <w:rsid w:val="000E2E8D"/>
    <w:rsid w:val="000E2F82"/>
    <w:rsid w:val="000E3A0F"/>
    <w:rsid w:val="000E4AB8"/>
    <w:rsid w:val="000E4DA9"/>
    <w:rsid w:val="000E5167"/>
    <w:rsid w:val="000E5307"/>
    <w:rsid w:val="000E56DA"/>
    <w:rsid w:val="000E5CFE"/>
    <w:rsid w:val="000E5F6F"/>
    <w:rsid w:val="000E5FBC"/>
    <w:rsid w:val="000E6D8D"/>
    <w:rsid w:val="000E6FD5"/>
    <w:rsid w:val="000E70EA"/>
    <w:rsid w:val="000E74DA"/>
    <w:rsid w:val="000E7778"/>
    <w:rsid w:val="000E7975"/>
    <w:rsid w:val="000F01B6"/>
    <w:rsid w:val="000F0323"/>
    <w:rsid w:val="000F0A9A"/>
    <w:rsid w:val="000F0BDB"/>
    <w:rsid w:val="000F17F7"/>
    <w:rsid w:val="000F1C81"/>
    <w:rsid w:val="000F2082"/>
    <w:rsid w:val="000F2407"/>
    <w:rsid w:val="000F242B"/>
    <w:rsid w:val="000F258B"/>
    <w:rsid w:val="000F2FB2"/>
    <w:rsid w:val="000F3765"/>
    <w:rsid w:val="000F3C5A"/>
    <w:rsid w:val="000F41DD"/>
    <w:rsid w:val="000F44D6"/>
    <w:rsid w:val="000F4749"/>
    <w:rsid w:val="000F4C4D"/>
    <w:rsid w:val="000F4C76"/>
    <w:rsid w:val="000F57D7"/>
    <w:rsid w:val="000F585B"/>
    <w:rsid w:val="000F5F05"/>
    <w:rsid w:val="000F6245"/>
    <w:rsid w:val="000F63F9"/>
    <w:rsid w:val="000F6755"/>
    <w:rsid w:val="000F6B90"/>
    <w:rsid w:val="000F6EFC"/>
    <w:rsid w:val="000F7301"/>
    <w:rsid w:val="000F7450"/>
    <w:rsid w:val="000F7582"/>
    <w:rsid w:val="00100016"/>
    <w:rsid w:val="001003C0"/>
    <w:rsid w:val="001003EC"/>
    <w:rsid w:val="001005DB"/>
    <w:rsid w:val="00100D98"/>
    <w:rsid w:val="00100E7B"/>
    <w:rsid w:val="0010182A"/>
    <w:rsid w:val="00101854"/>
    <w:rsid w:val="00101A81"/>
    <w:rsid w:val="00101B8D"/>
    <w:rsid w:val="001022CF"/>
    <w:rsid w:val="00102947"/>
    <w:rsid w:val="00102EF5"/>
    <w:rsid w:val="00103468"/>
    <w:rsid w:val="0010456A"/>
    <w:rsid w:val="00104900"/>
    <w:rsid w:val="00105DAE"/>
    <w:rsid w:val="0010604F"/>
    <w:rsid w:val="00106C7E"/>
    <w:rsid w:val="00107028"/>
    <w:rsid w:val="00107043"/>
    <w:rsid w:val="001072CF"/>
    <w:rsid w:val="001074B0"/>
    <w:rsid w:val="00107837"/>
    <w:rsid w:val="00110535"/>
    <w:rsid w:val="00111193"/>
    <w:rsid w:val="00111770"/>
    <w:rsid w:val="0011193A"/>
    <w:rsid w:val="00111D11"/>
    <w:rsid w:val="00111D83"/>
    <w:rsid w:val="0011238A"/>
    <w:rsid w:val="001124CD"/>
    <w:rsid w:val="001125E0"/>
    <w:rsid w:val="0011403F"/>
    <w:rsid w:val="00114375"/>
    <w:rsid w:val="00114809"/>
    <w:rsid w:val="001154FD"/>
    <w:rsid w:val="00116DD4"/>
    <w:rsid w:val="00116FB9"/>
    <w:rsid w:val="001171CD"/>
    <w:rsid w:val="001179D4"/>
    <w:rsid w:val="001179F1"/>
    <w:rsid w:val="00120EB0"/>
    <w:rsid w:val="001213ED"/>
    <w:rsid w:val="001218EF"/>
    <w:rsid w:val="00121A0B"/>
    <w:rsid w:val="00122C8B"/>
    <w:rsid w:val="001230F0"/>
    <w:rsid w:val="00123780"/>
    <w:rsid w:val="001237C2"/>
    <w:rsid w:val="001240C1"/>
    <w:rsid w:val="001247F8"/>
    <w:rsid w:val="001261FA"/>
    <w:rsid w:val="00126548"/>
    <w:rsid w:val="0012660D"/>
    <w:rsid w:val="001266BC"/>
    <w:rsid w:val="00126ACB"/>
    <w:rsid w:val="00126EA7"/>
    <w:rsid w:val="00127286"/>
    <w:rsid w:val="00127476"/>
    <w:rsid w:val="001302EA"/>
    <w:rsid w:val="00130DA4"/>
    <w:rsid w:val="001319CA"/>
    <w:rsid w:val="00131AF6"/>
    <w:rsid w:val="001321AC"/>
    <w:rsid w:val="00132448"/>
    <w:rsid w:val="00132ABA"/>
    <w:rsid w:val="00132D39"/>
    <w:rsid w:val="00132D5A"/>
    <w:rsid w:val="00132DD1"/>
    <w:rsid w:val="001334C7"/>
    <w:rsid w:val="00133B70"/>
    <w:rsid w:val="00133CAC"/>
    <w:rsid w:val="00133D57"/>
    <w:rsid w:val="00133DD9"/>
    <w:rsid w:val="00133F59"/>
    <w:rsid w:val="001345F4"/>
    <w:rsid w:val="00134CEC"/>
    <w:rsid w:val="00134D36"/>
    <w:rsid w:val="00134F97"/>
    <w:rsid w:val="001361E8"/>
    <w:rsid w:val="00136E28"/>
    <w:rsid w:val="00137393"/>
    <w:rsid w:val="001374BE"/>
    <w:rsid w:val="0013769B"/>
    <w:rsid w:val="001376D6"/>
    <w:rsid w:val="00140306"/>
    <w:rsid w:val="00140499"/>
    <w:rsid w:val="001405B4"/>
    <w:rsid w:val="00141254"/>
    <w:rsid w:val="0014155B"/>
    <w:rsid w:val="00141840"/>
    <w:rsid w:val="0014185B"/>
    <w:rsid w:val="00141870"/>
    <w:rsid w:val="00141ABF"/>
    <w:rsid w:val="00142433"/>
    <w:rsid w:val="0014244F"/>
    <w:rsid w:val="0014258E"/>
    <w:rsid w:val="00142F6F"/>
    <w:rsid w:val="00143001"/>
    <w:rsid w:val="001434F3"/>
    <w:rsid w:val="00143987"/>
    <w:rsid w:val="00143BCA"/>
    <w:rsid w:val="00143E21"/>
    <w:rsid w:val="00143FD3"/>
    <w:rsid w:val="00144128"/>
    <w:rsid w:val="0014451A"/>
    <w:rsid w:val="001448C4"/>
    <w:rsid w:val="00144C19"/>
    <w:rsid w:val="0014536F"/>
    <w:rsid w:val="00145467"/>
    <w:rsid w:val="001454B7"/>
    <w:rsid w:val="00145A72"/>
    <w:rsid w:val="001461A8"/>
    <w:rsid w:val="001473AC"/>
    <w:rsid w:val="00147D0F"/>
    <w:rsid w:val="0015032E"/>
    <w:rsid w:val="00150A45"/>
    <w:rsid w:val="00150FEC"/>
    <w:rsid w:val="0015146E"/>
    <w:rsid w:val="00152BDD"/>
    <w:rsid w:val="00153795"/>
    <w:rsid w:val="0015388B"/>
    <w:rsid w:val="00153C27"/>
    <w:rsid w:val="0015474E"/>
    <w:rsid w:val="00154D67"/>
    <w:rsid w:val="00155246"/>
    <w:rsid w:val="00155632"/>
    <w:rsid w:val="00155A03"/>
    <w:rsid w:val="00155C5F"/>
    <w:rsid w:val="00155DCA"/>
    <w:rsid w:val="00156614"/>
    <w:rsid w:val="00157252"/>
    <w:rsid w:val="00157B0D"/>
    <w:rsid w:val="00160116"/>
    <w:rsid w:val="00160282"/>
    <w:rsid w:val="00160A32"/>
    <w:rsid w:val="00160AA2"/>
    <w:rsid w:val="00160AE0"/>
    <w:rsid w:val="001612F5"/>
    <w:rsid w:val="0016189B"/>
    <w:rsid w:val="001619CF"/>
    <w:rsid w:val="00161C80"/>
    <w:rsid w:val="00162218"/>
    <w:rsid w:val="0016231B"/>
    <w:rsid w:val="001627E0"/>
    <w:rsid w:val="0016324F"/>
    <w:rsid w:val="001638A5"/>
    <w:rsid w:val="001639C0"/>
    <w:rsid w:val="00164151"/>
    <w:rsid w:val="0016451F"/>
    <w:rsid w:val="00164675"/>
    <w:rsid w:val="00164AC0"/>
    <w:rsid w:val="00165275"/>
    <w:rsid w:val="0016528F"/>
    <w:rsid w:val="00165C81"/>
    <w:rsid w:val="00167009"/>
    <w:rsid w:val="00167FCA"/>
    <w:rsid w:val="0017026D"/>
    <w:rsid w:val="00170D43"/>
    <w:rsid w:val="00171013"/>
    <w:rsid w:val="0017139A"/>
    <w:rsid w:val="0017172F"/>
    <w:rsid w:val="00171918"/>
    <w:rsid w:val="00171B87"/>
    <w:rsid w:val="001722D9"/>
    <w:rsid w:val="0017440D"/>
    <w:rsid w:val="00174C44"/>
    <w:rsid w:val="001759CE"/>
    <w:rsid w:val="00175A1D"/>
    <w:rsid w:val="00175C4C"/>
    <w:rsid w:val="00175FC9"/>
    <w:rsid w:val="0017686C"/>
    <w:rsid w:val="00177BF0"/>
    <w:rsid w:val="00177C53"/>
    <w:rsid w:val="00177CE8"/>
    <w:rsid w:val="00177FCE"/>
    <w:rsid w:val="00177FD3"/>
    <w:rsid w:val="001808FA"/>
    <w:rsid w:val="00180C83"/>
    <w:rsid w:val="00181160"/>
    <w:rsid w:val="0018129E"/>
    <w:rsid w:val="00181383"/>
    <w:rsid w:val="001813D5"/>
    <w:rsid w:val="0018192F"/>
    <w:rsid w:val="001819E7"/>
    <w:rsid w:val="00181DC6"/>
    <w:rsid w:val="001823A8"/>
    <w:rsid w:val="00182F58"/>
    <w:rsid w:val="00183197"/>
    <w:rsid w:val="00183322"/>
    <w:rsid w:val="00183442"/>
    <w:rsid w:val="001834EB"/>
    <w:rsid w:val="0018360A"/>
    <w:rsid w:val="00183999"/>
    <w:rsid w:val="00183B32"/>
    <w:rsid w:val="00183EA3"/>
    <w:rsid w:val="00184205"/>
    <w:rsid w:val="00184F05"/>
    <w:rsid w:val="00185074"/>
    <w:rsid w:val="001851F0"/>
    <w:rsid w:val="00185504"/>
    <w:rsid w:val="00186200"/>
    <w:rsid w:val="001868C6"/>
    <w:rsid w:val="00186AE8"/>
    <w:rsid w:val="001872F2"/>
    <w:rsid w:val="00190456"/>
    <w:rsid w:val="00190691"/>
    <w:rsid w:val="00190F3B"/>
    <w:rsid w:val="00191349"/>
    <w:rsid w:val="0019164D"/>
    <w:rsid w:val="001925BA"/>
    <w:rsid w:val="00192A90"/>
    <w:rsid w:val="0019301C"/>
    <w:rsid w:val="00193566"/>
    <w:rsid w:val="0019399B"/>
    <w:rsid w:val="00193C95"/>
    <w:rsid w:val="00193F2C"/>
    <w:rsid w:val="00194097"/>
    <w:rsid w:val="001948C6"/>
    <w:rsid w:val="00194B87"/>
    <w:rsid w:val="00194D49"/>
    <w:rsid w:val="00195A1D"/>
    <w:rsid w:val="00195BEB"/>
    <w:rsid w:val="00195CFE"/>
    <w:rsid w:val="00196C53"/>
    <w:rsid w:val="0019728A"/>
    <w:rsid w:val="001A087B"/>
    <w:rsid w:val="001A0DCE"/>
    <w:rsid w:val="001A14C4"/>
    <w:rsid w:val="001A1708"/>
    <w:rsid w:val="001A3D40"/>
    <w:rsid w:val="001A3E9E"/>
    <w:rsid w:val="001A4872"/>
    <w:rsid w:val="001A4934"/>
    <w:rsid w:val="001A4FB4"/>
    <w:rsid w:val="001A5466"/>
    <w:rsid w:val="001A58C1"/>
    <w:rsid w:val="001A62B4"/>
    <w:rsid w:val="001A64D7"/>
    <w:rsid w:val="001A67AA"/>
    <w:rsid w:val="001A6D3E"/>
    <w:rsid w:val="001A71E7"/>
    <w:rsid w:val="001A7461"/>
    <w:rsid w:val="001A7687"/>
    <w:rsid w:val="001A7B1E"/>
    <w:rsid w:val="001B0A6D"/>
    <w:rsid w:val="001B1FCE"/>
    <w:rsid w:val="001B2144"/>
    <w:rsid w:val="001B2655"/>
    <w:rsid w:val="001B2816"/>
    <w:rsid w:val="001B2A1F"/>
    <w:rsid w:val="001B2DF1"/>
    <w:rsid w:val="001B2FF0"/>
    <w:rsid w:val="001B3009"/>
    <w:rsid w:val="001B3D38"/>
    <w:rsid w:val="001B3FCD"/>
    <w:rsid w:val="001B4289"/>
    <w:rsid w:val="001B443A"/>
    <w:rsid w:val="001B4603"/>
    <w:rsid w:val="001B4E41"/>
    <w:rsid w:val="001B4EE6"/>
    <w:rsid w:val="001B5035"/>
    <w:rsid w:val="001B591D"/>
    <w:rsid w:val="001B594E"/>
    <w:rsid w:val="001B5A6D"/>
    <w:rsid w:val="001B5BCA"/>
    <w:rsid w:val="001B5C69"/>
    <w:rsid w:val="001B5E7E"/>
    <w:rsid w:val="001B6133"/>
    <w:rsid w:val="001B676D"/>
    <w:rsid w:val="001B67C2"/>
    <w:rsid w:val="001B6BA7"/>
    <w:rsid w:val="001B7792"/>
    <w:rsid w:val="001B7AB6"/>
    <w:rsid w:val="001B7D3C"/>
    <w:rsid w:val="001B7F39"/>
    <w:rsid w:val="001C0BA9"/>
    <w:rsid w:val="001C1377"/>
    <w:rsid w:val="001C2AFE"/>
    <w:rsid w:val="001C335B"/>
    <w:rsid w:val="001C3485"/>
    <w:rsid w:val="001C364A"/>
    <w:rsid w:val="001C413F"/>
    <w:rsid w:val="001C43CF"/>
    <w:rsid w:val="001C5493"/>
    <w:rsid w:val="001C5C0B"/>
    <w:rsid w:val="001C6005"/>
    <w:rsid w:val="001C609A"/>
    <w:rsid w:val="001C64DC"/>
    <w:rsid w:val="001C6CAC"/>
    <w:rsid w:val="001C6DC5"/>
    <w:rsid w:val="001C7CB7"/>
    <w:rsid w:val="001C7D95"/>
    <w:rsid w:val="001C7E9C"/>
    <w:rsid w:val="001D044D"/>
    <w:rsid w:val="001D06D8"/>
    <w:rsid w:val="001D1AC9"/>
    <w:rsid w:val="001D1C7B"/>
    <w:rsid w:val="001D1E88"/>
    <w:rsid w:val="001D1F20"/>
    <w:rsid w:val="001D2055"/>
    <w:rsid w:val="001D29E9"/>
    <w:rsid w:val="001D2B6F"/>
    <w:rsid w:val="001D3327"/>
    <w:rsid w:val="001D534B"/>
    <w:rsid w:val="001D54AF"/>
    <w:rsid w:val="001D55C2"/>
    <w:rsid w:val="001D6BA2"/>
    <w:rsid w:val="001D7296"/>
    <w:rsid w:val="001D7392"/>
    <w:rsid w:val="001D76D5"/>
    <w:rsid w:val="001E0CE3"/>
    <w:rsid w:val="001E1373"/>
    <w:rsid w:val="001E1514"/>
    <w:rsid w:val="001E1946"/>
    <w:rsid w:val="001E226F"/>
    <w:rsid w:val="001E2562"/>
    <w:rsid w:val="001E326F"/>
    <w:rsid w:val="001E32CC"/>
    <w:rsid w:val="001E353E"/>
    <w:rsid w:val="001E3782"/>
    <w:rsid w:val="001E3DFB"/>
    <w:rsid w:val="001E4006"/>
    <w:rsid w:val="001E4421"/>
    <w:rsid w:val="001E462E"/>
    <w:rsid w:val="001E4967"/>
    <w:rsid w:val="001E4CAF"/>
    <w:rsid w:val="001E4D86"/>
    <w:rsid w:val="001E4DA7"/>
    <w:rsid w:val="001E52F3"/>
    <w:rsid w:val="001E5E22"/>
    <w:rsid w:val="001E5ED8"/>
    <w:rsid w:val="001E6703"/>
    <w:rsid w:val="001E6C15"/>
    <w:rsid w:val="001E74E9"/>
    <w:rsid w:val="001E7633"/>
    <w:rsid w:val="001E79DC"/>
    <w:rsid w:val="001E7C72"/>
    <w:rsid w:val="001E7D9C"/>
    <w:rsid w:val="001E7DFA"/>
    <w:rsid w:val="001E7F31"/>
    <w:rsid w:val="001F084B"/>
    <w:rsid w:val="001F0B72"/>
    <w:rsid w:val="001F0DC9"/>
    <w:rsid w:val="001F0F5E"/>
    <w:rsid w:val="001F0F83"/>
    <w:rsid w:val="001F1166"/>
    <w:rsid w:val="001F1207"/>
    <w:rsid w:val="001F1311"/>
    <w:rsid w:val="001F1AAE"/>
    <w:rsid w:val="001F1B71"/>
    <w:rsid w:val="001F1E03"/>
    <w:rsid w:val="001F3B97"/>
    <w:rsid w:val="001F3C7E"/>
    <w:rsid w:val="001F3F63"/>
    <w:rsid w:val="001F3FF6"/>
    <w:rsid w:val="001F4727"/>
    <w:rsid w:val="001F5E45"/>
    <w:rsid w:val="001F610D"/>
    <w:rsid w:val="001F6CE4"/>
    <w:rsid w:val="001F73A0"/>
    <w:rsid w:val="001F7553"/>
    <w:rsid w:val="001F757E"/>
    <w:rsid w:val="001F76A7"/>
    <w:rsid w:val="00200533"/>
    <w:rsid w:val="002005E5"/>
    <w:rsid w:val="00201551"/>
    <w:rsid w:val="002015CC"/>
    <w:rsid w:val="00201D8E"/>
    <w:rsid w:val="002022B4"/>
    <w:rsid w:val="00202917"/>
    <w:rsid w:val="00202D30"/>
    <w:rsid w:val="0020307F"/>
    <w:rsid w:val="002032C7"/>
    <w:rsid w:val="00203906"/>
    <w:rsid w:val="00203F10"/>
    <w:rsid w:val="002041C0"/>
    <w:rsid w:val="00204958"/>
    <w:rsid w:val="00204D14"/>
    <w:rsid w:val="00205581"/>
    <w:rsid w:val="00206400"/>
    <w:rsid w:val="00206B1B"/>
    <w:rsid w:val="00206E87"/>
    <w:rsid w:val="00206E8A"/>
    <w:rsid w:val="002101B3"/>
    <w:rsid w:val="002103B0"/>
    <w:rsid w:val="002108B0"/>
    <w:rsid w:val="00210C16"/>
    <w:rsid w:val="00210D65"/>
    <w:rsid w:val="0021182E"/>
    <w:rsid w:val="00211BE6"/>
    <w:rsid w:val="002124D2"/>
    <w:rsid w:val="002125A0"/>
    <w:rsid w:val="002128C7"/>
    <w:rsid w:val="00213007"/>
    <w:rsid w:val="00213E64"/>
    <w:rsid w:val="00214008"/>
    <w:rsid w:val="00214480"/>
    <w:rsid w:val="0021461C"/>
    <w:rsid w:val="00214E46"/>
    <w:rsid w:val="002151FC"/>
    <w:rsid w:val="00215D71"/>
    <w:rsid w:val="00215FC7"/>
    <w:rsid w:val="0021658E"/>
    <w:rsid w:val="00216CC7"/>
    <w:rsid w:val="00217116"/>
    <w:rsid w:val="00217354"/>
    <w:rsid w:val="0021747A"/>
    <w:rsid w:val="002177E2"/>
    <w:rsid w:val="00217C00"/>
    <w:rsid w:val="002220DA"/>
    <w:rsid w:val="002221CA"/>
    <w:rsid w:val="0022235C"/>
    <w:rsid w:val="00222EBE"/>
    <w:rsid w:val="00222EC5"/>
    <w:rsid w:val="00222FE7"/>
    <w:rsid w:val="00223BC5"/>
    <w:rsid w:val="0022486B"/>
    <w:rsid w:val="0022491B"/>
    <w:rsid w:val="00224BE8"/>
    <w:rsid w:val="00224CF8"/>
    <w:rsid w:val="00224F0D"/>
    <w:rsid w:val="002251BF"/>
    <w:rsid w:val="002252C5"/>
    <w:rsid w:val="00225978"/>
    <w:rsid w:val="00225EC9"/>
    <w:rsid w:val="00226A0B"/>
    <w:rsid w:val="00226ED8"/>
    <w:rsid w:val="0022709D"/>
    <w:rsid w:val="0022758A"/>
    <w:rsid w:val="0022787D"/>
    <w:rsid w:val="00230132"/>
    <w:rsid w:val="00230F1E"/>
    <w:rsid w:val="00231A43"/>
    <w:rsid w:val="0023203A"/>
    <w:rsid w:val="00232240"/>
    <w:rsid w:val="00232659"/>
    <w:rsid w:val="002326D1"/>
    <w:rsid w:val="002332C2"/>
    <w:rsid w:val="00233424"/>
    <w:rsid w:val="002335A0"/>
    <w:rsid w:val="00233EDB"/>
    <w:rsid w:val="002340A5"/>
    <w:rsid w:val="002340E6"/>
    <w:rsid w:val="0023431D"/>
    <w:rsid w:val="0023454C"/>
    <w:rsid w:val="00235156"/>
    <w:rsid w:val="002357B1"/>
    <w:rsid w:val="0023633C"/>
    <w:rsid w:val="002372FA"/>
    <w:rsid w:val="00237A89"/>
    <w:rsid w:val="00237D06"/>
    <w:rsid w:val="002405EB"/>
    <w:rsid w:val="002407AE"/>
    <w:rsid w:val="0024094B"/>
    <w:rsid w:val="00240E3A"/>
    <w:rsid w:val="0024234D"/>
    <w:rsid w:val="00242548"/>
    <w:rsid w:val="0024277C"/>
    <w:rsid w:val="00242944"/>
    <w:rsid w:val="00242BFC"/>
    <w:rsid w:val="00242D3B"/>
    <w:rsid w:val="00243768"/>
    <w:rsid w:val="00243935"/>
    <w:rsid w:val="00243A98"/>
    <w:rsid w:val="00243DDD"/>
    <w:rsid w:val="0024456F"/>
    <w:rsid w:val="00244A1B"/>
    <w:rsid w:val="00244D74"/>
    <w:rsid w:val="00245A67"/>
    <w:rsid w:val="00245C01"/>
    <w:rsid w:val="002466B5"/>
    <w:rsid w:val="00246DF2"/>
    <w:rsid w:val="0024704C"/>
    <w:rsid w:val="00247636"/>
    <w:rsid w:val="00247C61"/>
    <w:rsid w:val="002508B5"/>
    <w:rsid w:val="002513D3"/>
    <w:rsid w:val="00251403"/>
    <w:rsid w:val="0025140F"/>
    <w:rsid w:val="00251DBC"/>
    <w:rsid w:val="002529BB"/>
    <w:rsid w:val="00253383"/>
    <w:rsid w:val="00253436"/>
    <w:rsid w:val="00254147"/>
    <w:rsid w:val="002544E6"/>
    <w:rsid w:val="00254767"/>
    <w:rsid w:val="00254827"/>
    <w:rsid w:val="00255B68"/>
    <w:rsid w:val="00255F6A"/>
    <w:rsid w:val="00256553"/>
    <w:rsid w:val="002565DE"/>
    <w:rsid w:val="0025694A"/>
    <w:rsid w:val="0026026A"/>
    <w:rsid w:val="00260813"/>
    <w:rsid w:val="00260DF3"/>
    <w:rsid w:val="002610BC"/>
    <w:rsid w:val="002612CC"/>
    <w:rsid w:val="002614B1"/>
    <w:rsid w:val="00261914"/>
    <w:rsid w:val="00261CA3"/>
    <w:rsid w:val="002625D5"/>
    <w:rsid w:val="002626CE"/>
    <w:rsid w:val="002626DC"/>
    <w:rsid w:val="002627CA"/>
    <w:rsid w:val="0026292B"/>
    <w:rsid w:val="0026293D"/>
    <w:rsid w:val="00262AE4"/>
    <w:rsid w:val="0026334C"/>
    <w:rsid w:val="002633EE"/>
    <w:rsid w:val="002635E4"/>
    <w:rsid w:val="002637BC"/>
    <w:rsid w:val="00263B4F"/>
    <w:rsid w:val="00263CBF"/>
    <w:rsid w:val="00263CF6"/>
    <w:rsid w:val="002642D2"/>
    <w:rsid w:val="002646CA"/>
    <w:rsid w:val="002647CC"/>
    <w:rsid w:val="00265607"/>
    <w:rsid w:val="00265EF3"/>
    <w:rsid w:val="00266507"/>
    <w:rsid w:val="002667DF"/>
    <w:rsid w:val="00266951"/>
    <w:rsid w:val="00267747"/>
    <w:rsid w:val="00267D4D"/>
    <w:rsid w:val="00267F25"/>
    <w:rsid w:val="002701C1"/>
    <w:rsid w:val="00270458"/>
    <w:rsid w:val="00270A45"/>
    <w:rsid w:val="0027154D"/>
    <w:rsid w:val="00271622"/>
    <w:rsid w:val="0027288E"/>
    <w:rsid w:val="00273163"/>
    <w:rsid w:val="0027316F"/>
    <w:rsid w:val="002731F0"/>
    <w:rsid w:val="0027322B"/>
    <w:rsid w:val="00273FC4"/>
    <w:rsid w:val="002741A9"/>
    <w:rsid w:val="00274939"/>
    <w:rsid w:val="0027498A"/>
    <w:rsid w:val="0027534E"/>
    <w:rsid w:val="002760C3"/>
    <w:rsid w:val="00276827"/>
    <w:rsid w:val="00276C14"/>
    <w:rsid w:val="00280121"/>
    <w:rsid w:val="0028067F"/>
    <w:rsid w:val="00280F2E"/>
    <w:rsid w:val="0028115A"/>
    <w:rsid w:val="00281743"/>
    <w:rsid w:val="0028189B"/>
    <w:rsid w:val="002819E5"/>
    <w:rsid w:val="002824F1"/>
    <w:rsid w:val="00282675"/>
    <w:rsid w:val="00282C7A"/>
    <w:rsid w:val="002833BF"/>
    <w:rsid w:val="002833C6"/>
    <w:rsid w:val="002836C7"/>
    <w:rsid w:val="002843E0"/>
    <w:rsid w:val="0028444C"/>
    <w:rsid w:val="00284D76"/>
    <w:rsid w:val="00284DAE"/>
    <w:rsid w:val="00285631"/>
    <w:rsid w:val="00285C9B"/>
    <w:rsid w:val="00285ED9"/>
    <w:rsid w:val="002870C7"/>
    <w:rsid w:val="0028718C"/>
    <w:rsid w:val="002873CF"/>
    <w:rsid w:val="002900BF"/>
    <w:rsid w:val="0029021C"/>
    <w:rsid w:val="00290264"/>
    <w:rsid w:val="00290430"/>
    <w:rsid w:val="00290D0F"/>
    <w:rsid w:val="002914CD"/>
    <w:rsid w:val="002916D7"/>
    <w:rsid w:val="00291F9B"/>
    <w:rsid w:val="00292F37"/>
    <w:rsid w:val="002931F3"/>
    <w:rsid w:val="002934E3"/>
    <w:rsid w:val="002936D1"/>
    <w:rsid w:val="002938A8"/>
    <w:rsid w:val="00293B2A"/>
    <w:rsid w:val="0029418B"/>
    <w:rsid w:val="0029490E"/>
    <w:rsid w:val="00294BEF"/>
    <w:rsid w:val="00294DB2"/>
    <w:rsid w:val="00295A82"/>
    <w:rsid w:val="00295C23"/>
    <w:rsid w:val="00295D95"/>
    <w:rsid w:val="00296061"/>
    <w:rsid w:val="002961A7"/>
    <w:rsid w:val="00296656"/>
    <w:rsid w:val="00297169"/>
    <w:rsid w:val="0029730F"/>
    <w:rsid w:val="0029735B"/>
    <w:rsid w:val="002974CA"/>
    <w:rsid w:val="00297557"/>
    <w:rsid w:val="00297868"/>
    <w:rsid w:val="00297B52"/>
    <w:rsid w:val="002A00B2"/>
    <w:rsid w:val="002A04F9"/>
    <w:rsid w:val="002A0AB2"/>
    <w:rsid w:val="002A1195"/>
    <w:rsid w:val="002A1826"/>
    <w:rsid w:val="002A190F"/>
    <w:rsid w:val="002A1D38"/>
    <w:rsid w:val="002A2195"/>
    <w:rsid w:val="002A2269"/>
    <w:rsid w:val="002A2292"/>
    <w:rsid w:val="002A258F"/>
    <w:rsid w:val="002A2963"/>
    <w:rsid w:val="002A2AA2"/>
    <w:rsid w:val="002A2BA1"/>
    <w:rsid w:val="002A4042"/>
    <w:rsid w:val="002A48B1"/>
    <w:rsid w:val="002A498D"/>
    <w:rsid w:val="002A4D18"/>
    <w:rsid w:val="002A4EBA"/>
    <w:rsid w:val="002A5471"/>
    <w:rsid w:val="002A6602"/>
    <w:rsid w:val="002A6F42"/>
    <w:rsid w:val="002A7062"/>
    <w:rsid w:val="002A7732"/>
    <w:rsid w:val="002A7A4C"/>
    <w:rsid w:val="002A7C74"/>
    <w:rsid w:val="002A7DF0"/>
    <w:rsid w:val="002B072F"/>
    <w:rsid w:val="002B1B35"/>
    <w:rsid w:val="002B1B66"/>
    <w:rsid w:val="002B1C4F"/>
    <w:rsid w:val="002B24C7"/>
    <w:rsid w:val="002B2BAE"/>
    <w:rsid w:val="002B3160"/>
    <w:rsid w:val="002B3BB4"/>
    <w:rsid w:val="002B3C46"/>
    <w:rsid w:val="002B403C"/>
    <w:rsid w:val="002B48E0"/>
    <w:rsid w:val="002B4BD2"/>
    <w:rsid w:val="002B4F5B"/>
    <w:rsid w:val="002B55E2"/>
    <w:rsid w:val="002B58FB"/>
    <w:rsid w:val="002B601B"/>
    <w:rsid w:val="002B62D4"/>
    <w:rsid w:val="002B713E"/>
    <w:rsid w:val="002B73BD"/>
    <w:rsid w:val="002B7494"/>
    <w:rsid w:val="002B78E2"/>
    <w:rsid w:val="002B7B55"/>
    <w:rsid w:val="002B7C28"/>
    <w:rsid w:val="002B7D20"/>
    <w:rsid w:val="002B7D76"/>
    <w:rsid w:val="002C0434"/>
    <w:rsid w:val="002C0E76"/>
    <w:rsid w:val="002C0FD6"/>
    <w:rsid w:val="002C1870"/>
    <w:rsid w:val="002C20D1"/>
    <w:rsid w:val="002C243F"/>
    <w:rsid w:val="002C248E"/>
    <w:rsid w:val="002C2C5B"/>
    <w:rsid w:val="002C435F"/>
    <w:rsid w:val="002C43D6"/>
    <w:rsid w:val="002C4520"/>
    <w:rsid w:val="002C46E4"/>
    <w:rsid w:val="002C4DC2"/>
    <w:rsid w:val="002C51A9"/>
    <w:rsid w:val="002C52E6"/>
    <w:rsid w:val="002C5394"/>
    <w:rsid w:val="002C59EB"/>
    <w:rsid w:val="002C5B51"/>
    <w:rsid w:val="002C609C"/>
    <w:rsid w:val="002C6346"/>
    <w:rsid w:val="002C6798"/>
    <w:rsid w:val="002C69F0"/>
    <w:rsid w:val="002C6C6B"/>
    <w:rsid w:val="002C7095"/>
    <w:rsid w:val="002C77A5"/>
    <w:rsid w:val="002C7CD2"/>
    <w:rsid w:val="002C7D37"/>
    <w:rsid w:val="002D00AB"/>
    <w:rsid w:val="002D0684"/>
    <w:rsid w:val="002D1DE6"/>
    <w:rsid w:val="002D222A"/>
    <w:rsid w:val="002D23ED"/>
    <w:rsid w:val="002D2C7F"/>
    <w:rsid w:val="002D2C9F"/>
    <w:rsid w:val="002D2E3D"/>
    <w:rsid w:val="002D2E84"/>
    <w:rsid w:val="002D2FEB"/>
    <w:rsid w:val="002D3A60"/>
    <w:rsid w:val="002D40EB"/>
    <w:rsid w:val="002D4474"/>
    <w:rsid w:val="002D4675"/>
    <w:rsid w:val="002D4A19"/>
    <w:rsid w:val="002D4D43"/>
    <w:rsid w:val="002D4EA4"/>
    <w:rsid w:val="002D579A"/>
    <w:rsid w:val="002D6A36"/>
    <w:rsid w:val="002D73CD"/>
    <w:rsid w:val="002D74B0"/>
    <w:rsid w:val="002D7C7E"/>
    <w:rsid w:val="002D7E6C"/>
    <w:rsid w:val="002D7F98"/>
    <w:rsid w:val="002E0809"/>
    <w:rsid w:val="002E0A9C"/>
    <w:rsid w:val="002E15DF"/>
    <w:rsid w:val="002E20BC"/>
    <w:rsid w:val="002E2832"/>
    <w:rsid w:val="002E28C7"/>
    <w:rsid w:val="002E34F4"/>
    <w:rsid w:val="002E3532"/>
    <w:rsid w:val="002E3AEC"/>
    <w:rsid w:val="002E3E94"/>
    <w:rsid w:val="002E3F48"/>
    <w:rsid w:val="002E4124"/>
    <w:rsid w:val="002E465C"/>
    <w:rsid w:val="002E514B"/>
    <w:rsid w:val="002E514F"/>
    <w:rsid w:val="002E5159"/>
    <w:rsid w:val="002E51B3"/>
    <w:rsid w:val="002E51BC"/>
    <w:rsid w:val="002E58EE"/>
    <w:rsid w:val="002E5ADB"/>
    <w:rsid w:val="002E5D85"/>
    <w:rsid w:val="002E6430"/>
    <w:rsid w:val="002E727C"/>
    <w:rsid w:val="002E74DC"/>
    <w:rsid w:val="002E766A"/>
    <w:rsid w:val="002F00F8"/>
    <w:rsid w:val="002F06D7"/>
    <w:rsid w:val="002F09B4"/>
    <w:rsid w:val="002F0DD9"/>
    <w:rsid w:val="002F13B4"/>
    <w:rsid w:val="002F2349"/>
    <w:rsid w:val="002F2AE7"/>
    <w:rsid w:val="002F2B19"/>
    <w:rsid w:val="002F306F"/>
    <w:rsid w:val="002F3130"/>
    <w:rsid w:val="002F3440"/>
    <w:rsid w:val="002F3627"/>
    <w:rsid w:val="002F3A02"/>
    <w:rsid w:val="002F3D0A"/>
    <w:rsid w:val="002F3E70"/>
    <w:rsid w:val="002F44FF"/>
    <w:rsid w:val="002F53F1"/>
    <w:rsid w:val="002F552B"/>
    <w:rsid w:val="002F5592"/>
    <w:rsid w:val="002F5D4E"/>
    <w:rsid w:val="002F7257"/>
    <w:rsid w:val="002F72DF"/>
    <w:rsid w:val="002F7617"/>
    <w:rsid w:val="002F76F7"/>
    <w:rsid w:val="002F7726"/>
    <w:rsid w:val="002F7A24"/>
    <w:rsid w:val="002F7B6F"/>
    <w:rsid w:val="002F7E3D"/>
    <w:rsid w:val="00300033"/>
    <w:rsid w:val="0030051E"/>
    <w:rsid w:val="003010B5"/>
    <w:rsid w:val="00301228"/>
    <w:rsid w:val="003016F3"/>
    <w:rsid w:val="00301D8C"/>
    <w:rsid w:val="0030206C"/>
    <w:rsid w:val="00302455"/>
    <w:rsid w:val="00302A5E"/>
    <w:rsid w:val="00302C73"/>
    <w:rsid w:val="00303A6A"/>
    <w:rsid w:val="00303C45"/>
    <w:rsid w:val="00303F28"/>
    <w:rsid w:val="003040C7"/>
    <w:rsid w:val="003042DC"/>
    <w:rsid w:val="0030452F"/>
    <w:rsid w:val="0030544F"/>
    <w:rsid w:val="00305B8C"/>
    <w:rsid w:val="003060AC"/>
    <w:rsid w:val="0030643D"/>
    <w:rsid w:val="00306958"/>
    <w:rsid w:val="003069DB"/>
    <w:rsid w:val="003069FB"/>
    <w:rsid w:val="0030728F"/>
    <w:rsid w:val="00307500"/>
    <w:rsid w:val="00307631"/>
    <w:rsid w:val="00307671"/>
    <w:rsid w:val="00307E1C"/>
    <w:rsid w:val="00307F53"/>
    <w:rsid w:val="00310110"/>
    <w:rsid w:val="00310531"/>
    <w:rsid w:val="00310565"/>
    <w:rsid w:val="003105FF"/>
    <w:rsid w:val="00310DF6"/>
    <w:rsid w:val="00311285"/>
    <w:rsid w:val="003113A5"/>
    <w:rsid w:val="0031153E"/>
    <w:rsid w:val="003117F3"/>
    <w:rsid w:val="00311989"/>
    <w:rsid w:val="00311B4F"/>
    <w:rsid w:val="003121FD"/>
    <w:rsid w:val="00312E24"/>
    <w:rsid w:val="00312E9C"/>
    <w:rsid w:val="00312F6F"/>
    <w:rsid w:val="00313782"/>
    <w:rsid w:val="003139E9"/>
    <w:rsid w:val="0031446F"/>
    <w:rsid w:val="0031487C"/>
    <w:rsid w:val="003148EA"/>
    <w:rsid w:val="00314D2F"/>
    <w:rsid w:val="00314E85"/>
    <w:rsid w:val="003151C5"/>
    <w:rsid w:val="00315B08"/>
    <w:rsid w:val="00315BB3"/>
    <w:rsid w:val="00316261"/>
    <w:rsid w:val="00316AC7"/>
    <w:rsid w:val="00316B3F"/>
    <w:rsid w:val="00316F4E"/>
    <w:rsid w:val="0031744C"/>
    <w:rsid w:val="00320053"/>
    <w:rsid w:val="00320195"/>
    <w:rsid w:val="00321970"/>
    <w:rsid w:val="00321BA4"/>
    <w:rsid w:val="003226F3"/>
    <w:rsid w:val="00322726"/>
    <w:rsid w:val="00322AE2"/>
    <w:rsid w:val="00322EC1"/>
    <w:rsid w:val="00322FB5"/>
    <w:rsid w:val="003231C8"/>
    <w:rsid w:val="0032325E"/>
    <w:rsid w:val="00323529"/>
    <w:rsid w:val="003235E5"/>
    <w:rsid w:val="003235FF"/>
    <w:rsid w:val="00323A24"/>
    <w:rsid w:val="00324226"/>
    <w:rsid w:val="003248DC"/>
    <w:rsid w:val="003250F1"/>
    <w:rsid w:val="00325250"/>
    <w:rsid w:val="003254EE"/>
    <w:rsid w:val="0032628C"/>
    <w:rsid w:val="00326446"/>
    <w:rsid w:val="0032747D"/>
    <w:rsid w:val="003276B3"/>
    <w:rsid w:val="00327ABB"/>
    <w:rsid w:val="00327DBF"/>
    <w:rsid w:val="00327E52"/>
    <w:rsid w:val="00330432"/>
    <w:rsid w:val="00330AC8"/>
    <w:rsid w:val="003310BD"/>
    <w:rsid w:val="0033197B"/>
    <w:rsid w:val="003319DF"/>
    <w:rsid w:val="00331B06"/>
    <w:rsid w:val="00331B5C"/>
    <w:rsid w:val="00331FA1"/>
    <w:rsid w:val="00332118"/>
    <w:rsid w:val="0033239B"/>
    <w:rsid w:val="00332BA4"/>
    <w:rsid w:val="00332CCC"/>
    <w:rsid w:val="00332E16"/>
    <w:rsid w:val="00332E9F"/>
    <w:rsid w:val="00334066"/>
    <w:rsid w:val="00334859"/>
    <w:rsid w:val="0033499A"/>
    <w:rsid w:val="00334DA7"/>
    <w:rsid w:val="00335308"/>
    <w:rsid w:val="00335417"/>
    <w:rsid w:val="00335F37"/>
    <w:rsid w:val="003367D3"/>
    <w:rsid w:val="003369DC"/>
    <w:rsid w:val="00336A9B"/>
    <w:rsid w:val="00336D9F"/>
    <w:rsid w:val="00336EA0"/>
    <w:rsid w:val="003370F0"/>
    <w:rsid w:val="00340570"/>
    <w:rsid w:val="0034069A"/>
    <w:rsid w:val="00340A5D"/>
    <w:rsid w:val="00340AC9"/>
    <w:rsid w:val="003410B4"/>
    <w:rsid w:val="00342393"/>
    <w:rsid w:val="003426B0"/>
    <w:rsid w:val="003429B1"/>
    <w:rsid w:val="00342A74"/>
    <w:rsid w:val="0034395E"/>
    <w:rsid w:val="00343A6B"/>
    <w:rsid w:val="00343B4D"/>
    <w:rsid w:val="00343B74"/>
    <w:rsid w:val="00344354"/>
    <w:rsid w:val="00344517"/>
    <w:rsid w:val="003445AF"/>
    <w:rsid w:val="00344AB0"/>
    <w:rsid w:val="00344DAD"/>
    <w:rsid w:val="00344DC1"/>
    <w:rsid w:val="00345472"/>
    <w:rsid w:val="00345C11"/>
    <w:rsid w:val="003466F2"/>
    <w:rsid w:val="0034680B"/>
    <w:rsid w:val="00346B02"/>
    <w:rsid w:val="00346DB9"/>
    <w:rsid w:val="00346F86"/>
    <w:rsid w:val="0034775C"/>
    <w:rsid w:val="00347D63"/>
    <w:rsid w:val="00347FAD"/>
    <w:rsid w:val="003502AB"/>
    <w:rsid w:val="00350F27"/>
    <w:rsid w:val="00350F7F"/>
    <w:rsid w:val="00351A4D"/>
    <w:rsid w:val="00352077"/>
    <w:rsid w:val="00352127"/>
    <w:rsid w:val="00352468"/>
    <w:rsid w:val="003528C0"/>
    <w:rsid w:val="00352B0E"/>
    <w:rsid w:val="00352E13"/>
    <w:rsid w:val="003531D5"/>
    <w:rsid w:val="00353878"/>
    <w:rsid w:val="00353D18"/>
    <w:rsid w:val="0035464A"/>
    <w:rsid w:val="00355AE0"/>
    <w:rsid w:val="00355C8E"/>
    <w:rsid w:val="00355E13"/>
    <w:rsid w:val="00355E98"/>
    <w:rsid w:val="00355ED3"/>
    <w:rsid w:val="00356078"/>
    <w:rsid w:val="003564A0"/>
    <w:rsid w:val="0035661D"/>
    <w:rsid w:val="00356AA2"/>
    <w:rsid w:val="00356CDA"/>
    <w:rsid w:val="00356E8F"/>
    <w:rsid w:val="00357D1A"/>
    <w:rsid w:val="0036047A"/>
    <w:rsid w:val="00361330"/>
    <w:rsid w:val="00361566"/>
    <w:rsid w:val="00361918"/>
    <w:rsid w:val="00361E88"/>
    <w:rsid w:val="00361F35"/>
    <w:rsid w:val="003623D2"/>
    <w:rsid w:val="00362403"/>
    <w:rsid w:val="0036285B"/>
    <w:rsid w:val="00362E86"/>
    <w:rsid w:val="00362F2F"/>
    <w:rsid w:val="003636A3"/>
    <w:rsid w:val="00363883"/>
    <w:rsid w:val="003639AF"/>
    <w:rsid w:val="00364558"/>
    <w:rsid w:val="00364684"/>
    <w:rsid w:val="00364FB9"/>
    <w:rsid w:val="003659D6"/>
    <w:rsid w:val="00365A85"/>
    <w:rsid w:val="00365BB2"/>
    <w:rsid w:val="00365D84"/>
    <w:rsid w:val="003662F4"/>
    <w:rsid w:val="00366505"/>
    <w:rsid w:val="003667A6"/>
    <w:rsid w:val="003669AE"/>
    <w:rsid w:val="00366C15"/>
    <w:rsid w:val="00367B3A"/>
    <w:rsid w:val="00367EC6"/>
    <w:rsid w:val="00370D57"/>
    <w:rsid w:val="003715A4"/>
    <w:rsid w:val="003717DD"/>
    <w:rsid w:val="00371939"/>
    <w:rsid w:val="00371957"/>
    <w:rsid w:val="00372584"/>
    <w:rsid w:val="00372A8E"/>
    <w:rsid w:val="00372DA9"/>
    <w:rsid w:val="00372FA1"/>
    <w:rsid w:val="003732D9"/>
    <w:rsid w:val="00373352"/>
    <w:rsid w:val="00373A2A"/>
    <w:rsid w:val="00373E95"/>
    <w:rsid w:val="003747D8"/>
    <w:rsid w:val="0037494F"/>
    <w:rsid w:val="00374B73"/>
    <w:rsid w:val="00374E5E"/>
    <w:rsid w:val="00375A5E"/>
    <w:rsid w:val="003761EF"/>
    <w:rsid w:val="00376530"/>
    <w:rsid w:val="003766DB"/>
    <w:rsid w:val="00376AF1"/>
    <w:rsid w:val="003771BF"/>
    <w:rsid w:val="003772A5"/>
    <w:rsid w:val="003773E2"/>
    <w:rsid w:val="003779E1"/>
    <w:rsid w:val="00377B5B"/>
    <w:rsid w:val="003808BD"/>
    <w:rsid w:val="003815FF"/>
    <w:rsid w:val="003818BE"/>
    <w:rsid w:val="003820A7"/>
    <w:rsid w:val="003824BB"/>
    <w:rsid w:val="00382D69"/>
    <w:rsid w:val="0038309D"/>
    <w:rsid w:val="00383388"/>
    <w:rsid w:val="003836F5"/>
    <w:rsid w:val="00383909"/>
    <w:rsid w:val="00383B52"/>
    <w:rsid w:val="00383BD0"/>
    <w:rsid w:val="00383F8F"/>
    <w:rsid w:val="00384768"/>
    <w:rsid w:val="00384EE4"/>
    <w:rsid w:val="0038614B"/>
    <w:rsid w:val="0038618A"/>
    <w:rsid w:val="003867C0"/>
    <w:rsid w:val="00386907"/>
    <w:rsid w:val="00387313"/>
    <w:rsid w:val="003878E7"/>
    <w:rsid w:val="0038790A"/>
    <w:rsid w:val="00387E9D"/>
    <w:rsid w:val="0039084C"/>
    <w:rsid w:val="00390CC1"/>
    <w:rsid w:val="003914CE"/>
    <w:rsid w:val="00391CE2"/>
    <w:rsid w:val="003920C2"/>
    <w:rsid w:val="00392198"/>
    <w:rsid w:val="00392DF7"/>
    <w:rsid w:val="0039315D"/>
    <w:rsid w:val="00393423"/>
    <w:rsid w:val="003934F2"/>
    <w:rsid w:val="00393653"/>
    <w:rsid w:val="003936D7"/>
    <w:rsid w:val="00393D6F"/>
    <w:rsid w:val="00394C2D"/>
    <w:rsid w:val="0039525B"/>
    <w:rsid w:val="0039538D"/>
    <w:rsid w:val="003967AA"/>
    <w:rsid w:val="00396E2F"/>
    <w:rsid w:val="00396FDC"/>
    <w:rsid w:val="00397135"/>
    <w:rsid w:val="00397E27"/>
    <w:rsid w:val="003A06F1"/>
    <w:rsid w:val="003A0802"/>
    <w:rsid w:val="003A0AA4"/>
    <w:rsid w:val="003A188E"/>
    <w:rsid w:val="003A197C"/>
    <w:rsid w:val="003A2337"/>
    <w:rsid w:val="003A3E3A"/>
    <w:rsid w:val="003A415B"/>
    <w:rsid w:val="003A51E4"/>
    <w:rsid w:val="003A554D"/>
    <w:rsid w:val="003A6456"/>
    <w:rsid w:val="003A66C2"/>
    <w:rsid w:val="003A6A6B"/>
    <w:rsid w:val="003A6D79"/>
    <w:rsid w:val="003A6DB7"/>
    <w:rsid w:val="003A6E31"/>
    <w:rsid w:val="003A70D9"/>
    <w:rsid w:val="003A7F66"/>
    <w:rsid w:val="003B01DC"/>
    <w:rsid w:val="003B07BF"/>
    <w:rsid w:val="003B0B18"/>
    <w:rsid w:val="003B12F2"/>
    <w:rsid w:val="003B170A"/>
    <w:rsid w:val="003B2087"/>
    <w:rsid w:val="003B2D7F"/>
    <w:rsid w:val="003B2FD9"/>
    <w:rsid w:val="003B376B"/>
    <w:rsid w:val="003B37C0"/>
    <w:rsid w:val="003B42F2"/>
    <w:rsid w:val="003B47BE"/>
    <w:rsid w:val="003B495A"/>
    <w:rsid w:val="003B4AF1"/>
    <w:rsid w:val="003B4F72"/>
    <w:rsid w:val="003B600C"/>
    <w:rsid w:val="003B6445"/>
    <w:rsid w:val="003B7114"/>
    <w:rsid w:val="003B71FD"/>
    <w:rsid w:val="003B749B"/>
    <w:rsid w:val="003B7655"/>
    <w:rsid w:val="003C00A9"/>
    <w:rsid w:val="003C0799"/>
    <w:rsid w:val="003C0D96"/>
    <w:rsid w:val="003C0F94"/>
    <w:rsid w:val="003C122D"/>
    <w:rsid w:val="003C1547"/>
    <w:rsid w:val="003C1984"/>
    <w:rsid w:val="003C1A8E"/>
    <w:rsid w:val="003C1CBA"/>
    <w:rsid w:val="003C2519"/>
    <w:rsid w:val="003C260F"/>
    <w:rsid w:val="003C2A94"/>
    <w:rsid w:val="003C2DC8"/>
    <w:rsid w:val="003C2FBE"/>
    <w:rsid w:val="003C30BE"/>
    <w:rsid w:val="003C337C"/>
    <w:rsid w:val="003C33A8"/>
    <w:rsid w:val="003C34B4"/>
    <w:rsid w:val="003C44E2"/>
    <w:rsid w:val="003C453B"/>
    <w:rsid w:val="003C4C69"/>
    <w:rsid w:val="003C5092"/>
    <w:rsid w:val="003C536E"/>
    <w:rsid w:val="003C5554"/>
    <w:rsid w:val="003C67DD"/>
    <w:rsid w:val="003C6B95"/>
    <w:rsid w:val="003C76D7"/>
    <w:rsid w:val="003C7923"/>
    <w:rsid w:val="003C7A22"/>
    <w:rsid w:val="003C7B2F"/>
    <w:rsid w:val="003C7CF7"/>
    <w:rsid w:val="003D00D8"/>
    <w:rsid w:val="003D0959"/>
    <w:rsid w:val="003D0E81"/>
    <w:rsid w:val="003D254A"/>
    <w:rsid w:val="003D2841"/>
    <w:rsid w:val="003D2931"/>
    <w:rsid w:val="003D30A0"/>
    <w:rsid w:val="003D403F"/>
    <w:rsid w:val="003D4269"/>
    <w:rsid w:val="003D42F7"/>
    <w:rsid w:val="003D488B"/>
    <w:rsid w:val="003D4F1C"/>
    <w:rsid w:val="003D50D5"/>
    <w:rsid w:val="003D5815"/>
    <w:rsid w:val="003D6CA0"/>
    <w:rsid w:val="003D6E26"/>
    <w:rsid w:val="003D7D81"/>
    <w:rsid w:val="003E01A7"/>
    <w:rsid w:val="003E03C1"/>
    <w:rsid w:val="003E05BA"/>
    <w:rsid w:val="003E05E6"/>
    <w:rsid w:val="003E0647"/>
    <w:rsid w:val="003E0B3A"/>
    <w:rsid w:val="003E0F3F"/>
    <w:rsid w:val="003E1855"/>
    <w:rsid w:val="003E1CB0"/>
    <w:rsid w:val="003E26FB"/>
    <w:rsid w:val="003E2D5F"/>
    <w:rsid w:val="003E3586"/>
    <w:rsid w:val="003E3EF9"/>
    <w:rsid w:val="003E430E"/>
    <w:rsid w:val="003E469E"/>
    <w:rsid w:val="003E4C9D"/>
    <w:rsid w:val="003E4FB0"/>
    <w:rsid w:val="003E4FF5"/>
    <w:rsid w:val="003E547A"/>
    <w:rsid w:val="003E55CC"/>
    <w:rsid w:val="003E5F37"/>
    <w:rsid w:val="003E63EE"/>
    <w:rsid w:val="003E6461"/>
    <w:rsid w:val="003E66BF"/>
    <w:rsid w:val="003E66E3"/>
    <w:rsid w:val="003E6793"/>
    <w:rsid w:val="003E743F"/>
    <w:rsid w:val="003E759F"/>
    <w:rsid w:val="003E788A"/>
    <w:rsid w:val="003E7B2F"/>
    <w:rsid w:val="003F002F"/>
    <w:rsid w:val="003F0490"/>
    <w:rsid w:val="003F0ADF"/>
    <w:rsid w:val="003F0BD1"/>
    <w:rsid w:val="003F13B6"/>
    <w:rsid w:val="003F1577"/>
    <w:rsid w:val="003F1C4F"/>
    <w:rsid w:val="003F1D03"/>
    <w:rsid w:val="003F20F5"/>
    <w:rsid w:val="003F22C5"/>
    <w:rsid w:val="003F23DA"/>
    <w:rsid w:val="003F2E10"/>
    <w:rsid w:val="003F37ED"/>
    <w:rsid w:val="003F3E2A"/>
    <w:rsid w:val="003F414F"/>
    <w:rsid w:val="003F4469"/>
    <w:rsid w:val="003F7E9F"/>
    <w:rsid w:val="00400803"/>
    <w:rsid w:val="0040086F"/>
    <w:rsid w:val="00400A69"/>
    <w:rsid w:val="00401F99"/>
    <w:rsid w:val="00402076"/>
    <w:rsid w:val="004023B1"/>
    <w:rsid w:val="004026B3"/>
    <w:rsid w:val="00402B5D"/>
    <w:rsid w:val="004033A8"/>
    <w:rsid w:val="004039F7"/>
    <w:rsid w:val="00404052"/>
    <w:rsid w:val="004047A5"/>
    <w:rsid w:val="004047AA"/>
    <w:rsid w:val="00404A23"/>
    <w:rsid w:val="00404F26"/>
    <w:rsid w:val="0040536C"/>
    <w:rsid w:val="004053CF"/>
    <w:rsid w:val="004059E8"/>
    <w:rsid w:val="00405E3B"/>
    <w:rsid w:val="00405EB3"/>
    <w:rsid w:val="00406165"/>
    <w:rsid w:val="00406BC8"/>
    <w:rsid w:val="00407973"/>
    <w:rsid w:val="0041069A"/>
    <w:rsid w:val="004107ED"/>
    <w:rsid w:val="0041099A"/>
    <w:rsid w:val="00410A49"/>
    <w:rsid w:val="004113B2"/>
    <w:rsid w:val="004117B6"/>
    <w:rsid w:val="004119CE"/>
    <w:rsid w:val="00412B8C"/>
    <w:rsid w:val="00412C82"/>
    <w:rsid w:val="0041306C"/>
    <w:rsid w:val="004131B0"/>
    <w:rsid w:val="00413D43"/>
    <w:rsid w:val="00414647"/>
    <w:rsid w:val="00414929"/>
    <w:rsid w:val="0041500C"/>
    <w:rsid w:val="004160F0"/>
    <w:rsid w:val="004167F1"/>
    <w:rsid w:val="00416972"/>
    <w:rsid w:val="00417BF1"/>
    <w:rsid w:val="00417CD7"/>
    <w:rsid w:val="004203D6"/>
    <w:rsid w:val="00420588"/>
    <w:rsid w:val="004206FC"/>
    <w:rsid w:val="00420E68"/>
    <w:rsid w:val="00420EDA"/>
    <w:rsid w:val="00420F37"/>
    <w:rsid w:val="00420FDA"/>
    <w:rsid w:val="0042107C"/>
    <w:rsid w:val="0042141F"/>
    <w:rsid w:val="00421923"/>
    <w:rsid w:val="00421D19"/>
    <w:rsid w:val="00421DE7"/>
    <w:rsid w:val="00422647"/>
    <w:rsid w:val="0042293E"/>
    <w:rsid w:val="00422A2D"/>
    <w:rsid w:val="00422B70"/>
    <w:rsid w:val="00423CD0"/>
    <w:rsid w:val="0042593C"/>
    <w:rsid w:val="00425E02"/>
    <w:rsid w:val="00426328"/>
    <w:rsid w:val="00426979"/>
    <w:rsid w:val="00426AE5"/>
    <w:rsid w:val="00426D85"/>
    <w:rsid w:val="00426F3F"/>
    <w:rsid w:val="0042733F"/>
    <w:rsid w:val="00427380"/>
    <w:rsid w:val="00427543"/>
    <w:rsid w:val="00427699"/>
    <w:rsid w:val="00427C14"/>
    <w:rsid w:val="00427D31"/>
    <w:rsid w:val="00427EE4"/>
    <w:rsid w:val="00427FA4"/>
    <w:rsid w:val="00430010"/>
    <w:rsid w:val="0043019D"/>
    <w:rsid w:val="00430D62"/>
    <w:rsid w:val="0043182E"/>
    <w:rsid w:val="00431D1C"/>
    <w:rsid w:val="00431E1A"/>
    <w:rsid w:val="00431F78"/>
    <w:rsid w:val="0043301F"/>
    <w:rsid w:val="00433066"/>
    <w:rsid w:val="004333CE"/>
    <w:rsid w:val="00433856"/>
    <w:rsid w:val="00433C1B"/>
    <w:rsid w:val="004346A9"/>
    <w:rsid w:val="0043488C"/>
    <w:rsid w:val="00434A06"/>
    <w:rsid w:val="0043522E"/>
    <w:rsid w:val="0043530C"/>
    <w:rsid w:val="00435456"/>
    <w:rsid w:val="0043594A"/>
    <w:rsid w:val="00435A2C"/>
    <w:rsid w:val="00435DEE"/>
    <w:rsid w:val="00435EA9"/>
    <w:rsid w:val="004364FD"/>
    <w:rsid w:val="00436833"/>
    <w:rsid w:val="00436910"/>
    <w:rsid w:val="0043706A"/>
    <w:rsid w:val="00437979"/>
    <w:rsid w:val="00437A68"/>
    <w:rsid w:val="00437A90"/>
    <w:rsid w:val="00437B72"/>
    <w:rsid w:val="0044077E"/>
    <w:rsid w:val="004412B4"/>
    <w:rsid w:val="0044136D"/>
    <w:rsid w:val="004421AE"/>
    <w:rsid w:val="00442456"/>
    <w:rsid w:val="00442E01"/>
    <w:rsid w:val="00444337"/>
    <w:rsid w:val="00444523"/>
    <w:rsid w:val="004447C1"/>
    <w:rsid w:val="004449FC"/>
    <w:rsid w:val="00444AA4"/>
    <w:rsid w:val="0044502E"/>
    <w:rsid w:val="004458E2"/>
    <w:rsid w:val="00445E16"/>
    <w:rsid w:val="00446717"/>
    <w:rsid w:val="00446D36"/>
    <w:rsid w:val="00447091"/>
    <w:rsid w:val="00447338"/>
    <w:rsid w:val="00447C08"/>
    <w:rsid w:val="00447D88"/>
    <w:rsid w:val="00447FB4"/>
    <w:rsid w:val="00450AFC"/>
    <w:rsid w:val="00450F18"/>
    <w:rsid w:val="0045245A"/>
    <w:rsid w:val="00452569"/>
    <w:rsid w:val="00452BFD"/>
    <w:rsid w:val="00453096"/>
    <w:rsid w:val="00453170"/>
    <w:rsid w:val="0045354C"/>
    <w:rsid w:val="00453A70"/>
    <w:rsid w:val="004540DF"/>
    <w:rsid w:val="004542C8"/>
    <w:rsid w:val="004542CD"/>
    <w:rsid w:val="004543D9"/>
    <w:rsid w:val="00454595"/>
    <w:rsid w:val="00454CFC"/>
    <w:rsid w:val="00454D00"/>
    <w:rsid w:val="00455591"/>
    <w:rsid w:val="00456167"/>
    <w:rsid w:val="0045682D"/>
    <w:rsid w:val="00456953"/>
    <w:rsid w:val="004601FE"/>
    <w:rsid w:val="004605A4"/>
    <w:rsid w:val="0046078F"/>
    <w:rsid w:val="00460847"/>
    <w:rsid w:val="00461375"/>
    <w:rsid w:val="00461547"/>
    <w:rsid w:val="0046243B"/>
    <w:rsid w:val="0046262F"/>
    <w:rsid w:val="00462973"/>
    <w:rsid w:val="00463101"/>
    <w:rsid w:val="004632F4"/>
    <w:rsid w:val="0046349C"/>
    <w:rsid w:val="00464D44"/>
    <w:rsid w:val="00465A96"/>
    <w:rsid w:val="00466136"/>
    <w:rsid w:val="004665E1"/>
    <w:rsid w:val="0046662B"/>
    <w:rsid w:val="00466B92"/>
    <w:rsid w:val="004674A9"/>
    <w:rsid w:val="0046778E"/>
    <w:rsid w:val="004679B9"/>
    <w:rsid w:val="00470009"/>
    <w:rsid w:val="004701BD"/>
    <w:rsid w:val="004703A5"/>
    <w:rsid w:val="00470886"/>
    <w:rsid w:val="00470BB2"/>
    <w:rsid w:val="00471A27"/>
    <w:rsid w:val="00471E0F"/>
    <w:rsid w:val="00471E89"/>
    <w:rsid w:val="00471EA8"/>
    <w:rsid w:val="00471ECE"/>
    <w:rsid w:val="004729BC"/>
    <w:rsid w:val="00473825"/>
    <w:rsid w:val="004739B7"/>
    <w:rsid w:val="00474105"/>
    <w:rsid w:val="004748E1"/>
    <w:rsid w:val="0047490A"/>
    <w:rsid w:val="004749DC"/>
    <w:rsid w:val="004755E4"/>
    <w:rsid w:val="00475880"/>
    <w:rsid w:val="00475A6A"/>
    <w:rsid w:val="00475B66"/>
    <w:rsid w:val="00475CBF"/>
    <w:rsid w:val="00476008"/>
    <w:rsid w:val="004766FD"/>
    <w:rsid w:val="00476979"/>
    <w:rsid w:val="00476E6D"/>
    <w:rsid w:val="0047702E"/>
    <w:rsid w:val="0047715F"/>
    <w:rsid w:val="00477721"/>
    <w:rsid w:val="00477EF4"/>
    <w:rsid w:val="004800DD"/>
    <w:rsid w:val="00481315"/>
    <w:rsid w:val="00481B84"/>
    <w:rsid w:val="00481C4A"/>
    <w:rsid w:val="004820C2"/>
    <w:rsid w:val="004820F8"/>
    <w:rsid w:val="004821FF"/>
    <w:rsid w:val="0048295C"/>
    <w:rsid w:val="0048379D"/>
    <w:rsid w:val="004838EF"/>
    <w:rsid w:val="00484051"/>
    <w:rsid w:val="004841BD"/>
    <w:rsid w:val="0048457C"/>
    <w:rsid w:val="00484737"/>
    <w:rsid w:val="00484BE1"/>
    <w:rsid w:val="00484DB3"/>
    <w:rsid w:val="004858F5"/>
    <w:rsid w:val="00485C7E"/>
    <w:rsid w:val="00485E2E"/>
    <w:rsid w:val="004866D5"/>
    <w:rsid w:val="00487A2C"/>
    <w:rsid w:val="00490A0C"/>
    <w:rsid w:val="00490D6B"/>
    <w:rsid w:val="00490F78"/>
    <w:rsid w:val="0049178A"/>
    <w:rsid w:val="0049194C"/>
    <w:rsid w:val="00491B6C"/>
    <w:rsid w:val="0049226E"/>
    <w:rsid w:val="00492487"/>
    <w:rsid w:val="004924F4"/>
    <w:rsid w:val="00492984"/>
    <w:rsid w:val="004930DF"/>
    <w:rsid w:val="004937AD"/>
    <w:rsid w:val="00493803"/>
    <w:rsid w:val="00493DC9"/>
    <w:rsid w:val="00493E48"/>
    <w:rsid w:val="00494155"/>
    <w:rsid w:val="004941AF"/>
    <w:rsid w:val="004943D2"/>
    <w:rsid w:val="0049446D"/>
    <w:rsid w:val="00494B00"/>
    <w:rsid w:val="004951C7"/>
    <w:rsid w:val="00495AC6"/>
    <w:rsid w:val="00495D36"/>
    <w:rsid w:val="00495DE0"/>
    <w:rsid w:val="00495FF0"/>
    <w:rsid w:val="004965D2"/>
    <w:rsid w:val="00496D7E"/>
    <w:rsid w:val="00497695"/>
    <w:rsid w:val="0049794E"/>
    <w:rsid w:val="00497CD5"/>
    <w:rsid w:val="004A02DE"/>
    <w:rsid w:val="004A03B4"/>
    <w:rsid w:val="004A0659"/>
    <w:rsid w:val="004A0B1C"/>
    <w:rsid w:val="004A19D3"/>
    <w:rsid w:val="004A1C64"/>
    <w:rsid w:val="004A1CA1"/>
    <w:rsid w:val="004A1ECE"/>
    <w:rsid w:val="004A2111"/>
    <w:rsid w:val="004A3803"/>
    <w:rsid w:val="004A46CE"/>
    <w:rsid w:val="004A4A4A"/>
    <w:rsid w:val="004A4F39"/>
    <w:rsid w:val="004A50F6"/>
    <w:rsid w:val="004A514B"/>
    <w:rsid w:val="004A5568"/>
    <w:rsid w:val="004A5622"/>
    <w:rsid w:val="004A5802"/>
    <w:rsid w:val="004A6447"/>
    <w:rsid w:val="004A65AE"/>
    <w:rsid w:val="004A6F12"/>
    <w:rsid w:val="004A6FB6"/>
    <w:rsid w:val="004A73A7"/>
    <w:rsid w:val="004A7507"/>
    <w:rsid w:val="004A76C5"/>
    <w:rsid w:val="004B0018"/>
    <w:rsid w:val="004B0344"/>
    <w:rsid w:val="004B0607"/>
    <w:rsid w:val="004B078E"/>
    <w:rsid w:val="004B1186"/>
    <w:rsid w:val="004B13FC"/>
    <w:rsid w:val="004B1B0F"/>
    <w:rsid w:val="004B1CE2"/>
    <w:rsid w:val="004B1D2C"/>
    <w:rsid w:val="004B234E"/>
    <w:rsid w:val="004B2453"/>
    <w:rsid w:val="004B288F"/>
    <w:rsid w:val="004B2891"/>
    <w:rsid w:val="004B2AD2"/>
    <w:rsid w:val="004B3661"/>
    <w:rsid w:val="004B3701"/>
    <w:rsid w:val="004B38DB"/>
    <w:rsid w:val="004B4411"/>
    <w:rsid w:val="004B4453"/>
    <w:rsid w:val="004B4844"/>
    <w:rsid w:val="004B4FB8"/>
    <w:rsid w:val="004B4FDA"/>
    <w:rsid w:val="004B510A"/>
    <w:rsid w:val="004B54BD"/>
    <w:rsid w:val="004B5FE6"/>
    <w:rsid w:val="004B64D3"/>
    <w:rsid w:val="004B64D9"/>
    <w:rsid w:val="004B65EE"/>
    <w:rsid w:val="004B730B"/>
    <w:rsid w:val="004B75CB"/>
    <w:rsid w:val="004B7A6F"/>
    <w:rsid w:val="004C0435"/>
    <w:rsid w:val="004C0488"/>
    <w:rsid w:val="004C069B"/>
    <w:rsid w:val="004C07F0"/>
    <w:rsid w:val="004C0EDD"/>
    <w:rsid w:val="004C112A"/>
    <w:rsid w:val="004C1142"/>
    <w:rsid w:val="004C15D1"/>
    <w:rsid w:val="004C2371"/>
    <w:rsid w:val="004C2571"/>
    <w:rsid w:val="004C2855"/>
    <w:rsid w:val="004C2B57"/>
    <w:rsid w:val="004C2F69"/>
    <w:rsid w:val="004C307F"/>
    <w:rsid w:val="004C3085"/>
    <w:rsid w:val="004C3C1E"/>
    <w:rsid w:val="004C3C90"/>
    <w:rsid w:val="004C3D9B"/>
    <w:rsid w:val="004C3E3B"/>
    <w:rsid w:val="004C437D"/>
    <w:rsid w:val="004C469A"/>
    <w:rsid w:val="004C4916"/>
    <w:rsid w:val="004C4A6C"/>
    <w:rsid w:val="004C4CAE"/>
    <w:rsid w:val="004C4D6C"/>
    <w:rsid w:val="004C4DE5"/>
    <w:rsid w:val="004C51A5"/>
    <w:rsid w:val="004C5B0A"/>
    <w:rsid w:val="004C5B7C"/>
    <w:rsid w:val="004C5C8E"/>
    <w:rsid w:val="004C61CD"/>
    <w:rsid w:val="004C63D6"/>
    <w:rsid w:val="004C65E3"/>
    <w:rsid w:val="004C68A9"/>
    <w:rsid w:val="004C7630"/>
    <w:rsid w:val="004C79FC"/>
    <w:rsid w:val="004D0660"/>
    <w:rsid w:val="004D0F67"/>
    <w:rsid w:val="004D14A6"/>
    <w:rsid w:val="004D1BB4"/>
    <w:rsid w:val="004D1E86"/>
    <w:rsid w:val="004D204A"/>
    <w:rsid w:val="004D2B74"/>
    <w:rsid w:val="004D2D00"/>
    <w:rsid w:val="004D36A4"/>
    <w:rsid w:val="004D42D8"/>
    <w:rsid w:val="004D49B0"/>
    <w:rsid w:val="004D4A33"/>
    <w:rsid w:val="004D522C"/>
    <w:rsid w:val="004D57A1"/>
    <w:rsid w:val="004D5C8A"/>
    <w:rsid w:val="004D5FE9"/>
    <w:rsid w:val="004D65B9"/>
    <w:rsid w:val="004D6A89"/>
    <w:rsid w:val="004D765D"/>
    <w:rsid w:val="004D7C92"/>
    <w:rsid w:val="004D7E93"/>
    <w:rsid w:val="004E0202"/>
    <w:rsid w:val="004E043A"/>
    <w:rsid w:val="004E09B2"/>
    <w:rsid w:val="004E0AF6"/>
    <w:rsid w:val="004E0B8C"/>
    <w:rsid w:val="004E0B9D"/>
    <w:rsid w:val="004E16CA"/>
    <w:rsid w:val="004E18A1"/>
    <w:rsid w:val="004E18F8"/>
    <w:rsid w:val="004E206F"/>
    <w:rsid w:val="004E29CF"/>
    <w:rsid w:val="004E2ABA"/>
    <w:rsid w:val="004E2B43"/>
    <w:rsid w:val="004E36BC"/>
    <w:rsid w:val="004E3DF2"/>
    <w:rsid w:val="004E41A1"/>
    <w:rsid w:val="004E56BF"/>
    <w:rsid w:val="004E5989"/>
    <w:rsid w:val="004E5AA0"/>
    <w:rsid w:val="004E5B94"/>
    <w:rsid w:val="004E5D1E"/>
    <w:rsid w:val="004E61CC"/>
    <w:rsid w:val="004E631D"/>
    <w:rsid w:val="004E6A0C"/>
    <w:rsid w:val="004E6C29"/>
    <w:rsid w:val="004E7353"/>
    <w:rsid w:val="004E760F"/>
    <w:rsid w:val="004E7ACE"/>
    <w:rsid w:val="004F051A"/>
    <w:rsid w:val="004F074B"/>
    <w:rsid w:val="004F07CB"/>
    <w:rsid w:val="004F0B9A"/>
    <w:rsid w:val="004F0E69"/>
    <w:rsid w:val="004F0FE3"/>
    <w:rsid w:val="004F107A"/>
    <w:rsid w:val="004F269D"/>
    <w:rsid w:val="004F3109"/>
    <w:rsid w:val="004F31D2"/>
    <w:rsid w:val="004F406D"/>
    <w:rsid w:val="004F4373"/>
    <w:rsid w:val="004F4B7F"/>
    <w:rsid w:val="004F4E7C"/>
    <w:rsid w:val="004F51C4"/>
    <w:rsid w:val="004F54DA"/>
    <w:rsid w:val="004F605D"/>
    <w:rsid w:val="004F60E3"/>
    <w:rsid w:val="004F6903"/>
    <w:rsid w:val="004F6E12"/>
    <w:rsid w:val="004F796C"/>
    <w:rsid w:val="005000EF"/>
    <w:rsid w:val="005002EF"/>
    <w:rsid w:val="00500385"/>
    <w:rsid w:val="005005CC"/>
    <w:rsid w:val="00500A83"/>
    <w:rsid w:val="00500CF7"/>
    <w:rsid w:val="005011A8"/>
    <w:rsid w:val="005020C4"/>
    <w:rsid w:val="005029AC"/>
    <w:rsid w:val="00503831"/>
    <w:rsid w:val="00503876"/>
    <w:rsid w:val="00504A53"/>
    <w:rsid w:val="00504C2F"/>
    <w:rsid w:val="00504E84"/>
    <w:rsid w:val="0050505B"/>
    <w:rsid w:val="00505D6C"/>
    <w:rsid w:val="00506209"/>
    <w:rsid w:val="00506BFF"/>
    <w:rsid w:val="00506CAB"/>
    <w:rsid w:val="005070D5"/>
    <w:rsid w:val="00510537"/>
    <w:rsid w:val="00510906"/>
    <w:rsid w:val="00510E58"/>
    <w:rsid w:val="00511BA6"/>
    <w:rsid w:val="0051231D"/>
    <w:rsid w:val="005123B7"/>
    <w:rsid w:val="0051250B"/>
    <w:rsid w:val="005130CC"/>
    <w:rsid w:val="0051350B"/>
    <w:rsid w:val="00513D1A"/>
    <w:rsid w:val="00513D3E"/>
    <w:rsid w:val="00513EF1"/>
    <w:rsid w:val="00514127"/>
    <w:rsid w:val="00514455"/>
    <w:rsid w:val="00514CAD"/>
    <w:rsid w:val="00514E1E"/>
    <w:rsid w:val="005156FC"/>
    <w:rsid w:val="00516409"/>
    <w:rsid w:val="005164D0"/>
    <w:rsid w:val="00516521"/>
    <w:rsid w:val="0051728F"/>
    <w:rsid w:val="00517972"/>
    <w:rsid w:val="00517A0F"/>
    <w:rsid w:val="00517B00"/>
    <w:rsid w:val="00520A30"/>
    <w:rsid w:val="00520E07"/>
    <w:rsid w:val="00521259"/>
    <w:rsid w:val="00521363"/>
    <w:rsid w:val="005216D2"/>
    <w:rsid w:val="00521F57"/>
    <w:rsid w:val="005222E3"/>
    <w:rsid w:val="00522429"/>
    <w:rsid w:val="0052262F"/>
    <w:rsid w:val="00522BCC"/>
    <w:rsid w:val="00523088"/>
    <w:rsid w:val="00523A1C"/>
    <w:rsid w:val="00523AED"/>
    <w:rsid w:val="00523F3A"/>
    <w:rsid w:val="00524D2D"/>
    <w:rsid w:val="00524F16"/>
    <w:rsid w:val="005259D9"/>
    <w:rsid w:val="00525C1A"/>
    <w:rsid w:val="00525F24"/>
    <w:rsid w:val="005263C9"/>
    <w:rsid w:val="005264C4"/>
    <w:rsid w:val="00526591"/>
    <w:rsid w:val="005265C9"/>
    <w:rsid w:val="005266D8"/>
    <w:rsid w:val="005273B2"/>
    <w:rsid w:val="005273C4"/>
    <w:rsid w:val="00530569"/>
    <w:rsid w:val="005306DB"/>
    <w:rsid w:val="00530EC7"/>
    <w:rsid w:val="00531295"/>
    <w:rsid w:val="005316A4"/>
    <w:rsid w:val="00531DA0"/>
    <w:rsid w:val="00532032"/>
    <w:rsid w:val="00532039"/>
    <w:rsid w:val="005324E4"/>
    <w:rsid w:val="005331B0"/>
    <w:rsid w:val="00533440"/>
    <w:rsid w:val="005336A6"/>
    <w:rsid w:val="0053391E"/>
    <w:rsid w:val="00533AB6"/>
    <w:rsid w:val="00533D27"/>
    <w:rsid w:val="00534372"/>
    <w:rsid w:val="005349A3"/>
    <w:rsid w:val="0053502F"/>
    <w:rsid w:val="00535132"/>
    <w:rsid w:val="00535368"/>
    <w:rsid w:val="005358C5"/>
    <w:rsid w:val="00535C04"/>
    <w:rsid w:val="005369F6"/>
    <w:rsid w:val="00536BC4"/>
    <w:rsid w:val="00537099"/>
    <w:rsid w:val="005370E0"/>
    <w:rsid w:val="0053714C"/>
    <w:rsid w:val="0053744E"/>
    <w:rsid w:val="0053766D"/>
    <w:rsid w:val="00537927"/>
    <w:rsid w:val="005407AC"/>
    <w:rsid w:val="00540A1B"/>
    <w:rsid w:val="00540AE4"/>
    <w:rsid w:val="00540BCD"/>
    <w:rsid w:val="00541C72"/>
    <w:rsid w:val="00541D0D"/>
    <w:rsid w:val="00541E88"/>
    <w:rsid w:val="005433BF"/>
    <w:rsid w:val="00543BBE"/>
    <w:rsid w:val="00544086"/>
    <w:rsid w:val="0054425D"/>
    <w:rsid w:val="00544281"/>
    <w:rsid w:val="00544B3D"/>
    <w:rsid w:val="00545475"/>
    <w:rsid w:val="00545B2C"/>
    <w:rsid w:val="00546135"/>
    <w:rsid w:val="0054632F"/>
    <w:rsid w:val="005466BF"/>
    <w:rsid w:val="005471AA"/>
    <w:rsid w:val="00547861"/>
    <w:rsid w:val="005503C4"/>
    <w:rsid w:val="0055160F"/>
    <w:rsid w:val="00551D32"/>
    <w:rsid w:val="00553262"/>
    <w:rsid w:val="00553415"/>
    <w:rsid w:val="00553C82"/>
    <w:rsid w:val="0055456E"/>
    <w:rsid w:val="00554B9A"/>
    <w:rsid w:val="00554D62"/>
    <w:rsid w:val="005552E6"/>
    <w:rsid w:val="00555681"/>
    <w:rsid w:val="005556F3"/>
    <w:rsid w:val="00555F63"/>
    <w:rsid w:val="00556AE7"/>
    <w:rsid w:val="005571BC"/>
    <w:rsid w:val="0055796B"/>
    <w:rsid w:val="0055796C"/>
    <w:rsid w:val="00557ACB"/>
    <w:rsid w:val="00557CC7"/>
    <w:rsid w:val="00557DF7"/>
    <w:rsid w:val="005606DB"/>
    <w:rsid w:val="00560E56"/>
    <w:rsid w:val="005616F2"/>
    <w:rsid w:val="00561AA1"/>
    <w:rsid w:val="00562194"/>
    <w:rsid w:val="00562844"/>
    <w:rsid w:val="00563D68"/>
    <w:rsid w:val="00563EE4"/>
    <w:rsid w:val="005657DF"/>
    <w:rsid w:val="005658FC"/>
    <w:rsid w:val="0056606C"/>
    <w:rsid w:val="00566534"/>
    <w:rsid w:val="00567776"/>
    <w:rsid w:val="00567A60"/>
    <w:rsid w:val="00567E54"/>
    <w:rsid w:val="00567F4E"/>
    <w:rsid w:val="00567FB2"/>
    <w:rsid w:val="00570062"/>
    <w:rsid w:val="0057054F"/>
    <w:rsid w:val="00570714"/>
    <w:rsid w:val="0057074B"/>
    <w:rsid w:val="005707B6"/>
    <w:rsid w:val="00570ACF"/>
    <w:rsid w:val="00570ECC"/>
    <w:rsid w:val="005718C7"/>
    <w:rsid w:val="00571AFD"/>
    <w:rsid w:val="00571C1E"/>
    <w:rsid w:val="005723F2"/>
    <w:rsid w:val="005729D9"/>
    <w:rsid w:val="0057304B"/>
    <w:rsid w:val="0057304E"/>
    <w:rsid w:val="00573B63"/>
    <w:rsid w:val="00573F59"/>
    <w:rsid w:val="00573FFD"/>
    <w:rsid w:val="0057485D"/>
    <w:rsid w:val="00574A4D"/>
    <w:rsid w:val="00574B0E"/>
    <w:rsid w:val="00574D4D"/>
    <w:rsid w:val="00575CBA"/>
    <w:rsid w:val="00576025"/>
    <w:rsid w:val="005774A2"/>
    <w:rsid w:val="00577A00"/>
    <w:rsid w:val="00577A73"/>
    <w:rsid w:val="00577C51"/>
    <w:rsid w:val="0058036D"/>
    <w:rsid w:val="00580DAB"/>
    <w:rsid w:val="00580E78"/>
    <w:rsid w:val="00581F74"/>
    <w:rsid w:val="00581FB3"/>
    <w:rsid w:val="00582077"/>
    <w:rsid w:val="005828DC"/>
    <w:rsid w:val="00582B97"/>
    <w:rsid w:val="005835BD"/>
    <w:rsid w:val="00583D21"/>
    <w:rsid w:val="005843E3"/>
    <w:rsid w:val="00584B5F"/>
    <w:rsid w:val="00585101"/>
    <w:rsid w:val="00585DE2"/>
    <w:rsid w:val="0058674B"/>
    <w:rsid w:val="00586D60"/>
    <w:rsid w:val="00587208"/>
    <w:rsid w:val="00587654"/>
    <w:rsid w:val="00587BE6"/>
    <w:rsid w:val="005900DC"/>
    <w:rsid w:val="00590B4E"/>
    <w:rsid w:val="0059208C"/>
    <w:rsid w:val="005927E7"/>
    <w:rsid w:val="005934A0"/>
    <w:rsid w:val="0059373F"/>
    <w:rsid w:val="00593C82"/>
    <w:rsid w:val="00594908"/>
    <w:rsid w:val="0059491D"/>
    <w:rsid w:val="00594E4A"/>
    <w:rsid w:val="00595303"/>
    <w:rsid w:val="00595718"/>
    <w:rsid w:val="00595FFF"/>
    <w:rsid w:val="00596693"/>
    <w:rsid w:val="00596903"/>
    <w:rsid w:val="00596D2A"/>
    <w:rsid w:val="00596F1B"/>
    <w:rsid w:val="0059795E"/>
    <w:rsid w:val="005A029F"/>
    <w:rsid w:val="005A0EBD"/>
    <w:rsid w:val="005A18FF"/>
    <w:rsid w:val="005A2539"/>
    <w:rsid w:val="005A27D7"/>
    <w:rsid w:val="005A2CB2"/>
    <w:rsid w:val="005A2D49"/>
    <w:rsid w:val="005A2DE6"/>
    <w:rsid w:val="005A344E"/>
    <w:rsid w:val="005A3FFA"/>
    <w:rsid w:val="005A41E6"/>
    <w:rsid w:val="005A42D7"/>
    <w:rsid w:val="005A49E0"/>
    <w:rsid w:val="005A4E69"/>
    <w:rsid w:val="005A5466"/>
    <w:rsid w:val="005A5A46"/>
    <w:rsid w:val="005A5C6A"/>
    <w:rsid w:val="005A7104"/>
    <w:rsid w:val="005A7671"/>
    <w:rsid w:val="005A799D"/>
    <w:rsid w:val="005B0547"/>
    <w:rsid w:val="005B0A54"/>
    <w:rsid w:val="005B0C8E"/>
    <w:rsid w:val="005B0F41"/>
    <w:rsid w:val="005B0FCB"/>
    <w:rsid w:val="005B1488"/>
    <w:rsid w:val="005B1EE7"/>
    <w:rsid w:val="005B24A9"/>
    <w:rsid w:val="005B2D32"/>
    <w:rsid w:val="005B2E73"/>
    <w:rsid w:val="005B38D8"/>
    <w:rsid w:val="005B3914"/>
    <w:rsid w:val="005B3B2D"/>
    <w:rsid w:val="005B3E8B"/>
    <w:rsid w:val="005B4684"/>
    <w:rsid w:val="005B4A6A"/>
    <w:rsid w:val="005B50B4"/>
    <w:rsid w:val="005B58BB"/>
    <w:rsid w:val="005B5C98"/>
    <w:rsid w:val="005B65FD"/>
    <w:rsid w:val="005B6676"/>
    <w:rsid w:val="005B67F6"/>
    <w:rsid w:val="005B7F7E"/>
    <w:rsid w:val="005C0495"/>
    <w:rsid w:val="005C04E4"/>
    <w:rsid w:val="005C0698"/>
    <w:rsid w:val="005C0977"/>
    <w:rsid w:val="005C1384"/>
    <w:rsid w:val="005C13EE"/>
    <w:rsid w:val="005C1BD1"/>
    <w:rsid w:val="005C1D2F"/>
    <w:rsid w:val="005C2633"/>
    <w:rsid w:val="005C2688"/>
    <w:rsid w:val="005C28E7"/>
    <w:rsid w:val="005C3125"/>
    <w:rsid w:val="005C31C8"/>
    <w:rsid w:val="005C3630"/>
    <w:rsid w:val="005C381C"/>
    <w:rsid w:val="005C3B7B"/>
    <w:rsid w:val="005C3C22"/>
    <w:rsid w:val="005C4752"/>
    <w:rsid w:val="005C48BC"/>
    <w:rsid w:val="005C49F6"/>
    <w:rsid w:val="005C4A86"/>
    <w:rsid w:val="005C5433"/>
    <w:rsid w:val="005C5480"/>
    <w:rsid w:val="005C58FA"/>
    <w:rsid w:val="005C5C7D"/>
    <w:rsid w:val="005C60E3"/>
    <w:rsid w:val="005C637E"/>
    <w:rsid w:val="005C647C"/>
    <w:rsid w:val="005C6EB2"/>
    <w:rsid w:val="005C742E"/>
    <w:rsid w:val="005D03E9"/>
    <w:rsid w:val="005D0E4B"/>
    <w:rsid w:val="005D122B"/>
    <w:rsid w:val="005D1F44"/>
    <w:rsid w:val="005D2284"/>
    <w:rsid w:val="005D2A01"/>
    <w:rsid w:val="005D2BE2"/>
    <w:rsid w:val="005D2E7C"/>
    <w:rsid w:val="005D3414"/>
    <w:rsid w:val="005D38D3"/>
    <w:rsid w:val="005D3E6A"/>
    <w:rsid w:val="005D4631"/>
    <w:rsid w:val="005D4DE2"/>
    <w:rsid w:val="005D52E2"/>
    <w:rsid w:val="005D5509"/>
    <w:rsid w:val="005D5866"/>
    <w:rsid w:val="005D6B84"/>
    <w:rsid w:val="005D6C2C"/>
    <w:rsid w:val="005D7485"/>
    <w:rsid w:val="005D75CA"/>
    <w:rsid w:val="005D78B2"/>
    <w:rsid w:val="005D7AB5"/>
    <w:rsid w:val="005E093B"/>
    <w:rsid w:val="005E1EB1"/>
    <w:rsid w:val="005E222F"/>
    <w:rsid w:val="005E313D"/>
    <w:rsid w:val="005E4323"/>
    <w:rsid w:val="005E48A0"/>
    <w:rsid w:val="005E49B7"/>
    <w:rsid w:val="005E4A2F"/>
    <w:rsid w:val="005E50AC"/>
    <w:rsid w:val="005E5DA3"/>
    <w:rsid w:val="005E6903"/>
    <w:rsid w:val="005E6CF2"/>
    <w:rsid w:val="005E6FBF"/>
    <w:rsid w:val="005E725D"/>
    <w:rsid w:val="005E769D"/>
    <w:rsid w:val="005F08D6"/>
    <w:rsid w:val="005F1293"/>
    <w:rsid w:val="005F161F"/>
    <w:rsid w:val="005F2279"/>
    <w:rsid w:val="005F26E5"/>
    <w:rsid w:val="005F2CFF"/>
    <w:rsid w:val="005F2DDB"/>
    <w:rsid w:val="005F2EC5"/>
    <w:rsid w:val="005F3339"/>
    <w:rsid w:val="005F3740"/>
    <w:rsid w:val="005F3C5F"/>
    <w:rsid w:val="005F3C76"/>
    <w:rsid w:val="005F3F35"/>
    <w:rsid w:val="005F4027"/>
    <w:rsid w:val="005F409D"/>
    <w:rsid w:val="005F48D7"/>
    <w:rsid w:val="005F4C15"/>
    <w:rsid w:val="005F4DC9"/>
    <w:rsid w:val="005F5811"/>
    <w:rsid w:val="005F5931"/>
    <w:rsid w:val="005F5AD4"/>
    <w:rsid w:val="005F6BC0"/>
    <w:rsid w:val="005F7413"/>
    <w:rsid w:val="005F7619"/>
    <w:rsid w:val="0060036D"/>
    <w:rsid w:val="006008F3"/>
    <w:rsid w:val="006012DE"/>
    <w:rsid w:val="00601B70"/>
    <w:rsid w:val="00601F57"/>
    <w:rsid w:val="006029B5"/>
    <w:rsid w:val="00602C78"/>
    <w:rsid w:val="006038B5"/>
    <w:rsid w:val="00603CC2"/>
    <w:rsid w:val="00604556"/>
    <w:rsid w:val="00604C2D"/>
    <w:rsid w:val="00604D53"/>
    <w:rsid w:val="0060501E"/>
    <w:rsid w:val="00605483"/>
    <w:rsid w:val="00605528"/>
    <w:rsid w:val="00605761"/>
    <w:rsid w:val="00605B29"/>
    <w:rsid w:val="0060641B"/>
    <w:rsid w:val="00606F51"/>
    <w:rsid w:val="00607E4B"/>
    <w:rsid w:val="00607FE5"/>
    <w:rsid w:val="006102BC"/>
    <w:rsid w:val="006108E7"/>
    <w:rsid w:val="006114B7"/>
    <w:rsid w:val="006116F5"/>
    <w:rsid w:val="006122DF"/>
    <w:rsid w:val="006124EA"/>
    <w:rsid w:val="00612E41"/>
    <w:rsid w:val="006131C8"/>
    <w:rsid w:val="00613322"/>
    <w:rsid w:val="00613A8B"/>
    <w:rsid w:val="00614221"/>
    <w:rsid w:val="006145AB"/>
    <w:rsid w:val="00614F86"/>
    <w:rsid w:val="00614FCE"/>
    <w:rsid w:val="006152D0"/>
    <w:rsid w:val="0061561B"/>
    <w:rsid w:val="00615765"/>
    <w:rsid w:val="006159D9"/>
    <w:rsid w:val="00616CB1"/>
    <w:rsid w:val="00616F07"/>
    <w:rsid w:val="00617149"/>
    <w:rsid w:val="006176A6"/>
    <w:rsid w:val="00617829"/>
    <w:rsid w:val="00617A9E"/>
    <w:rsid w:val="00617EAB"/>
    <w:rsid w:val="00620680"/>
    <w:rsid w:val="00620744"/>
    <w:rsid w:val="00620BCC"/>
    <w:rsid w:val="00620D67"/>
    <w:rsid w:val="0062115D"/>
    <w:rsid w:val="006211A2"/>
    <w:rsid w:val="0062145F"/>
    <w:rsid w:val="006214A7"/>
    <w:rsid w:val="006214E4"/>
    <w:rsid w:val="00621B9C"/>
    <w:rsid w:val="00621E08"/>
    <w:rsid w:val="00621E6A"/>
    <w:rsid w:val="00621E9C"/>
    <w:rsid w:val="00622F6B"/>
    <w:rsid w:val="0062327A"/>
    <w:rsid w:val="006234DC"/>
    <w:rsid w:val="00623879"/>
    <w:rsid w:val="00624123"/>
    <w:rsid w:val="0062483A"/>
    <w:rsid w:val="00624D9F"/>
    <w:rsid w:val="00624E90"/>
    <w:rsid w:val="0062523B"/>
    <w:rsid w:val="00625A45"/>
    <w:rsid w:val="00625DB7"/>
    <w:rsid w:val="006260BF"/>
    <w:rsid w:val="006261A0"/>
    <w:rsid w:val="00626F54"/>
    <w:rsid w:val="006271FD"/>
    <w:rsid w:val="006279FB"/>
    <w:rsid w:val="00627B03"/>
    <w:rsid w:val="00630209"/>
    <w:rsid w:val="0063043B"/>
    <w:rsid w:val="006307D9"/>
    <w:rsid w:val="00630DA6"/>
    <w:rsid w:val="00631435"/>
    <w:rsid w:val="00631FF5"/>
    <w:rsid w:val="0063203B"/>
    <w:rsid w:val="00632560"/>
    <w:rsid w:val="00632582"/>
    <w:rsid w:val="00632A36"/>
    <w:rsid w:val="0063356C"/>
    <w:rsid w:val="0063368B"/>
    <w:rsid w:val="00634290"/>
    <w:rsid w:val="00634975"/>
    <w:rsid w:val="00635409"/>
    <w:rsid w:val="00635D39"/>
    <w:rsid w:val="00635D8F"/>
    <w:rsid w:val="00636113"/>
    <w:rsid w:val="00636923"/>
    <w:rsid w:val="00636F4F"/>
    <w:rsid w:val="00637013"/>
    <w:rsid w:val="00637220"/>
    <w:rsid w:val="00637928"/>
    <w:rsid w:val="006379B5"/>
    <w:rsid w:val="0064029A"/>
    <w:rsid w:val="00640354"/>
    <w:rsid w:val="00640895"/>
    <w:rsid w:val="006413BF"/>
    <w:rsid w:val="006415C4"/>
    <w:rsid w:val="00641CDE"/>
    <w:rsid w:val="00641DFA"/>
    <w:rsid w:val="006420F4"/>
    <w:rsid w:val="00642116"/>
    <w:rsid w:val="00642601"/>
    <w:rsid w:val="00642873"/>
    <w:rsid w:val="00642A0B"/>
    <w:rsid w:val="00643795"/>
    <w:rsid w:val="0064386B"/>
    <w:rsid w:val="006439BE"/>
    <w:rsid w:val="00643E88"/>
    <w:rsid w:val="00643F39"/>
    <w:rsid w:val="00644A23"/>
    <w:rsid w:val="00644DCF"/>
    <w:rsid w:val="006457E1"/>
    <w:rsid w:val="00645999"/>
    <w:rsid w:val="00645BF0"/>
    <w:rsid w:val="00645F59"/>
    <w:rsid w:val="0064657B"/>
    <w:rsid w:val="00646D07"/>
    <w:rsid w:val="00646EA7"/>
    <w:rsid w:val="006476D3"/>
    <w:rsid w:val="006502BB"/>
    <w:rsid w:val="0065071A"/>
    <w:rsid w:val="00651292"/>
    <w:rsid w:val="00651418"/>
    <w:rsid w:val="00651F48"/>
    <w:rsid w:val="00652340"/>
    <w:rsid w:val="00652391"/>
    <w:rsid w:val="00653423"/>
    <w:rsid w:val="006535BC"/>
    <w:rsid w:val="00653BB1"/>
    <w:rsid w:val="00653DB3"/>
    <w:rsid w:val="0065442E"/>
    <w:rsid w:val="00654714"/>
    <w:rsid w:val="00655181"/>
    <w:rsid w:val="006555DA"/>
    <w:rsid w:val="006559CD"/>
    <w:rsid w:val="00655D9B"/>
    <w:rsid w:val="00656089"/>
    <w:rsid w:val="006561A1"/>
    <w:rsid w:val="00656916"/>
    <w:rsid w:val="0065691A"/>
    <w:rsid w:val="00656937"/>
    <w:rsid w:val="00656D26"/>
    <w:rsid w:val="006578B7"/>
    <w:rsid w:val="00657FBC"/>
    <w:rsid w:val="00660056"/>
    <w:rsid w:val="006604ED"/>
    <w:rsid w:val="00660745"/>
    <w:rsid w:val="006609D0"/>
    <w:rsid w:val="00660AB6"/>
    <w:rsid w:val="0066171D"/>
    <w:rsid w:val="00662250"/>
    <w:rsid w:val="006624DA"/>
    <w:rsid w:val="00662B84"/>
    <w:rsid w:val="00662BED"/>
    <w:rsid w:val="00663809"/>
    <w:rsid w:val="0066383A"/>
    <w:rsid w:val="00663980"/>
    <w:rsid w:val="00663E54"/>
    <w:rsid w:val="006640F4"/>
    <w:rsid w:val="006643E9"/>
    <w:rsid w:val="00664501"/>
    <w:rsid w:val="00664F04"/>
    <w:rsid w:val="00665043"/>
    <w:rsid w:val="0066544A"/>
    <w:rsid w:val="00665515"/>
    <w:rsid w:val="0066570E"/>
    <w:rsid w:val="006659BF"/>
    <w:rsid w:val="00665C29"/>
    <w:rsid w:val="00666202"/>
    <w:rsid w:val="006664E3"/>
    <w:rsid w:val="00666A37"/>
    <w:rsid w:val="00667544"/>
    <w:rsid w:val="0066762B"/>
    <w:rsid w:val="00667869"/>
    <w:rsid w:val="006710AB"/>
    <w:rsid w:val="00671343"/>
    <w:rsid w:val="0067161B"/>
    <w:rsid w:val="00671854"/>
    <w:rsid w:val="00671AE5"/>
    <w:rsid w:val="006722BA"/>
    <w:rsid w:val="0067244B"/>
    <w:rsid w:val="00672BE4"/>
    <w:rsid w:val="00673886"/>
    <w:rsid w:val="00673952"/>
    <w:rsid w:val="00673CCC"/>
    <w:rsid w:val="00673DC9"/>
    <w:rsid w:val="00673E02"/>
    <w:rsid w:val="00674138"/>
    <w:rsid w:val="00674288"/>
    <w:rsid w:val="00674A41"/>
    <w:rsid w:val="00674AD5"/>
    <w:rsid w:val="00674DAB"/>
    <w:rsid w:val="00674F9B"/>
    <w:rsid w:val="00675BE2"/>
    <w:rsid w:val="00675D80"/>
    <w:rsid w:val="00676BDF"/>
    <w:rsid w:val="0067732F"/>
    <w:rsid w:val="00677A12"/>
    <w:rsid w:val="00680DEA"/>
    <w:rsid w:val="006819D6"/>
    <w:rsid w:val="00681CEC"/>
    <w:rsid w:val="00681D14"/>
    <w:rsid w:val="00682052"/>
    <w:rsid w:val="006824F7"/>
    <w:rsid w:val="006828EB"/>
    <w:rsid w:val="00682ACB"/>
    <w:rsid w:val="006837A4"/>
    <w:rsid w:val="00683822"/>
    <w:rsid w:val="00683D73"/>
    <w:rsid w:val="006842C1"/>
    <w:rsid w:val="006843D2"/>
    <w:rsid w:val="00684837"/>
    <w:rsid w:val="006853DE"/>
    <w:rsid w:val="00685634"/>
    <w:rsid w:val="00685BAD"/>
    <w:rsid w:val="00686965"/>
    <w:rsid w:val="0068751E"/>
    <w:rsid w:val="00687822"/>
    <w:rsid w:val="00687EBB"/>
    <w:rsid w:val="00690681"/>
    <w:rsid w:val="006911A2"/>
    <w:rsid w:val="0069177C"/>
    <w:rsid w:val="006917D6"/>
    <w:rsid w:val="00691E43"/>
    <w:rsid w:val="006921A4"/>
    <w:rsid w:val="006922F0"/>
    <w:rsid w:val="00692774"/>
    <w:rsid w:val="00692E06"/>
    <w:rsid w:val="00693025"/>
    <w:rsid w:val="006935ED"/>
    <w:rsid w:val="0069434D"/>
    <w:rsid w:val="00694A62"/>
    <w:rsid w:val="00694D96"/>
    <w:rsid w:val="0069537B"/>
    <w:rsid w:val="006953DB"/>
    <w:rsid w:val="0069578E"/>
    <w:rsid w:val="00695B8F"/>
    <w:rsid w:val="00696761"/>
    <w:rsid w:val="00696A1D"/>
    <w:rsid w:val="00696A8A"/>
    <w:rsid w:val="00697126"/>
    <w:rsid w:val="00697268"/>
    <w:rsid w:val="00697275"/>
    <w:rsid w:val="00697322"/>
    <w:rsid w:val="006973FF"/>
    <w:rsid w:val="00697992"/>
    <w:rsid w:val="006979CD"/>
    <w:rsid w:val="00697D4B"/>
    <w:rsid w:val="006A034C"/>
    <w:rsid w:val="006A0418"/>
    <w:rsid w:val="006A04EC"/>
    <w:rsid w:val="006A06A9"/>
    <w:rsid w:val="006A06F2"/>
    <w:rsid w:val="006A0F80"/>
    <w:rsid w:val="006A128B"/>
    <w:rsid w:val="006A14A3"/>
    <w:rsid w:val="006A1B85"/>
    <w:rsid w:val="006A1C9E"/>
    <w:rsid w:val="006A1E0F"/>
    <w:rsid w:val="006A2A98"/>
    <w:rsid w:val="006A2DA6"/>
    <w:rsid w:val="006A2E81"/>
    <w:rsid w:val="006A2F65"/>
    <w:rsid w:val="006A2FF0"/>
    <w:rsid w:val="006A3A00"/>
    <w:rsid w:val="006A48A4"/>
    <w:rsid w:val="006A56F6"/>
    <w:rsid w:val="006A628E"/>
    <w:rsid w:val="006A740D"/>
    <w:rsid w:val="006A7C11"/>
    <w:rsid w:val="006A7E7D"/>
    <w:rsid w:val="006B046F"/>
    <w:rsid w:val="006B0934"/>
    <w:rsid w:val="006B0C4F"/>
    <w:rsid w:val="006B0D8E"/>
    <w:rsid w:val="006B156C"/>
    <w:rsid w:val="006B198C"/>
    <w:rsid w:val="006B1A48"/>
    <w:rsid w:val="006B1BCB"/>
    <w:rsid w:val="006B262F"/>
    <w:rsid w:val="006B2A21"/>
    <w:rsid w:val="006B2CF1"/>
    <w:rsid w:val="006B327D"/>
    <w:rsid w:val="006B3EA3"/>
    <w:rsid w:val="006B485C"/>
    <w:rsid w:val="006B4EB5"/>
    <w:rsid w:val="006B54D9"/>
    <w:rsid w:val="006B5569"/>
    <w:rsid w:val="006B57E8"/>
    <w:rsid w:val="006B5962"/>
    <w:rsid w:val="006B60F8"/>
    <w:rsid w:val="006B6874"/>
    <w:rsid w:val="006B6EDF"/>
    <w:rsid w:val="006B6EE0"/>
    <w:rsid w:val="006B7323"/>
    <w:rsid w:val="006B776E"/>
    <w:rsid w:val="006B7812"/>
    <w:rsid w:val="006C0329"/>
    <w:rsid w:val="006C0464"/>
    <w:rsid w:val="006C0714"/>
    <w:rsid w:val="006C083B"/>
    <w:rsid w:val="006C0E52"/>
    <w:rsid w:val="006C1065"/>
    <w:rsid w:val="006C1084"/>
    <w:rsid w:val="006C10F6"/>
    <w:rsid w:val="006C14DC"/>
    <w:rsid w:val="006C1B4A"/>
    <w:rsid w:val="006C1D2B"/>
    <w:rsid w:val="006C2B5A"/>
    <w:rsid w:val="006C3429"/>
    <w:rsid w:val="006C344A"/>
    <w:rsid w:val="006C3775"/>
    <w:rsid w:val="006C37AF"/>
    <w:rsid w:val="006C3AD0"/>
    <w:rsid w:val="006C3B31"/>
    <w:rsid w:val="006C3B99"/>
    <w:rsid w:val="006C3E6E"/>
    <w:rsid w:val="006C467A"/>
    <w:rsid w:val="006C4932"/>
    <w:rsid w:val="006C4973"/>
    <w:rsid w:val="006C4AD8"/>
    <w:rsid w:val="006C5429"/>
    <w:rsid w:val="006C5AD7"/>
    <w:rsid w:val="006C60BF"/>
    <w:rsid w:val="006C6516"/>
    <w:rsid w:val="006C691D"/>
    <w:rsid w:val="006C6DD3"/>
    <w:rsid w:val="006C710A"/>
    <w:rsid w:val="006C714D"/>
    <w:rsid w:val="006C74D7"/>
    <w:rsid w:val="006C7B49"/>
    <w:rsid w:val="006C7D8C"/>
    <w:rsid w:val="006D05C4"/>
    <w:rsid w:val="006D0AFF"/>
    <w:rsid w:val="006D1737"/>
    <w:rsid w:val="006D17A9"/>
    <w:rsid w:val="006D1919"/>
    <w:rsid w:val="006D1CC2"/>
    <w:rsid w:val="006D20BD"/>
    <w:rsid w:val="006D217A"/>
    <w:rsid w:val="006D2DB5"/>
    <w:rsid w:val="006D3076"/>
    <w:rsid w:val="006D349A"/>
    <w:rsid w:val="006D3E2B"/>
    <w:rsid w:val="006D4E8B"/>
    <w:rsid w:val="006D5046"/>
    <w:rsid w:val="006D58F5"/>
    <w:rsid w:val="006D5A14"/>
    <w:rsid w:val="006D6565"/>
    <w:rsid w:val="006D67AB"/>
    <w:rsid w:val="006D6983"/>
    <w:rsid w:val="006D6A71"/>
    <w:rsid w:val="006D7596"/>
    <w:rsid w:val="006E02DA"/>
    <w:rsid w:val="006E078C"/>
    <w:rsid w:val="006E102A"/>
    <w:rsid w:val="006E1343"/>
    <w:rsid w:val="006E16E5"/>
    <w:rsid w:val="006E1733"/>
    <w:rsid w:val="006E1A22"/>
    <w:rsid w:val="006E230F"/>
    <w:rsid w:val="006E2C01"/>
    <w:rsid w:val="006E2F2D"/>
    <w:rsid w:val="006E2FEB"/>
    <w:rsid w:val="006E3039"/>
    <w:rsid w:val="006E4106"/>
    <w:rsid w:val="006E4444"/>
    <w:rsid w:val="006E4914"/>
    <w:rsid w:val="006E4996"/>
    <w:rsid w:val="006E5552"/>
    <w:rsid w:val="006E564D"/>
    <w:rsid w:val="006E62C9"/>
    <w:rsid w:val="006E6360"/>
    <w:rsid w:val="006E7FDB"/>
    <w:rsid w:val="006F0792"/>
    <w:rsid w:val="006F07F4"/>
    <w:rsid w:val="006F0F0A"/>
    <w:rsid w:val="006F1E97"/>
    <w:rsid w:val="006F1F04"/>
    <w:rsid w:val="006F2348"/>
    <w:rsid w:val="006F2C25"/>
    <w:rsid w:val="006F3090"/>
    <w:rsid w:val="006F3149"/>
    <w:rsid w:val="006F3999"/>
    <w:rsid w:val="006F3F7A"/>
    <w:rsid w:val="006F4ACB"/>
    <w:rsid w:val="006F4ADE"/>
    <w:rsid w:val="006F4CAA"/>
    <w:rsid w:val="006F5203"/>
    <w:rsid w:val="006F656B"/>
    <w:rsid w:val="006F703F"/>
    <w:rsid w:val="006F7544"/>
    <w:rsid w:val="006F7CE6"/>
    <w:rsid w:val="00700A65"/>
    <w:rsid w:val="00700ADB"/>
    <w:rsid w:val="00700E11"/>
    <w:rsid w:val="00700E73"/>
    <w:rsid w:val="00700FF6"/>
    <w:rsid w:val="0070171A"/>
    <w:rsid w:val="0070206E"/>
    <w:rsid w:val="00702210"/>
    <w:rsid w:val="0070289C"/>
    <w:rsid w:val="00702F60"/>
    <w:rsid w:val="0070358F"/>
    <w:rsid w:val="00703999"/>
    <w:rsid w:val="00703AB2"/>
    <w:rsid w:val="0070406A"/>
    <w:rsid w:val="007041E6"/>
    <w:rsid w:val="007042E2"/>
    <w:rsid w:val="0070456B"/>
    <w:rsid w:val="007055DD"/>
    <w:rsid w:val="00705663"/>
    <w:rsid w:val="00705957"/>
    <w:rsid w:val="00705AFA"/>
    <w:rsid w:val="00705E78"/>
    <w:rsid w:val="00705F26"/>
    <w:rsid w:val="0070612A"/>
    <w:rsid w:val="0070669F"/>
    <w:rsid w:val="00706F66"/>
    <w:rsid w:val="00707161"/>
    <w:rsid w:val="007072E0"/>
    <w:rsid w:val="0070739B"/>
    <w:rsid w:val="00707A75"/>
    <w:rsid w:val="00707F44"/>
    <w:rsid w:val="00710920"/>
    <w:rsid w:val="00710BB5"/>
    <w:rsid w:val="007110AA"/>
    <w:rsid w:val="00711BC3"/>
    <w:rsid w:val="007124AC"/>
    <w:rsid w:val="00713102"/>
    <w:rsid w:val="00713518"/>
    <w:rsid w:val="00714105"/>
    <w:rsid w:val="00714123"/>
    <w:rsid w:val="007145AE"/>
    <w:rsid w:val="00714B19"/>
    <w:rsid w:val="00715976"/>
    <w:rsid w:val="00715B47"/>
    <w:rsid w:val="00715ECE"/>
    <w:rsid w:val="007163CF"/>
    <w:rsid w:val="007170CE"/>
    <w:rsid w:val="00717BD5"/>
    <w:rsid w:val="00717FA4"/>
    <w:rsid w:val="007206E1"/>
    <w:rsid w:val="00720A6B"/>
    <w:rsid w:val="00720CBA"/>
    <w:rsid w:val="00721C3E"/>
    <w:rsid w:val="00721CA3"/>
    <w:rsid w:val="00721CBF"/>
    <w:rsid w:val="00722415"/>
    <w:rsid w:val="00722871"/>
    <w:rsid w:val="007228F9"/>
    <w:rsid w:val="007233D2"/>
    <w:rsid w:val="00723E14"/>
    <w:rsid w:val="00724A9A"/>
    <w:rsid w:val="00725549"/>
    <w:rsid w:val="00725FB2"/>
    <w:rsid w:val="00726130"/>
    <w:rsid w:val="00726723"/>
    <w:rsid w:val="00726757"/>
    <w:rsid w:val="00726844"/>
    <w:rsid w:val="00726BD1"/>
    <w:rsid w:val="00727448"/>
    <w:rsid w:val="00727C1D"/>
    <w:rsid w:val="00727E10"/>
    <w:rsid w:val="0073013A"/>
    <w:rsid w:val="007301D4"/>
    <w:rsid w:val="00730710"/>
    <w:rsid w:val="00730902"/>
    <w:rsid w:val="00730CBD"/>
    <w:rsid w:val="00731210"/>
    <w:rsid w:val="00731457"/>
    <w:rsid w:val="00731622"/>
    <w:rsid w:val="00731A73"/>
    <w:rsid w:val="00731CAD"/>
    <w:rsid w:val="00732542"/>
    <w:rsid w:val="0073275D"/>
    <w:rsid w:val="007328A0"/>
    <w:rsid w:val="0073302A"/>
    <w:rsid w:val="00733031"/>
    <w:rsid w:val="00733082"/>
    <w:rsid w:val="0073395D"/>
    <w:rsid w:val="0073404A"/>
    <w:rsid w:val="00734845"/>
    <w:rsid w:val="00734923"/>
    <w:rsid w:val="00735271"/>
    <w:rsid w:val="0073541E"/>
    <w:rsid w:val="00735DD7"/>
    <w:rsid w:val="00735DE6"/>
    <w:rsid w:val="00735F40"/>
    <w:rsid w:val="00736AF5"/>
    <w:rsid w:val="00737029"/>
    <w:rsid w:val="0073723D"/>
    <w:rsid w:val="00737499"/>
    <w:rsid w:val="00737AB6"/>
    <w:rsid w:val="00737AD4"/>
    <w:rsid w:val="00740603"/>
    <w:rsid w:val="007409AF"/>
    <w:rsid w:val="00740C0E"/>
    <w:rsid w:val="00740D77"/>
    <w:rsid w:val="00741189"/>
    <w:rsid w:val="00741B3A"/>
    <w:rsid w:val="0074221D"/>
    <w:rsid w:val="007432A8"/>
    <w:rsid w:val="00743E87"/>
    <w:rsid w:val="007440C4"/>
    <w:rsid w:val="0074458C"/>
    <w:rsid w:val="007446D1"/>
    <w:rsid w:val="00744962"/>
    <w:rsid w:val="00744C7C"/>
    <w:rsid w:val="0074518A"/>
    <w:rsid w:val="00745196"/>
    <w:rsid w:val="007456A2"/>
    <w:rsid w:val="00745D9E"/>
    <w:rsid w:val="007460E2"/>
    <w:rsid w:val="007463EE"/>
    <w:rsid w:val="00746684"/>
    <w:rsid w:val="00746934"/>
    <w:rsid w:val="00746A45"/>
    <w:rsid w:val="00746A5D"/>
    <w:rsid w:val="00746E3D"/>
    <w:rsid w:val="00747B91"/>
    <w:rsid w:val="00747C2F"/>
    <w:rsid w:val="00747C7D"/>
    <w:rsid w:val="0075021C"/>
    <w:rsid w:val="0075026F"/>
    <w:rsid w:val="00750958"/>
    <w:rsid w:val="00750DB4"/>
    <w:rsid w:val="00751428"/>
    <w:rsid w:val="0075154A"/>
    <w:rsid w:val="007515CF"/>
    <w:rsid w:val="007516CE"/>
    <w:rsid w:val="007519F0"/>
    <w:rsid w:val="00751C29"/>
    <w:rsid w:val="00751F7F"/>
    <w:rsid w:val="0075290A"/>
    <w:rsid w:val="00752B31"/>
    <w:rsid w:val="00752DB9"/>
    <w:rsid w:val="00752F51"/>
    <w:rsid w:val="00753712"/>
    <w:rsid w:val="00753B98"/>
    <w:rsid w:val="007540CF"/>
    <w:rsid w:val="00754240"/>
    <w:rsid w:val="0075431A"/>
    <w:rsid w:val="00755573"/>
    <w:rsid w:val="007557F2"/>
    <w:rsid w:val="007565C8"/>
    <w:rsid w:val="007568FE"/>
    <w:rsid w:val="00760255"/>
    <w:rsid w:val="007608AD"/>
    <w:rsid w:val="00761426"/>
    <w:rsid w:val="00762366"/>
    <w:rsid w:val="007627C5"/>
    <w:rsid w:val="00762DE8"/>
    <w:rsid w:val="007631C7"/>
    <w:rsid w:val="00764094"/>
    <w:rsid w:val="0076478D"/>
    <w:rsid w:val="007647E5"/>
    <w:rsid w:val="00764862"/>
    <w:rsid w:val="00764A61"/>
    <w:rsid w:val="00764D68"/>
    <w:rsid w:val="00765CE9"/>
    <w:rsid w:val="00766119"/>
    <w:rsid w:val="0076631E"/>
    <w:rsid w:val="007666AD"/>
    <w:rsid w:val="0076674D"/>
    <w:rsid w:val="00767170"/>
    <w:rsid w:val="00767301"/>
    <w:rsid w:val="0076781D"/>
    <w:rsid w:val="00767E73"/>
    <w:rsid w:val="00771320"/>
    <w:rsid w:val="00771335"/>
    <w:rsid w:val="00771579"/>
    <w:rsid w:val="00771589"/>
    <w:rsid w:val="00771784"/>
    <w:rsid w:val="00771793"/>
    <w:rsid w:val="00772304"/>
    <w:rsid w:val="007726B2"/>
    <w:rsid w:val="00772D7B"/>
    <w:rsid w:val="007734E5"/>
    <w:rsid w:val="0077387E"/>
    <w:rsid w:val="007739E5"/>
    <w:rsid w:val="00773B26"/>
    <w:rsid w:val="00773E4F"/>
    <w:rsid w:val="00774507"/>
    <w:rsid w:val="00774784"/>
    <w:rsid w:val="007747B8"/>
    <w:rsid w:val="00774BE1"/>
    <w:rsid w:val="00776B01"/>
    <w:rsid w:val="0077763F"/>
    <w:rsid w:val="007777D8"/>
    <w:rsid w:val="00777908"/>
    <w:rsid w:val="00777D17"/>
    <w:rsid w:val="0078057F"/>
    <w:rsid w:val="00780CCC"/>
    <w:rsid w:val="00780CFF"/>
    <w:rsid w:val="00780DF0"/>
    <w:rsid w:val="00780EF8"/>
    <w:rsid w:val="00781216"/>
    <w:rsid w:val="007825FC"/>
    <w:rsid w:val="00783338"/>
    <w:rsid w:val="007833A7"/>
    <w:rsid w:val="00783499"/>
    <w:rsid w:val="00783601"/>
    <w:rsid w:val="007837A5"/>
    <w:rsid w:val="00784191"/>
    <w:rsid w:val="00784497"/>
    <w:rsid w:val="007844F9"/>
    <w:rsid w:val="00784970"/>
    <w:rsid w:val="00785052"/>
    <w:rsid w:val="00785B45"/>
    <w:rsid w:val="00786027"/>
    <w:rsid w:val="0078679F"/>
    <w:rsid w:val="007870C4"/>
    <w:rsid w:val="007876FB"/>
    <w:rsid w:val="007904C0"/>
    <w:rsid w:val="007906EA"/>
    <w:rsid w:val="007910F0"/>
    <w:rsid w:val="00791A65"/>
    <w:rsid w:val="00791E79"/>
    <w:rsid w:val="007920A0"/>
    <w:rsid w:val="0079238C"/>
    <w:rsid w:val="0079261C"/>
    <w:rsid w:val="0079273D"/>
    <w:rsid w:val="007929E1"/>
    <w:rsid w:val="00792A02"/>
    <w:rsid w:val="0079312B"/>
    <w:rsid w:val="007943F7"/>
    <w:rsid w:val="00794B31"/>
    <w:rsid w:val="00794F05"/>
    <w:rsid w:val="007956D6"/>
    <w:rsid w:val="00795744"/>
    <w:rsid w:val="00795A16"/>
    <w:rsid w:val="007964D3"/>
    <w:rsid w:val="00796D17"/>
    <w:rsid w:val="00797D19"/>
    <w:rsid w:val="00797DCD"/>
    <w:rsid w:val="007A02A7"/>
    <w:rsid w:val="007A0C9B"/>
    <w:rsid w:val="007A103B"/>
    <w:rsid w:val="007A1CE7"/>
    <w:rsid w:val="007A23B5"/>
    <w:rsid w:val="007A2541"/>
    <w:rsid w:val="007A26E4"/>
    <w:rsid w:val="007A3DE0"/>
    <w:rsid w:val="007A3F65"/>
    <w:rsid w:val="007A4032"/>
    <w:rsid w:val="007A49DD"/>
    <w:rsid w:val="007A598D"/>
    <w:rsid w:val="007A5AAD"/>
    <w:rsid w:val="007A602F"/>
    <w:rsid w:val="007A63C4"/>
    <w:rsid w:val="007A66C3"/>
    <w:rsid w:val="007A6DFC"/>
    <w:rsid w:val="007A6F9E"/>
    <w:rsid w:val="007A74C2"/>
    <w:rsid w:val="007A764F"/>
    <w:rsid w:val="007A7710"/>
    <w:rsid w:val="007A78E9"/>
    <w:rsid w:val="007A7E7A"/>
    <w:rsid w:val="007A7F42"/>
    <w:rsid w:val="007B0ACE"/>
    <w:rsid w:val="007B0B14"/>
    <w:rsid w:val="007B1593"/>
    <w:rsid w:val="007B165B"/>
    <w:rsid w:val="007B16B0"/>
    <w:rsid w:val="007B1E6F"/>
    <w:rsid w:val="007B2AC6"/>
    <w:rsid w:val="007B2BF3"/>
    <w:rsid w:val="007B2FAC"/>
    <w:rsid w:val="007B3A22"/>
    <w:rsid w:val="007B3A87"/>
    <w:rsid w:val="007B3BEC"/>
    <w:rsid w:val="007B47EA"/>
    <w:rsid w:val="007B4D7D"/>
    <w:rsid w:val="007B5BB9"/>
    <w:rsid w:val="007B5EEF"/>
    <w:rsid w:val="007B6377"/>
    <w:rsid w:val="007B638B"/>
    <w:rsid w:val="007B6929"/>
    <w:rsid w:val="007B6A3E"/>
    <w:rsid w:val="007B725C"/>
    <w:rsid w:val="007B7266"/>
    <w:rsid w:val="007B7664"/>
    <w:rsid w:val="007B7732"/>
    <w:rsid w:val="007C0182"/>
    <w:rsid w:val="007C0498"/>
    <w:rsid w:val="007C0900"/>
    <w:rsid w:val="007C0A02"/>
    <w:rsid w:val="007C0A1A"/>
    <w:rsid w:val="007C141B"/>
    <w:rsid w:val="007C16AD"/>
    <w:rsid w:val="007C1AD4"/>
    <w:rsid w:val="007C1F66"/>
    <w:rsid w:val="007C2076"/>
    <w:rsid w:val="007C242A"/>
    <w:rsid w:val="007C2AC8"/>
    <w:rsid w:val="007C2B00"/>
    <w:rsid w:val="007C2C26"/>
    <w:rsid w:val="007C2EB8"/>
    <w:rsid w:val="007C3360"/>
    <w:rsid w:val="007C3948"/>
    <w:rsid w:val="007C3E90"/>
    <w:rsid w:val="007C3F74"/>
    <w:rsid w:val="007C40B1"/>
    <w:rsid w:val="007C41CE"/>
    <w:rsid w:val="007C46BF"/>
    <w:rsid w:val="007C48E5"/>
    <w:rsid w:val="007C4AC0"/>
    <w:rsid w:val="007C4C4F"/>
    <w:rsid w:val="007C5036"/>
    <w:rsid w:val="007C569B"/>
    <w:rsid w:val="007C5CCD"/>
    <w:rsid w:val="007C5CE8"/>
    <w:rsid w:val="007C6280"/>
    <w:rsid w:val="007C640B"/>
    <w:rsid w:val="007C6539"/>
    <w:rsid w:val="007C66B1"/>
    <w:rsid w:val="007C6B00"/>
    <w:rsid w:val="007C7119"/>
    <w:rsid w:val="007C750D"/>
    <w:rsid w:val="007C7875"/>
    <w:rsid w:val="007D0EC5"/>
    <w:rsid w:val="007D148E"/>
    <w:rsid w:val="007D1CF3"/>
    <w:rsid w:val="007D2196"/>
    <w:rsid w:val="007D25DA"/>
    <w:rsid w:val="007D29D8"/>
    <w:rsid w:val="007D2A36"/>
    <w:rsid w:val="007D2C64"/>
    <w:rsid w:val="007D2D08"/>
    <w:rsid w:val="007D2D2F"/>
    <w:rsid w:val="007D334B"/>
    <w:rsid w:val="007D33B5"/>
    <w:rsid w:val="007D3507"/>
    <w:rsid w:val="007D3BF7"/>
    <w:rsid w:val="007D3C66"/>
    <w:rsid w:val="007D3ECF"/>
    <w:rsid w:val="007D44C1"/>
    <w:rsid w:val="007D5A83"/>
    <w:rsid w:val="007D5DB4"/>
    <w:rsid w:val="007D6B06"/>
    <w:rsid w:val="007D6F51"/>
    <w:rsid w:val="007D70B2"/>
    <w:rsid w:val="007D7C2E"/>
    <w:rsid w:val="007E00E1"/>
    <w:rsid w:val="007E0DFE"/>
    <w:rsid w:val="007E137C"/>
    <w:rsid w:val="007E1461"/>
    <w:rsid w:val="007E16A1"/>
    <w:rsid w:val="007E2EF0"/>
    <w:rsid w:val="007E36C7"/>
    <w:rsid w:val="007E3A45"/>
    <w:rsid w:val="007E3C3E"/>
    <w:rsid w:val="007E3DFF"/>
    <w:rsid w:val="007E4262"/>
    <w:rsid w:val="007E43F7"/>
    <w:rsid w:val="007E501B"/>
    <w:rsid w:val="007E5A30"/>
    <w:rsid w:val="007E6266"/>
    <w:rsid w:val="007E65DF"/>
    <w:rsid w:val="007E6ED7"/>
    <w:rsid w:val="007E77B6"/>
    <w:rsid w:val="007F027A"/>
    <w:rsid w:val="007F0755"/>
    <w:rsid w:val="007F0946"/>
    <w:rsid w:val="007F0D7E"/>
    <w:rsid w:val="007F0E30"/>
    <w:rsid w:val="007F0EE7"/>
    <w:rsid w:val="007F0FFD"/>
    <w:rsid w:val="007F1787"/>
    <w:rsid w:val="007F29A5"/>
    <w:rsid w:val="007F2AE9"/>
    <w:rsid w:val="007F352E"/>
    <w:rsid w:val="007F3C1E"/>
    <w:rsid w:val="007F3D77"/>
    <w:rsid w:val="007F41AB"/>
    <w:rsid w:val="007F49AD"/>
    <w:rsid w:val="007F4F42"/>
    <w:rsid w:val="007F57CA"/>
    <w:rsid w:val="007F5CAA"/>
    <w:rsid w:val="007F61BB"/>
    <w:rsid w:val="007F624B"/>
    <w:rsid w:val="007F62F1"/>
    <w:rsid w:val="007F6524"/>
    <w:rsid w:val="007F677D"/>
    <w:rsid w:val="007F70DE"/>
    <w:rsid w:val="007F7323"/>
    <w:rsid w:val="007F7AE4"/>
    <w:rsid w:val="008004CA"/>
    <w:rsid w:val="00800B33"/>
    <w:rsid w:val="00800BA9"/>
    <w:rsid w:val="00801217"/>
    <w:rsid w:val="00801703"/>
    <w:rsid w:val="008017E3"/>
    <w:rsid w:val="00802681"/>
    <w:rsid w:val="00802BF4"/>
    <w:rsid w:val="00803478"/>
    <w:rsid w:val="00803524"/>
    <w:rsid w:val="00803F83"/>
    <w:rsid w:val="008041ED"/>
    <w:rsid w:val="008047EE"/>
    <w:rsid w:val="00804D2F"/>
    <w:rsid w:val="008056D3"/>
    <w:rsid w:val="008058FF"/>
    <w:rsid w:val="008059D3"/>
    <w:rsid w:val="00805B68"/>
    <w:rsid w:val="0080646C"/>
    <w:rsid w:val="008073A2"/>
    <w:rsid w:val="00807919"/>
    <w:rsid w:val="00807CFB"/>
    <w:rsid w:val="0081096E"/>
    <w:rsid w:val="008109EE"/>
    <w:rsid w:val="008116C9"/>
    <w:rsid w:val="008118F5"/>
    <w:rsid w:val="00811FB1"/>
    <w:rsid w:val="00811FDE"/>
    <w:rsid w:val="00812328"/>
    <w:rsid w:val="00812B9E"/>
    <w:rsid w:val="00812CC0"/>
    <w:rsid w:val="00812E54"/>
    <w:rsid w:val="008131A4"/>
    <w:rsid w:val="00813253"/>
    <w:rsid w:val="00813492"/>
    <w:rsid w:val="008134AE"/>
    <w:rsid w:val="008138EA"/>
    <w:rsid w:val="00814003"/>
    <w:rsid w:val="00814239"/>
    <w:rsid w:val="00814702"/>
    <w:rsid w:val="00814BD0"/>
    <w:rsid w:val="00814ED2"/>
    <w:rsid w:val="008156DF"/>
    <w:rsid w:val="00816289"/>
    <w:rsid w:val="0081650F"/>
    <w:rsid w:val="00817DA9"/>
    <w:rsid w:val="00820079"/>
    <w:rsid w:val="00820556"/>
    <w:rsid w:val="0082068F"/>
    <w:rsid w:val="00820CBA"/>
    <w:rsid w:val="00820F75"/>
    <w:rsid w:val="00821607"/>
    <w:rsid w:val="0082161E"/>
    <w:rsid w:val="00821776"/>
    <w:rsid w:val="008219C5"/>
    <w:rsid w:val="0082220F"/>
    <w:rsid w:val="008223BD"/>
    <w:rsid w:val="00822590"/>
    <w:rsid w:val="00823277"/>
    <w:rsid w:val="008237AA"/>
    <w:rsid w:val="008249A7"/>
    <w:rsid w:val="00824B0B"/>
    <w:rsid w:val="0082540F"/>
    <w:rsid w:val="00826077"/>
    <w:rsid w:val="00826160"/>
    <w:rsid w:val="008264F2"/>
    <w:rsid w:val="00827DC1"/>
    <w:rsid w:val="00830A07"/>
    <w:rsid w:val="00830F17"/>
    <w:rsid w:val="008312A1"/>
    <w:rsid w:val="00831E9E"/>
    <w:rsid w:val="008322AB"/>
    <w:rsid w:val="008322E5"/>
    <w:rsid w:val="008324A5"/>
    <w:rsid w:val="00832991"/>
    <w:rsid w:val="0083313C"/>
    <w:rsid w:val="00833FA0"/>
    <w:rsid w:val="00834485"/>
    <w:rsid w:val="008348C9"/>
    <w:rsid w:val="008349EB"/>
    <w:rsid w:val="00835B0B"/>
    <w:rsid w:val="00835BC1"/>
    <w:rsid w:val="00836936"/>
    <w:rsid w:val="00836EDF"/>
    <w:rsid w:val="00837AA4"/>
    <w:rsid w:val="00837B8D"/>
    <w:rsid w:val="0084003B"/>
    <w:rsid w:val="00840233"/>
    <w:rsid w:val="008405D6"/>
    <w:rsid w:val="0084062E"/>
    <w:rsid w:val="00840705"/>
    <w:rsid w:val="00840F81"/>
    <w:rsid w:val="00841640"/>
    <w:rsid w:val="0084166F"/>
    <w:rsid w:val="00841C87"/>
    <w:rsid w:val="00842068"/>
    <w:rsid w:val="008421C4"/>
    <w:rsid w:val="0084221C"/>
    <w:rsid w:val="00843136"/>
    <w:rsid w:val="00844484"/>
    <w:rsid w:val="00845048"/>
    <w:rsid w:val="00845CBF"/>
    <w:rsid w:val="00845FE6"/>
    <w:rsid w:val="008461BD"/>
    <w:rsid w:val="0084660A"/>
    <w:rsid w:val="0084725E"/>
    <w:rsid w:val="00847E1D"/>
    <w:rsid w:val="008500CF"/>
    <w:rsid w:val="00850777"/>
    <w:rsid w:val="00850FA6"/>
    <w:rsid w:val="00851430"/>
    <w:rsid w:val="008518B4"/>
    <w:rsid w:val="00851ABB"/>
    <w:rsid w:val="00851CD0"/>
    <w:rsid w:val="00851FD5"/>
    <w:rsid w:val="00852473"/>
    <w:rsid w:val="00852645"/>
    <w:rsid w:val="008529EB"/>
    <w:rsid w:val="00852F78"/>
    <w:rsid w:val="0085313D"/>
    <w:rsid w:val="008536DA"/>
    <w:rsid w:val="0085585D"/>
    <w:rsid w:val="00855A4A"/>
    <w:rsid w:val="00855DD2"/>
    <w:rsid w:val="00855E33"/>
    <w:rsid w:val="00855FC5"/>
    <w:rsid w:val="00856343"/>
    <w:rsid w:val="0085654A"/>
    <w:rsid w:val="00856564"/>
    <w:rsid w:val="00856A92"/>
    <w:rsid w:val="00856CDE"/>
    <w:rsid w:val="00856E98"/>
    <w:rsid w:val="00857574"/>
    <w:rsid w:val="008579B0"/>
    <w:rsid w:val="008602ED"/>
    <w:rsid w:val="008614AE"/>
    <w:rsid w:val="00861790"/>
    <w:rsid w:val="00861CDD"/>
    <w:rsid w:val="00861E22"/>
    <w:rsid w:val="00862141"/>
    <w:rsid w:val="00862840"/>
    <w:rsid w:val="008629FF"/>
    <w:rsid w:val="00862ACA"/>
    <w:rsid w:val="008630E2"/>
    <w:rsid w:val="0086359D"/>
    <w:rsid w:val="00863849"/>
    <w:rsid w:val="00864CD1"/>
    <w:rsid w:val="00864E00"/>
    <w:rsid w:val="008650DE"/>
    <w:rsid w:val="00865260"/>
    <w:rsid w:val="008657C4"/>
    <w:rsid w:val="00865A3F"/>
    <w:rsid w:val="00865D9D"/>
    <w:rsid w:val="0086795B"/>
    <w:rsid w:val="00867D90"/>
    <w:rsid w:val="008701E2"/>
    <w:rsid w:val="008707A1"/>
    <w:rsid w:val="00870FCF"/>
    <w:rsid w:val="00870FE2"/>
    <w:rsid w:val="0087109C"/>
    <w:rsid w:val="00872222"/>
    <w:rsid w:val="008726C8"/>
    <w:rsid w:val="00872DA3"/>
    <w:rsid w:val="0087339F"/>
    <w:rsid w:val="0087413F"/>
    <w:rsid w:val="00874C3A"/>
    <w:rsid w:val="00874D4A"/>
    <w:rsid w:val="00874F00"/>
    <w:rsid w:val="008750C4"/>
    <w:rsid w:val="00875548"/>
    <w:rsid w:val="00876BE2"/>
    <w:rsid w:val="00876CBC"/>
    <w:rsid w:val="00876E35"/>
    <w:rsid w:val="00876F5D"/>
    <w:rsid w:val="00877768"/>
    <w:rsid w:val="00877B2C"/>
    <w:rsid w:val="00877E30"/>
    <w:rsid w:val="00880F75"/>
    <w:rsid w:val="00881095"/>
    <w:rsid w:val="008814E2"/>
    <w:rsid w:val="008817B3"/>
    <w:rsid w:val="00881B55"/>
    <w:rsid w:val="00881D53"/>
    <w:rsid w:val="00882E3D"/>
    <w:rsid w:val="00884528"/>
    <w:rsid w:val="00884766"/>
    <w:rsid w:val="00884C61"/>
    <w:rsid w:val="00885085"/>
    <w:rsid w:val="0088555D"/>
    <w:rsid w:val="00885608"/>
    <w:rsid w:val="00885B6E"/>
    <w:rsid w:val="008862D3"/>
    <w:rsid w:val="00886AF5"/>
    <w:rsid w:val="00886CC2"/>
    <w:rsid w:val="00886EB1"/>
    <w:rsid w:val="0088738F"/>
    <w:rsid w:val="0088758E"/>
    <w:rsid w:val="008875D5"/>
    <w:rsid w:val="008876EC"/>
    <w:rsid w:val="008877D5"/>
    <w:rsid w:val="00887A32"/>
    <w:rsid w:val="00890257"/>
    <w:rsid w:val="00890555"/>
    <w:rsid w:val="00890900"/>
    <w:rsid w:val="00890EF9"/>
    <w:rsid w:val="008913BF"/>
    <w:rsid w:val="008916D6"/>
    <w:rsid w:val="008918FD"/>
    <w:rsid w:val="00892FFD"/>
    <w:rsid w:val="008934AC"/>
    <w:rsid w:val="00893743"/>
    <w:rsid w:val="00893771"/>
    <w:rsid w:val="008949E0"/>
    <w:rsid w:val="00894EBC"/>
    <w:rsid w:val="008955E5"/>
    <w:rsid w:val="00895630"/>
    <w:rsid w:val="008957F3"/>
    <w:rsid w:val="00896280"/>
    <w:rsid w:val="0089684A"/>
    <w:rsid w:val="0089690D"/>
    <w:rsid w:val="00897246"/>
    <w:rsid w:val="008979D8"/>
    <w:rsid w:val="008A1128"/>
    <w:rsid w:val="008A1264"/>
    <w:rsid w:val="008A128F"/>
    <w:rsid w:val="008A2293"/>
    <w:rsid w:val="008A278E"/>
    <w:rsid w:val="008A2B6B"/>
    <w:rsid w:val="008A305D"/>
    <w:rsid w:val="008A3418"/>
    <w:rsid w:val="008A430F"/>
    <w:rsid w:val="008A46BB"/>
    <w:rsid w:val="008A46CD"/>
    <w:rsid w:val="008A4A69"/>
    <w:rsid w:val="008A4C07"/>
    <w:rsid w:val="008A5189"/>
    <w:rsid w:val="008A5558"/>
    <w:rsid w:val="008A67F8"/>
    <w:rsid w:val="008A730A"/>
    <w:rsid w:val="008A744D"/>
    <w:rsid w:val="008A7492"/>
    <w:rsid w:val="008A7883"/>
    <w:rsid w:val="008A7A98"/>
    <w:rsid w:val="008A7D53"/>
    <w:rsid w:val="008B0F1D"/>
    <w:rsid w:val="008B1051"/>
    <w:rsid w:val="008B1086"/>
    <w:rsid w:val="008B10C7"/>
    <w:rsid w:val="008B1F67"/>
    <w:rsid w:val="008B2018"/>
    <w:rsid w:val="008B2934"/>
    <w:rsid w:val="008B2DDA"/>
    <w:rsid w:val="008B3117"/>
    <w:rsid w:val="008B3921"/>
    <w:rsid w:val="008B3AEA"/>
    <w:rsid w:val="008B4702"/>
    <w:rsid w:val="008B49C5"/>
    <w:rsid w:val="008B4DE4"/>
    <w:rsid w:val="008B50DF"/>
    <w:rsid w:val="008B5318"/>
    <w:rsid w:val="008B5437"/>
    <w:rsid w:val="008B5562"/>
    <w:rsid w:val="008B59EA"/>
    <w:rsid w:val="008B6593"/>
    <w:rsid w:val="008B671A"/>
    <w:rsid w:val="008B67B4"/>
    <w:rsid w:val="008B6B22"/>
    <w:rsid w:val="008B788F"/>
    <w:rsid w:val="008B7F14"/>
    <w:rsid w:val="008C0136"/>
    <w:rsid w:val="008C01F3"/>
    <w:rsid w:val="008C0662"/>
    <w:rsid w:val="008C07A9"/>
    <w:rsid w:val="008C0BBD"/>
    <w:rsid w:val="008C0E7B"/>
    <w:rsid w:val="008C19E3"/>
    <w:rsid w:val="008C2010"/>
    <w:rsid w:val="008C277F"/>
    <w:rsid w:val="008C2B2C"/>
    <w:rsid w:val="008C2CBF"/>
    <w:rsid w:val="008C3279"/>
    <w:rsid w:val="008C3283"/>
    <w:rsid w:val="008C35A5"/>
    <w:rsid w:val="008C3795"/>
    <w:rsid w:val="008C3B9C"/>
    <w:rsid w:val="008C3E5A"/>
    <w:rsid w:val="008C3F87"/>
    <w:rsid w:val="008C422E"/>
    <w:rsid w:val="008C46F0"/>
    <w:rsid w:val="008C4C1B"/>
    <w:rsid w:val="008C5241"/>
    <w:rsid w:val="008C5961"/>
    <w:rsid w:val="008C5B89"/>
    <w:rsid w:val="008C6762"/>
    <w:rsid w:val="008C6854"/>
    <w:rsid w:val="008C6909"/>
    <w:rsid w:val="008C6F33"/>
    <w:rsid w:val="008C6F72"/>
    <w:rsid w:val="008C72C7"/>
    <w:rsid w:val="008C764C"/>
    <w:rsid w:val="008C7B34"/>
    <w:rsid w:val="008C7C23"/>
    <w:rsid w:val="008D01E0"/>
    <w:rsid w:val="008D0721"/>
    <w:rsid w:val="008D09C5"/>
    <w:rsid w:val="008D12C1"/>
    <w:rsid w:val="008D1C85"/>
    <w:rsid w:val="008D1D5F"/>
    <w:rsid w:val="008D1D8B"/>
    <w:rsid w:val="008D20A9"/>
    <w:rsid w:val="008D2637"/>
    <w:rsid w:val="008D26DA"/>
    <w:rsid w:val="008D31A3"/>
    <w:rsid w:val="008D3247"/>
    <w:rsid w:val="008D3294"/>
    <w:rsid w:val="008D3FFF"/>
    <w:rsid w:val="008D453D"/>
    <w:rsid w:val="008D478E"/>
    <w:rsid w:val="008D4AAD"/>
    <w:rsid w:val="008D59C4"/>
    <w:rsid w:val="008D5DA8"/>
    <w:rsid w:val="008D5EC9"/>
    <w:rsid w:val="008D65A7"/>
    <w:rsid w:val="008D68A9"/>
    <w:rsid w:val="008D69AB"/>
    <w:rsid w:val="008D7092"/>
    <w:rsid w:val="008D76F2"/>
    <w:rsid w:val="008D78BA"/>
    <w:rsid w:val="008D7910"/>
    <w:rsid w:val="008E008C"/>
    <w:rsid w:val="008E0168"/>
    <w:rsid w:val="008E0448"/>
    <w:rsid w:val="008E0DBD"/>
    <w:rsid w:val="008E0E22"/>
    <w:rsid w:val="008E16DC"/>
    <w:rsid w:val="008E1C61"/>
    <w:rsid w:val="008E2B5D"/>
    <w:rsid w:val="008E2E87"/>
    <w:rsid w:val="008E2F96"/>
    <w:rsid w:val="008E3052"/>
    <w:rsid w:val="008E3203"/>
    <w:rsid w:val="008E3504"/>
    <w:rsid w:val="008E3D5F"/>
    <w:rsid w:val="008E4087"/>
    <w:rsid w:val="008E4324"/>
    <w:rsid w:val="008E556F"/>
    <w:rsid w:val="008E674A"/>
    <w:rsid w:val="008E6B80"/>
    <w:rsid w:val="008F0092"/>
    <w:rsid w:val="008F03C8"/>
    <w:rsid w:val="008F0509"/>
    <w:rsid w:val="008F06E1"/>
    <w:rsid w:val="008F11EA"/>
    <w:rsid w:val="008F1BA5"/>
    <w:rsid w:val="008F258A"/>
    <w:rsid w:val="008F27E2"/>
    <w:rsid w:val="008F2918"/>
    <w:rsid w:val="008F29CD"/>
    <w:rsid w:val="008F2A77"/>
    <w:rsid w:val="008F2B85"/>
    <w:rsid w:val="008F2CDC"/>
    <w:rsid w:val="008F2E49"/>
    <w:rsid w:val="008F359D"/>
    <w:rsid w:val="008F42C9"/>
    <w:rsid w:val="008F433F"/>
    <w:rsid w:val="008F4909"/>
    <w:rsid w:val="008F5EC5"/>
    <w:rsid w:val="008F7903"/>
    <w:rsid w:val="008F7C1A"/>
    <w:rsid w:val="00900AF3"/>
    <w:rsid w:val="00900B69"/>
    <w:rsid w:val="00900E72"/>
    <w:rsid w:val="00901A07"/>
    <w:rsid w:val="009021F0"/>
    <w:rsid w:val="009025D5"/>
    <w:rsid w:val="009029EA"/>
    <w:rsid w:val="00902B12"/>
    <w:rsid w:val="00902B5C"/>
    <w:rsid w:val="00902CC0"/>
    <w:rsid w:val="00902DA0"/>
    <w:rsid w:val="009032CD"/>
    <w:rsid w:val="0090344A"/>
    <w:rsid w:val="0090363A"/>
    <w:rsid w:val="00904165"/>
    <w:rsid w:val="009045A0"/>
    <w:rsid w:val="00904A5C"/>
    <w:rsid w:val="00905121"/>
    <w:rsid w:val="00905A3E"/>
    <w:rsid w:val="00905BB4"/>
    <w:rsid w:val="00905C65"/>
    <w:rsid w:val="00905CA8"/>
    <w:rsid w:val="00905E0C"/>
    <w:rsid w:val="009061E8"/>
    <w:rsid w:val="00906401"/>
    <w:rsid w:val="00906E96"/>
    <w:rsid w:val="009076B7"/>
    <w:rsid w:val="0091018C"/>
    <w:rsid w:val="009107D9"/>
    <w:rsid w:val="00910F04"/>
    <w:rsid w:val="0091101A"/>
    <w:rsid w:val="0091130A"/>
    <w:rsid w:val="009113CD"/>
    <w:rsid w:val="00911600"/>
    <w:rsid w:val="00911662"/>
    <w:rsid w:val="0091196E"/>
    <w:rsid w:val="009125E6"/>
    <w:rsid w:val="00912C63"/>
    <w:rsid w:val="00913433"/>
    <w:rsid w:val="0091364D"/>
    <w:rsid w:val="009140E7"/>
    <w:rsid w:val="009148B6"/>
    <w:rsid w:val="009149D5"/>
    <w:rsid w:val="00914FBC"/>
    <w:rsid w:val="009150F1"/>
    <w:rsid w:val="00915419"/>
    <w:rsid w:val="009161CE"/>
    <w:rsid w:val="00916940"/>
    <w:rsid w:val="00917545"/>
    <w:rsid w:val="00917C7A"/>
    <w:rsid w:val="00917D66"/>
    <w:rsid w:val="009200A3"/>
    <w:rsid w:val="00920EFF"/>
    <w:rsid w:val="0092103B"/>
    <w:rsid w:val="009216C6"/>
    <w:rsid w:val="009225DB"/>
    <w:rsid w:val="0092261C"/>
    <w:rsid w:val="00922772"/>
    <w:rsid w:val="00922AF3"/>
    <w:rsid w:val="00922E7D"/>
    <w:rsid w:val="0092392D"/>
    <w:rsid w:val="0092398E"/>
    <w:rsid w:val="0092401E"/>
    <w:rsid w:val="009240C5"/>
    <w:rsid w:val="00924BA7"/>
    <w:rsid w:val="00925261"/>
    <w:rsid w:val="0092586B"/>
    <w:rsid w:val="00925A07"/>
    <w:rsid w:val="009262A2"/>
    <w:rsid w:val="00926749"/>
    <w:rsid w:val="0092681B"/>
    <w:rsid w:val="0092692C"/>
    <w:rsid w:val="0093065F"/>
    <w:rsid w:val="0093082B"/>
    <w:rsid w:val="009308C8"/>
    <w:rsid w:val="00930C41"/>
    <w:rsid w:val="0093112D"/>
    <w:rsid w:val="009312C3"/>
    <w:rsid w:val="009313C6"/>
    <w:rsid w:val="00931594"/>
    <w:rsid w:val="009317CB"/>
    <w:rsid w:val="00932311"/>
    <w:rsid w:val="00932593"/>
    <w:rsid w:val="0093296A"/>
    <w:rsid w:val="009329A1"/>
    <w:rsid w:val="009340F6"/>
    <w:rsid w:val="00934443"/>
    <w:rsid w:val="00934446"/>
    <w:rsid w:val="0093445B"/>
    <w:rsid w:val="009347F4"/>
    <w:rsid w:val="009355C9"/>
    <w:rsid w:val="00935948"/>
    <w:rsid w:val="00935EFA"/>
    <w:rsid w:val="00935FCF"/>
    <w:rsid w:val="00936C11"/>
    <w:rsid w:val="00936C9B"/>
    <w:rsid w:val="00936E15"/>
    <w:rsid w:val="00936F49"/>
    <w:rsid w:val="0093772B"/>
    <w:rsid w:val="009402B3"/>
    <w:rsid w:val="00940622"/>
    <w:rsid w:val="00940841"/>
    <w:rsid w:val="0094151F"/>
    <w:rsid w:val="00942307"/>
    <w:rsid w:val="0094257B"/>
    <w:rsid w:val="009425F4"/>
    <w:rsid w:val="0094265E"/>
    <w:rsid w:val="00942D7C"/>
    <w:rsid w:val="00943124"/>
    <w:rsid w:val="00943915"/>
    <w:rsid w:val="00943B1F"/>
    <w:rsid w:val="00944219"/>
    <w:rsid w:val="00944264"/>
    <w:rsid w:val="009447D4"/>
    <w:rsid w:val="00944848"/>
    <w:rsid w:val="00944997"/>
    <w:rsid w:val="009452A4"/>
    <w:rsid w:val="009456E9"/>
    <w:rsid w:val="00945984"/>
    <w:rsid w:val="00945E76"/>
    <w:rsid w:val="00945ECB"/>
    <w:rsid w:val="0094609E"/>
    <w:rsid w:val="009460EE"/>
    <w:rsid w:val="0094617A"/>
    <w:rsid w:val="00946CA4"/>
    <w:rsid w:val="00946DE4"/>
    <w:rsid w:val="0095084D"/>
    <w:rsid w:val="00950A18"/>
    <w:rsid w:val="009514BF"/>
    <w:rsid w:val="00954C6A"/>
    <w:rsid w:val="00954C89"/>
    <w:rsid w:val="00954E31"/>
    <w:rsid w:val="00954EED"/>
    <w:rsid w:val="00954EFD"/>
    <w:rsid w:val="00955220"/>
    <w:rsid w:val="00955A6F"/>
    <w:rsid w:val="00955E4A"/>
    <w:rsid w:val="00955F82"/>
    <w:rsid w:val="009565A4"/>
    <w:rsid w:val="009569C8"/>
    <w:rsid w:val="00956B82"/>
    <w:rsid w:val="00956E13"/>
    <w:rsid w:val="00956FD8"/>
    <w:rsid w:val="0095716A"/>
    <w:rsid w:val="00957306"/>
    <w:rsid w:val="00957C08"/>
    <w:rsid w:val="00960610"/>
    <w:rsid w:val="00960E0C"/>
    <w:rsid w:val="00962980"/>
    <w:rsid w:val="00962A03"/>
    <w:rsid w:val="00963165"/>
    <w:rsid w:val="009639F6"/>
    <w:rsid w:val="009641C6"/>
    <w:rsid w:val="00964877"/>
    <w:rsid w:val="00964E60"/>
    <w:rsid w:val="009657C0"/>
    <w:rsid w:val="00965E69"/>
    <w:rsid w:val="009660E5"/>
    <w:rsid w:val="009661E7"/>
    <w:rsid w:val="009662B8"/>
    <w:rsid w:val="0096690A"/>
    <w:rsid w:val="0096732F"/>
    <w:rsid w:val="009675DA"/>
    <w:rsid w:val="00967CD3"/>
    <w:rsid w:val="009700E4"/>
    <w:rsid w:val="009706D4"/>
    <w:rsid w:val="00970E2E"/>
    <w:rsid w:val="009715FA"/>
    <w:rsid w:val="009719C6"/>
    <w:rsid w:val="00971F0E"/>
    <w:rsid w:val="00971F2E"/>
    <w:rsid w:val="009732D4"/>
    <w:rsid w:val="00973861"/>
    <w:rsid w:val="00974037"/>
    <w:rsid w:val="00974B41"/>
    <w:rsid w:val="00974B95"/>
    <w:rsid w:val="00975590"/>
    <w:rsid w:val="00975C2B"/>
    <w:rsid w:val="00975E81"/>
    <w:rsid w:val="0097684C"/>
    <w:rsid w:val="00976B3F"/>
    <w:rsid w:val="00976EF6"/>
    <w:rsid w:val="0097759A"/>
    <w:rsid w:val="00977A0E"/>
    <w:rsid w:val="00981085"/>
    <w:rsid w:val="00981971"/>
    <w:rsid w:val="00981AD7"/>
    <w:rsid w:val="00981C6B"/>
    <w:rsid w:val="00982798"/>
    <w:rsid w:val="00983674"/>
    <w:rsid w:val="00983B7A"/>
    <w:rsid w:val="00983DC8"/>
    <w:rsid w:val="009841FA"/>
    <w:rsid w:val="009848D4"/>
    <w:rsid w:val="00984D13"/>
    <w:rsid w:val="00985384"/>
    <w:rsid w:val="009857B8"/>
    <w:rsid w:val="00985B92"/>
    <w:rsid w:val="00986750"/>
    <w:rsid w:val="0098678F"/>
    <w:rsid w:val="00986C75"/>
    <w:rsid w:val="00986FF9"/>
    <w:rsid w:val="009878DC"/>
    <w:rsid w:val="00987E25"/>
    <w:rsid w:val="00987E69"/>
    <w:rsid w:val="00990162"/>
    <w:rsid w:val="0099084A"/>
    <w:rsid w:val="009908A0"/>
    <w:rsid w:val="009916D8"/>
    <w:rsid w:val="00991A07"/>
    <w:rsid w:val="00991C26"/>
    <w:rsid w:val="009929CC"/>
    <w:rsid w:val="00992D2C"/>
    <w:rsid w:val="009931F9"/>
    <w:rsid w:val="009937CD"/>
    <w:rsid w:val="009939CE"/>
    <w:rsid w:val="00994126"/>
    <w:rsid w:val="0099487F"/>
    <w:rsid w:val="009953F6"/>
    <w:rsid w:val="009958CB"/>
    <w:rsid w:val="00996684"/>
    <w:rsid w:val="00997E51"/>
    <w:rsid w:val="009A0CCD"/>
    <w:rsid w:val="009A1606"/>
    <w:rsid w:val="009A19F0"/>
    <w:rsid w:val="009A2431"/>
    <w:rsid w:val="009A26A0"/>
    <w:rsid w:val="009A36E6"/>
    <w:rsid w:val="009A3A9E"/>
    <w:rsid w:val="009A466A"/>
    <w:rsid w:val="009A5419"/>
    <w:rsid w:val="009A6104"/>
    <w:rsid w:val="009A6999"/>
    <w:rsid w:val="009A6E9E"/>
    <w:rsid w:val="009A6FBA"/>
    <w:rsid w:val="009A72CF"/>
    <w:rsid w:val="009A79D7"/>
    <w:rsid w:val="009A7A57"/>
    <w:rsid w:val="009A7ABA"/>
    <w:rsid w:val="009B088B"/>
    <w:rsid w:val="009B0BBB"/>
    <w:rsid w:val="009B0BC7"/>
    <w:rsid w:val="009B0E6B"/>
    <w:rsid w:val="009B0FC1"/>
    <w:rsid w:val="009B1758"/>
    <w:rsid w:val="009B1C53"/>
    <w:rsid w:val="009B2101"/>
    <w:rsid w:val="009B2721"/>
    <w:rsid w:val="009B2B99"/>
    <w:rsid w:val="009B34F1"/>
    <w:rsid w:val="009B35BC"/>
    <w:rsid w:val="009B38BF"/>
    <w:rsid w:val="009B3A1E"/>
    <w:rsid w:val="009B3DFC"/>
    <w:rsid w:val="009B4713"/>
    <w:rsid w:val="009B4E67"/>
    <w:rsid w:val="009B51A0"/>
    <w:rsid w:val="009B52F9"/>
    <w:rsid w:val="009B53B3"/>
    <w:rsid w:val="009B53ED"/>
    <w:rsid w:val="009B55D4"/>
    <w:rsid w:val="009B56D5"/>
    <w:rsid w:val="009B5714"/>
    <w:rsid w:val="009B58B6"/>
    <w:rsid w:val="009B5E2D"/>
    <w:rsid w:val="009B6790"/>
    <w:rsid w:val="009B6C7C"/>
    <w:rsid w:val="009B79A5"/>
    <w:rsid w:val="009B7DA3"/>
    <w:rsid w:val="009C0992"/>
    <w:rsid w:val="009C0A9A"/>
    <w:rsid w:val="009C12A8"/>
    <w:rsid w:val="009C1700"/>
    <w:rsid w:val="009C1966"/>
    <w:rsid w:val="009C1DE3"/>
    <w:rsid w:val="009C2A66"/>
    <w:rsid w:val="009C33CA"/>
    <w:rsid w:val="009C3619"/>
    <w:rsid w:val="009C3C2E"/>
    <w:rsid w:val="009C3FF8"/>
    <w:rsid w:val="009C48C1"/>
    <w:rsid w:val="009C49AC"/>
    <w:rsid w:val="009C5B8B"/>
    <w:rsid w:val="009C5C95"/>
    <w:rsid w:val="009C6401"/>
    <w:rsid w:val="009C6471"/>
    <w:rsid w:val="009C719C"/>
    <w:rsid w:val="009C73DF"/>
    <w:rsid w:val="009C788A"/>
    <w:rsid w:val="009C7986"/>
    <w:rsid w:val="009C7EF2"/>
    <w:rsid w:val="009D0248"/>
    <w:rsid w:val="009D0B74"/>
    <w:rsid w:val="009D0F66"/>
    <w:rsid w:val="009D1360"/>
    <w:rsid w:val="009D183D"/>
    <w:rsid w:val="009D2700"/>
    <w:rsid w:val="009D311B"/>
    <w:rsid w:val="009D319E"/>
    <w:rsid w:val="009D3229"/>
    <w:rsid w:val="009D3256"/>
    <w:rsid w:val="009D38A4"/>
    <w:rsid w:val="009D3A02"/>
    <w:rsid w:val="009D431D"/>
    <w:rsid w:val="009D4B1E"/>
    <w:rsid w:val="009D4C32"/>
    <w:rsid w:val="009D4D5C"/>
    <w:rsid w:val="009D53A9"/>
    <w:rsid w:val="009D53C2"/>
    <w:rsid w:val="009D5B75"/>
    <w:rsid w:val="009D5D7D"/>
    <w:rsid w:val="009D6175"/>
    <w:rsid w:val="009D629C"/>
    <w:rsid w:val="009D6711"/>
    <w:rsid w:val="009D6A09"/>
    <w:rsid w:val="009D6E85"/>
    <w:rsid w:val="009D6FAB"/>
    <w:rsid w:val="009D6FDB"/>
    <w:rsid w:val="009D71E1"/>
    <w:rsid w:val="009D72C7"/>
    <w:rsid w:val="009D7544"/>
    <w:rsid w:val="009D75EC"/>
    <w:rsid w:val="009D78F1"/>
    <w:rsid w:val="009E029B"/>
    <w:rsid w:val="009E067A"/>
    <w:rsid w:val="009E1CA0"/>
    <w:rsid w:val="009E2287"/>
    <w:rsid w:val="009E2297"/>
    <w:rsid w:val="009E32AF"/>
    <w:rsid w:val="009E3619"/>
    <w:rsid w:val="009E36AF"/>
    <w:rsid w:val="009E3A6F"/>
    <w:rsid w:val="009E3B2E"/>
    <w:rsid w:val="009E3CB9"/>
    <w:rsid w:val="009E4B2A"/>
    <w:rsid w:val="009E4CCC"/>
    <w:rsid w:val="009E5009"/>
    <w:rsid w:val="009E5669"/>
    <w:rsid w:val="009E59E5"/>
    <w:rsid w:val="009E644D"/>
    <w:rsid w:val="009E6570"/>
    <w:rsid w:val="009E6D32"/>
    <w:rsid w:val="009E6F45"/>
    <w:rsid w:val="009E6FB4"/>
    <w:rsid w:val="009E7440"/>
    <w:rsid w:val="009E756B"/>
    <w:rsid w:val="009E7F86"/>
    <w:rsid w:val="009F1A74"/>
    <w:rsid w:val="009F1B39"/>
    <w:rsid w:val="009F29C7"/>
    <w:rsid w:val="009F31E7"/>
    <w:rsid w:val="009F35E9"/>
    <w:rsid w:val="009F376A"/>
    <w:rsid w:val="009F3D12"/>
    <w:rsid w:val="009F3FD2"/>
    <w:rsid w:val="009F5015"/>
    <w:rsid w:val="009F50EC"/>
    <w:rsid w:val="009F517F"/>
    <w:rsid w:val="009F55CA"/>
    <w:rsid w:val="009F5916"/>
    <w:rsid w:val="009F5E3D"/>
    <w:rsid w:val="009F5ECD"/>
    <w:rsid w:val="009F67B5"/>
    <w:rsid w:val="009F74B3"/>
    <w:rsid w:val="009F74EB"/>
    <w:rsid w:val="009F756E"/>
    <w:rsid w:val="009F7759"/>
    <w:rsid w:val="009F7A40"/>
    <w:rsid w:val="00A00E29"/>
    <w:rsid w:val="00A01157"/>
    <w:rsid w:val="00A01531"/>
    <w:rsid w:val="00A01B03"/>
    <w:rsid w:val="00A028A2"/>
    <w:rsid w:val="00A02C92"/>
    <w:rsid w:val="00A02CF6"/>
    <w:rsid w:val="00A02DC6"/>
    <w:rsid w:val="00A0463D"/>
    <w:rsid w:val="00A04948"/>
    <w:rsid w:val="00A05A02"/>
    <w:rsid w:val="00A06554"/>
    <w:rsid w:val="00A06BBC"/>
    <w:rsid w:val="00A073B5"/>
    <w:rsid w:val="00A074FC"/>
    <w:rsid w:val="00A07BD9"/>
    <w:rsid w:val="00A10066"/>
    <w:rsid w:val="00A10DFE"/>
    <w:rsid w:val="00A11556"/>
    <w:rsid w:val="00A1188B"/>
    <w:rsid w:val="00A118DE"/>
    <w:rsid w:val="00A119CA"/>
    <w:rsid w:val="00A11A2B"/>
    <w:rsid w:val="00A12012"/>
    <w:rsid w:val="00A12628"/>
    <w:rsid w:val="00A1262D"/>
    <w:rsid w:val="00A12A89"/>
    <w:rsid w:val="00A12C53"/>
    <w:rsid w:val="00A12DE5"/>
    <w:rsid w:val="00A1324B"/>
    <w:rsid w:val="00A135A5"/>
    <w:rsid w:val="00A14106"/>
    <w:rsid w:val="00A145C7"/>
    <w:rsid w:val="00A14602"/>
    <w:rsid w:val="00A14AC4"/>
    <w:rsid w:val="00A14BF1"/>
    <w:rsid w:val="00A14D20"/>
    <w:rsid w:val="00A14EB7"/>
    <w:rsid w:val="00A15441"/>
    <w:rsid w:val="00A15BA8"/>
    <w:rsid w:val="00A16616"/>
    <w:rsid w:val="00A169B0"/>
    <w:rsid w:val="00A16B93"/>
    <w:rsid w:val="00A1720A"/>
    <w:rsid w:val="00A1780C"/>
    <w:rsid w:val="00A17F2B"/>
    <w:rsid w:val="00A204E8"/>
    <w:rsid w:val="00A205DF"/>
    <w:rsid w:val="00A20AA7"/>
    <w:rsid w:val="00A20CC2"/>
    <w:rsid w:val="00A20E9F"/>
    <w:rsid w:val="00A20F7B"/>
    <w:rsid w:val="00A2114A"/>
    <w:rsid w:val="00A215D1"/>
    <w:rsid w:val="00A217C1"/>
    <w:rsid w:val="00A21D0B"/>
    <w:rsid w:val="00A22A30"/>
    <w:rsid w:val="00A22E12"/>
    <w:rsid w:val="00A23367"/>
    <w:rsid w:val="00A2488B"/>
    <w:rsid w:val="00A24C5F"/>
    <w:rsid w:val="00A25156"/>
    <w:rsid w:val="00A251EA"/>
    <w:rsid w:val="00A25628"/>
    <w:rsid w:val="00A26104"/>
    <w:rsid w:val="00A2695D"/>
    <w:rsid w:val="00A26D3A"/>
    <w:rsid w:val="00A27294"/>
    <w:rsid w:val="00A276FA"/>
    <w:rsid w:val="00A3023C"/>
    <w:rsid w:val="00A30532"/>
    <w:rsid w:val="00A30E9B"/>
    <w:rsid w:val="00A31AAB"/>
    <w:rsid w:val="00A31C9E"/>
    <w:rsid w:val="00A31FF2"/>
    <w:rsid w:val="00A32084"/>
    <w:rsid w:val="00A32107"/>
    <w:rsid w:val="00A3210D"/>
    <w:rsid w:val="00A3233D"/>
    <w:rsid w:val="00A32C15"/>
    <w:rsid w:val="00A32DB5"/>
    <w:rsid w:val="00A33729"/>
    <w:rsid w:val="00A337FE"/>
    <w:rsid w:val="00A339BD"/>
    <w:rsid w:val="00A3427F"/>
    <w:rsid w:val="00A348E4"/>
    <w:rsid w:val="00A3547F"/>
    <w:rsid w:val="00A356DA"/>
    <w:rsid w:val="00A35BA9"/>
    <w:rsid w:val="00A35F9D"/>
    <w:rsid w:val="00A360DB"/>
    <w:rsid w:val="00A371B0"/>
    <w:rsid w:val="00A37AC2"/>
    <w:rsid w:val="00A40198"/>
    <w:rsid w:val="00A40566"/>
    <w:rsid w:val="00A40C0C"/>
    <w:rsid w:val="00A41689"/>
    <w:rsid w:val="00A4196F"/>
    <w:rsid w:val="00A41BE6"/>
    <w:rsid w:val="00A4238F"/>
    <w:rsid w:val="00A42682"/>
    <w:rsid w:val="00A426DF"/>
    <w:rsid w:val="00A42973"/>
    <w:rsid w:val="00A42C40"/>
    <w:rsid w:val="00A4313A"/>
    <w:rsid w:val="00A4321B"/>
    <w:rsid w:val="00A436A3"/>
    <w:rsid w:val="00A4381D"/>
    <w:rsid w:val="00A43DB3"/>
    <w:rsid w:val="00A43DF9"/>
    <w:rsid w:val="00A43E7E"/>
    <w:rsid w:val="00A44935"/>
    <w:rsid w:val="00A449E0"/>
    <w:rsid w:val="00A45709"/>
    <w:rsid w:val="00A45D4E"/>
    <w:rsid w:val="00A461FA"/>
    <w:rsid w:val="00A46532"/>
    <w:rsid w:val="00A465C5"/>
    <w:rsid w:val="00A467CC"/>
    <w:rsid w:val="00A46D92"/>
    <w:rsid w:val="00A47687"/>
    <w:rsid w:val="00A478FE"/>
    <w:rsid w:val="00A47986"/>
    <w:rsid w:val="00A5038F"/>
    <w:rsid w:val="00A5081F"/>
    <w:rsid w:val="00A50CA0"/>
    <w:rsid w:val="00A50EF3"/>
    <w:rsid w:val="00A51269"/>
    <w:rsid w:val="00A51610"/>
    <w:rsid w:val="00A52089"/>
    <w:rsid w:val="00A52602"/>
    <w:rsid w:val="00A5287F"/>
    <w:rsid w:val="00A52EA1"/>
    <w:rsid w:val="00A54664"/>
    <w:rsid w:val="00A54874"/>
    <w:rsid w:val="00A555E9"/>
    <w:rsid w:val="00A558B7"/>
    <w:rsid w:val="00A55CC4"/>
    <w:rsid w:val="00A56AD1"/>
    <w:rsid w:val="00A60E52"/>
    <w:rsid w:val="00A61C00"/>
    <w:rsid w:val="00A62EB9"/>
    <w:rsid w:val="00A63007"/>
    <w:rsid w:val="00A6355A"/>
    <w:rsid w:val="00A6498A"/>
    <w:rsid w:val="00A64B81"/>
    <w:rsid w:val="00A64E97"/>
    <w:rsid w:val="00A6538D"/>
    <w:rsid w:val="00A65865"/>
    <w:rsid w:val="00A65AD8"/>
    <w:rsid w:val="00A65B42"/>
    <w:rsid w:val="00A65EC5"/>
    <w:rsid w:val="00A66459"/>
    <w:rsid w:val="00A6659D"/>
    <w:rsid w:val="00A66C7E"/>
    <w:rsid w:val="00A6792D"/>
    <w:rsid w:val="00A67BF9"/>
    <w:rsid w:val="00A67BFE"/>
    <w:rsid w:val="00A67DCA"/>
    <w:rsid w:val="00A703C3"/>
    <w:rsid w:val="00A70781"/>
    <w:rsid w:val="00A708BC"/>
    <w:rsid w:val="00A70D70"/>
    <w:rsid w:val="00A710C5"/>
    <w:rsid w:val="00A710D3"/>
    <w:rsid w:val="00A712E8"/>
    <w:rsid w:val="00A71AFB"/>
    <w:rsid w:val="00A72312"/>
    <w:rsid w:val="00A723BD"/>
    <w:rsid w:val="00A72711"/>
    <w:rsid w:val="00A7321B"/>
    <w:rsid w:val="00A733F8"/>
    <w:rsid w:val="00A73F22"/>
    <w:rsid w:val="00A74278"/>
    <w:rsid w:val="00A7480F"/>
    <w:rsid w:val="00A74B1C"/>
    <w:rsid w:val="00A75D77"/>
    <w:rsid w:val="00A76E12"/>
    <w:rsid w:val="00A76E1F"/>
    <w:rsid w:val="00A76F3F"/>
    <w:rsid w:val="00A76F8A"/>
    <w:rsid w:val="00A773DE"/>
    <w:rsid w:val="00A77559"/>
    <w:rsid w:val="00A77671"/>
    <w:rsid w:val="00A77748"/>
    <w:rsid w:val="00A77A1E"/>
    <w:rsid w:val="00A77A9D"/>
    <w:rsid w:val="00A77E58"/>
    <w:rsid w:val="00A77F12"/>
    <w:rsid w:val="00A80374"/>
    <w:rsid w:val="00A806CE"/>
    <w:rsid w:val="00A80A5C"/>
    <w:rsid w:val="00A80AE5"/>
    <w:rsid w:val="00A80DBA"/>
    <w:rsid w:val="00A81527"/>
    <w:rsid w:val="00A815A2"/>
    <w:rsid w:val="00A8192F"/>
    <w:rsid w:val="00A81EC6"/>
    <w:rsid w:val="00A82028"/>
    <w:rsid w:val="00A82A62"/>
    <w:rsid w:val="00A83115"/>
    <w:rsid w:val="00A832C4"/>
    <w:rsid w:val="00A8351B"/>
    <w:rsid w:val="00A841AA"/>
    <w:rsid w:val="00A8449C"/>
    <w:rsid w:val="00A84CC4"/>
    <w:rsid w:val="00A8545C"/>
    <w:rsid w:val="00A85A5A"/>
    <w:rsid w:val="00A861BA"/>
    <w:rsid w:val="00A86C88"/>
    <w:rsid w:val="00A87487"/>
    <w:rsid w:val="00A87500"/>
    <w:rsid w:val="00A8771E"/>
    <w:rsid w:val="00A878AE"/>
    <w:rsid w:val="00A87F33"/>
    <w:rsid w:val="00A9025A"/>
    <w:rsid w:val="00A904C1"/>
    <w:rsid w:val="00A905F4"/>
    <w:rsid w:val="00A907BD"/>
    <w:rsid w:val="00A912E4"/>
    <w:rsid w:val="00A91B15"/>
    <w:rsid w:val="00A91D81"/>
    <w:rsid w:val="00A93994"/>
    <w:rsid w:val="00A93AFF"/>
    <w:rsid w:val="00A93E04"/>
    <w:rsid w:val="00A93F36"/>
    <w:rsid w:val="00A94170"/>
    <w:rsid w:val="00A944F8"/>
    <w:rsid w:val="00A946C5"/>
    <w:rsid w:val="00A94A39"/>
    <w:rsid w:val="00A95172"/>
    <w:rsid w:val="00A953B2"/>
    <w:rsid w:val="00A953FE"/>
    <w:rsid w:val="00A96789"/>
    <w:rsid w:val="00A97102"/>
    <w:rsid w:val="00A97270"/>
    <w:rsid w:val="00AA0967"/>
    <w:rsid w:val="00AA123F"/>
    <w:rsid w:val="00AA171C"/>
    <w:rsid w:val="00AA193D"/>
    <w:rsid w:val="00AA1E27"/>
    <w:rsid w:val="00AA229F"/>
    <w:rsid w:val="00AA2831"/>
    <w:rsid w:val="00AA2974"/>
    <w:rsid w:val="00AA3887"/>
    <w:rsid w:val="00AA39B6"/>
    <w:rsid w:val="00AA3CB8"/>
    <w:rsid w:val="00AA3FE5"/>
    <w:rsid w:val="00AA4331"/>
    <w:rsid w:val="00AA4535"/>
    <w:rsid w:val="00AA47DD"/>
    <w:rsid w:val="00AA4D43"/>
    <w:rsid w:val="00AA4F71"/>
    <w:rsid w:val="00AA5A2C"/>
    <w:rsid w:val="00AA5FBB"/>
    <w:rsid w:val="00AA6053"/>
    <w:rsid w:val="00AA62D3"/>
    <w:rsid w:val="00AA64D4"/>
    <w:rsid w:val="00AA68AD"/>
    <w:rsid w:val="00AA710F"/>
    <w:rsid w:val="00AA7123"/>
    <w:rsid w:val="00AA75F2"/>
    <w:rsid w:val="00AA7AE0"/>
    <w:rsid w:val="00AB0C7C"/>
    <w:rsid w:val="00AB11EC"/>
    <w:rsid w:val="00AB2336"/>
    <w:rsid w:val="00AB26B3"/>
    <w:rsid w:val="00AB3D0C"/>
    <w:rsid w:val="00AB3E42"/>
    <w:rsid w:val="00AB47BD"/>
    <w:rsid w:val="00AB47C9"/>
    <w:rsid w:val="00AB484E"/>
    <w:rsid w:val="00AB5070"/>
    <w:rsid w:val="00AB53E5"/>
    <w:rsid w:val="00AB5BC9"/>
    <w:rsid w:val="00AB5C33"/>
    <w:rsid w:val="00AB5CA1"/>
    <w:rsid w:val="00AB5D4B"/>
    <w:rsid w:val="00AB6106"/>
    <w:rsid w:val="00AB6392"/>
    <w:rsid w:val="00AB71BE"/>
    <w:rsid w:val="00AB73A1"/>
    <w:rsid w:val="00AB7C1E"/>
    <w:rsid w:val="00AB7FAB"/>
    <w:rsid w:val="00AC0737"/>
    <w:rsid w:val="00AC0BB5"/>
    <w:rsid w:val="00AC0C0E"/>
    <w:rsid w:val="00AC0ED7"/>
    <w:rsid w:val="00AC0FBB"/>
    <w:rsid w:val="00AC1312"/>
    <w:rsid w:val="00AC14A7"/>
    <w:rsid w:val="00AC2097"/>
    <w:rsid w:val="00AC22BE"/>
    <w:rsid w:val="00AC26A9"/>
    <w:rsid w:val="00AC2A51"/>
    <w:rsid w:val="00AC3186"/>
    <w:rsid w:val="00AC36AC"/>
    <w:rsid w:val="00AC3B3D"/>
    <w:rsid w:val="00AC3DF4"/>
    <w:rsid w:val="00AC426A"/>
    <w:rsid w:val="00AC4572"/>
    <w:rsid w:val="00AC4EA8"/>
    <w:rsid w:val="00AC547D"/>
    <w:rsid w:val="00AC5922"/>
    <w:rsid w:val="00AC5E01"/>
    <w:rsid w:val="00AC62E0"/>
    <w:rsid w:val="00AC636D"/>
    <w:rsid w:val="00AC6643"/>
    <w:rsid w:val="00AC6A09"/>
    <w:rsid w:val="00AC71DE"/>
    <w:rsid w:val="00AC726C"/>
    <w:rsid w:val="00AC79F2"/>
    <w:rsid w:val="00AC7F7C"/>
    <w:rsid w:val="00AD0348"/>
    <w:rsid w:val="00AD0937"/>
    <w:rsid w:val="00AD0B9A"/>
    <w:rsid w:val="00AD0BC3"/>
    <w:rsid w:val="00AD207C"/>
    <w:rsid w:val="00AD2EE9"/>
    <w:rsid w:val="00AD31C4"/>
    <w:rsid w:val="00AD3413"/>
    <w:rsid w:val="00AD391D"/>
    <w:rsid w:val="00AD4692"/>
    <w:rsid w:val="00AD4718"/>
    <w:rsid w:val="00AD4E63"/>
    <w:rsid w:val="00AD5373"/>
    <w:rsid w:val="00AD568A"/>
    <w:rsid w:val="00AD578E"/>
    <w:rsid w:val="00AD5C26"/>
    <w:rsid w:val="00AD5D97"/>
    <w:rsid w:val="00AD5DD4"/>
    <w:rsid w:val="00AD6407"/>
    <w:rsid w:val="00AD683D"/>
    <w:rsid w:val="00AD71B9"/>
    <w:rsid w:val="00AD720E"/>
    <w:rsid w:val="00AD79A1"/>
    <w:rsid w:val="00AD7E42"/>
    <w:rsid w:val="00AD7FAA"/>
    <w:rsid w:val="00AD7FE0"/>
    <w:rsid w:val="00AE02A9"/>
    <w:rsid w:val="00AE0335"/>
    <w:rsid w:val="00AE085C"/>
    <w:rsid w:val="00AE0FB5"/>
    <w:rsid w:val="00AE1127"/>
    <w:rsid w:val="00AE12CC"/>
    <w:rsid w:val="00AE199B"/>
    <w:rsid w:val="00AE1C85"/>
    <w:rsid w:val="00AE227D"/>
    <w:rsid w:val="00AE3C43"/>
    <w:rsid w:val="00AE47F3"/>
    <w:rsid w:val="00AE6520"/>
    <w:rsid w:val="00AE6682"/>
    <w:rsid w:val="00AE6E80"/>
    <w:rsid w:val="00AE733A"/>
    <w:rsid w:val="00AE7391"/>
    <w:rsid w:val="00AF015B"/>
    <w:rsid w:val="00AF0362"/>
    <w:rsid w:val="00AF0538"/>
    <w:rsid w:val="00AF0726"/>
    <w:rsid w:val="00AF0DEA"/>
    <w:rsid w:val="00AF0E1F"/>
    <w:rsid w:val="00AF188B"/>
    <w:rsid w:val="00AF2351"/>
    <w:rsid w:val="00AF259E"/>
    <w:rsid w:val="00AF2674"/>
    <w:rsid w:val="00AF2A4A"/>
    <w:rsid w:val="00AF36DE"/>
    <w:rsid w:val="00AF38CE"/>
    <w:rsid w:val="00AF3E66"/>
    <w:rsid w:val="00AF3F5F"/>
    <w:rsid w:val="00AF4020"/>
    <w:rsid w:val="00AF422A"/>
    <w:rsid w:val="00AF422D"/>
    <w:rsid w:val="00AF4832"/>
    <w:rsid w:val="00AF49BD"/>
    <w:rsid w:val="00AF58F5"/>
    <w:rsid w:val="00AF591B"/>
    <w:rsid w:val="00AF5E29"/>
    <w:rsid w:val="00AF7295"/>
    <w:rsid w:val="00AF7AFC"/>
    <w:rsid w:val="00AF7BDF"/>
    <w:rsid w:val="00B00730"/>
    <w:rsid w:val="00B0084C"/>
    <w:rsid w:val="00B00A0B"/>
    <w:rsid w:val="00B00A3F"/>
    <w:rsid w:val="00B00BB5"/>
    <w:rsid w:val="00B01389"/>
    <w:rsid w:val="00B018FD"/>
    <w:rsid w:val="00B02B57"/>
    <w:rsid w:val="00B0324B"/>
    <w:rsid w:val="00B03358"/>
    <w:rsid w:val="00B0403E"/>
    <w:rsid w:val="00B04149"/>
    <w:rsid w:val="00B0469A"/>
    <w:rsid w:val="00B04742"/>
    <w:rsid w:val="00B048B5"/>
    <w:rsid w:val="00B05172"/>
    <w:rsid w:val="00B05CA8"/>
    <w:rsid w:val="00B05D88"/>
    <w:rsid w:val="00B05FC0"/>
    <w:rsid w:val="00B0602A"/>
    <w:rsid w:val="00B06101"/>
    <w:rsid w:val="00B07106"/>
    <w:rsid w:val="00B07143"/>
    <w:rsid w:val="00B07838"/>
    <w:rsid w:val="00B0798C"/>
    <w:rsid w:val="00B104CD"/>
    <w:rsid w:val="00B10532"/>
    <w:rsid w:val="00B108F8"/>
    <w:rsid w:val="00B10974"/>
    <w:rsid w:val="00B11661"/>
    <w:rsid w:val="00B11AE4"/>
    <w:rsid w:val="00B1206B"/>
    <w:rsid w:val="00B12EBF"/>
    <w:rsid w:val="00B12F48"/>
    <w:rsid w:val="00B137A0"/>
    <w:rsid w:val="00B13A7B"/>
    <w:rsid w:val="00B1461C"/>
    <w:rsid w:val="00B14D5A"/>
    <w:rsid w:val="00B14F25"/>
    <w:rsid w:val="00B15418"/>
    <w:rsid w:val="00B15CEB"/>
    <w:rsid w:val="00B15E6E"/>
    <w:rsid w:val="00B15FF3"/>
    <w:rsid w:val="00B16C36"/>
    <w:rsid w:val="00B17492"/>
    <w:rsid w:val="00B174B2"/>
    <w:rsid w:val="00B17626"/>
    <w:rsid w:val="00B20721"/>
    <w:rsid w:val="00B21235"/>
    <w:rsid w:val="00B21806"/>
    <w:rsid w:val="00B219ED"/>
    <w:rsid w:val="00B21D10"/>
    <w:rsid w:val="00B2206E"/>
    <w:rsid w:val="00B225F0"/>
    <w:rsid w:val="00B2336D"/>
    <w:rsid w:val="00B2356F"/>
    <w:rsid w:val="00B2391E"/>
    <w:rsid w:val="00B24010"/>
    <w:rsid w:val="00B242FF"/>
    <w:rsid w:val="00B24379"/>
    <w:rsid w:val="00B2485B"/>
    <w:rsid w:val="00B248D9"/>
    <w:rsid w:val="00B2499C"/>
    <w:rsid w:val="00B24E0C"/>
    <w:rsid w:val="00B24E6E"/>
    <w:rsid w:val="00B25207"/>
    <w:rsid w:val="00B253B0"/>
    <w:rsid w:val="00B253E0"/>
    <w:rsid w:val="00B25418"/>
    <w:rsid w:val="00B25512"/>
    <w:rsid w:val="00B2580F"/>
    <w:rsid w:val="00B26157"/>
    <w:rsid w:val="00B268C4"/>
    <w:rsid w:val="00B26E56"/>
    <w:rsid w:val="00B27069"/>
    <w:rsid w:val="00B274D2"/>
    <w:rsid w:val="00B2787E"/>
    <w:rsid w:val="00B27C84"/>
    <w:rsid w:val="00B3005A"/>
    <w:rsid w:val="00B302A8"/>
    <w:rsid w:val="00B305B4"/>
    <w:rsid w:val="00B305D1"/>
    <w:rsid w:val="00B30B49"/>
    <w:rsid w:val="00B3115D"/>
    <w:rsid w:val="00B31235"/>
    <w:rsid w:val="00B314AC"/>
    <w:rsid w:val="00B326B4"/>
    <w:rsid w:val="00B326CC"/>
    <w:rsid w:val="00B32913"/>
    <w:rsid w:val="00B338B6"/>
    <w:rsid w:val="00B33E52"/>
    <w:rsid w:val="00B34420"/>
    <w:rsid w:val="00B344BD"/>
    <w:rsid w:val="00B34786"/>
    <w:rsid w:val="00B350AC"/>
    <w:rsid w:val="00B352BA"/>
    <w:rsid w:val="00B35557"/>
    <w:rsid w:val="00B35942"/>
    <w:rsid w:val="00B35BE2"/>
    <w:rsid w:val="00B35FAC"/>
    <w:rsid w:val="00B36098"/>
    <w:rsid w:val="00B36596"/>
    <w:rsid w:val="00B365C0"/>
    <w:rsid w:val="00B36F25"/>
    <w:rsid w:val="00B37351"/>
    <w:rsid w:val="00B37FAA"/>
    <w:rsid w:val="00B40C3E"/>
    <w:rsid w:val="00B412D4"/>
    <w:rsid w:val="00B41433"/>
    <w:rsid w:val="00B41DA5"/>
    <w:rsid w:val="00B42970"/>
    <w:rsid w:val="00B432E1"/>
    <w:rsid w:val="00B43471"/>
    <w:rsid w:val="00B43B10"/>
    <w:rsid w:val="00B43F79"/>
    <w:rsid w:val="00B444F7"/>
    <w:rsid w:val="00B4471F"/>
    <w:rsid w:val="00B44CF5"/>
    <w:rsid w:val="00B453B2"/>
    <w:rsid w:val="00B454A1"/>
    <w:rsid w:val="00B45869"/>
    <w:rsid w:val="00B45BE1"/>
    <w:rsid w:val="00B45D0E"/>
    <w:rsid w:val="00B46BDD"/>
    <w:rsid w:val="00B46C6D"/>
    <w:rsid w:val="00B46EB4"/>
    <w:rsid w:val="00B4755C"/>
    <w:rsid w:val="00B512C5"/>
    <w:rsid w:val="00B52854"/>
    <w:rsid w:val="00B5317D"/>
    <w:rsid w:val="00B53195"/>
    <w:rsid w:val="00B53252"/>
    <w:rsid w:val="00B5334D"/>
    <w:rsid w:val="00B53AF4"/>
    <w:rsid w:val="00B541A4"/>
    <w:rsid w:val="00B54500"/>
    <w:rsid w:val="00B5450A"/>
    <w:rsid w:val="00B555CA"/>
    <w:rsid w:val="00B5575A"/>
    <w:rsid w:val="00B55E31"/>
    <w:rsid w:val="00B56513"/>
    <w:rsid w:val="00B56A2C"/>
    <w:rsid w:val="00B570CD"/>
    <w:rsid w:val="00B571D6"/>
    <w:rsid w:val="00B572CC"/>
    <w:rsid w:val="00B57841"/>
    <w:rsid w:val="00B579E5"/>
    <w:rsid w:val="00B57BA8"/>
    <w:rsid w:val="00B57C21"/>
    <w:rsid w:val="00B57C62"/>
    <w:rsid w:val="00B6001A"/>
    <w:rsid w:val="00B61A43"/>
    <w:rsid w:val="00B62394"/>
    <w:rsid w:val="00B62485"/>
    <w:rsid w:val="00B624EE"/>
    <w:rsid w:val="00B6278A"/>
    <w:rsid w:val="00B63F60"/>
    <w:rsid w:val="00B643BA"/>
    <w:rsid w:val="00B6539A"/>
    <w:rsid w:val="00B65B6B"/>
    <w:rsid w:val="00B65BE0"/>
    <w:rsid w:val="00B665D5"/>
    <w:rsid w:val="00B674D7"/>
    <w:rsid w:val="00B676CF"/>
    <w:rsid w:val="00B70067"/>
    <w:rsid w:val="00B7079E"/>
    <w:rsid w:val="00B7103E"/>
    <w:rsid w:val="00B732EC"/>
    <w:rsid w:val="00B73397"/>
    <w:rsid w:val="00B74603"/>
    <w:rsid w:val="00B746CD"/>
    <w:rsid w:val="00B74CA2"/>
    <w:rsid w:val="00B750BB"/>
    <w:rsid w:val="00B75B18"/>
    <w:rsid w:val="00B75F6D"/>
    <w:rsid w:val="00B76009"/>
    <w:rsid w:val="00B76AC9"/>
    <w:rsid w:val="00B76BE0"/>
    <w:rsid w:val="00B76CE4"/>
    <w:rsid w:val="00B77870"/>
    <w:rsid w:val="00B77EC4"/>
    <w:rsid w:val="00B8018C"/>
    <w:rsid w:val="00B80674"/>
    <w:rsid w:val="00B80A80"/>
    <w:rsid w:val="00B81418"/>
    <w:rsid w:val="00B8177A"/>
    <w:rsid w:val="00B82BE0"/>
    <w:rsid w:val="00B83003"/>
    <w:rsid w:val="00B83013"/>
    <w:rsid w:val="00B8305F"/>
    <w:rsid w:val="00B843F0"/>
    <w:rsid w:val="00B848A2"/>
    <w:rsid w:val="00B84E36"/>
    <w:rsid w:val="00B84FB4"/>
    <w:rsid w:val="00B851A4"/>
    <w:rsid w:val="00B85BE1"/>
    <w:rsid w:val="00B86077"/>
    <w:rsid w:val="00B8644C"/>
    <w:rsid w:val="00B865ED"/>
    <w:rsid w:val="00B869D7"/>
    <w:rsid w:val="00B87384"/>
    <w:rsid w:val="00B87CAE"/>
    <w:rsid w:val="00B87FAF"/>
    <w:rsid w:val="00B901AC"/>
    <w:rsid w:val="00B90768"/>
    <w:rsid w:val="00B90B1D"/>
    <w:rsid w:val="00B90BC6"/>
    <w:rsid w:val="00B90FCA"/>
    <w:rsid w:val="00B9108A"/>
    <w:rsid w:val="00B91232"/>
    <w:rsid w:val="00B92355"/>
    <w:rsid w:val="00B92394"/>
    <w:rsid w:val="00B929F3"/>
    <w:rsid w:val="00B93075"/>
    <w:rsid w:val="00B93268"/>
    <w:rsid w:val="00B93535"/>
    <w:rsid w:val="00B93614"/>
    <w:rsid w:val="00B938F4"/>
    <w:rsid w:val="00B93F8E"/>
    <w:rsid w:val="00B9537F"/>
    <w:rsid w:val="00B95929"/>
    <w:rsid w:val="00B9601C"/>
    <w:rsid w:val="00B9660A"/>
    <w:rsid w:val="00B96C53"/>
    <w:rsid w:val="00B9704D"/>
    <w:rsid w:val="00B972F8"/>
    <w:rsid w:val="00B97573"/>
    <w:rsid w:val="00B97E66"/>
    <w:rsid w:val="00BA0D6C"/>
    <w:rsid w:val="00BA0E5A"/>
    <w:rsid w:val="00BA1486"/>
    <w:rsid w:val="00BA18A8"/>
    <w:rsid w:val="00BA21FC"/>
    <w:rsid w:val="00BA2AE3"/>
    <w:rsid w:val="00BA359A"/>
    <w:rsid w:val="00BA39A3"/>
    <w:rsid w:val="00BA40D1"/>
    <w:rsid w:val="00BA4B56"/>
    <w:rsid w:val="00BA51CC"/>
    <w:rsid w:val="00BA5539"/>
    <w:rsid w:val="00BA55A5"/>
    <w:rsid w:val="00BA5862"/>
    <w:rsid w:val="00BA591D"/>
    <w:rsid w:val="00BA592C"/>
    <w:rsid w:val="00BA5BE2"/>
    <w:rsid w:val="00BA5CA5"/>
    <w:rsid w:val="00BA6844"/>
    <w:rsid w:val="00BA6865"/>
    <w:rsid w:val="00BB1772"/>
    <w:rsid w:val="00BB18E8"/>
    <w:rsid w:val="00BB1ADB"/>
    <w:rsid w:val="00BB1CAA"/>
    <w:rsid w:val="00BB225C"/>
    <w:rsid w:val="00BB2669"/>
    <w:rsid w:val="00BB27B6"/>
    <w:rsid w:val="00BB2E90"/>
    <w:rsid w:val="00BB2EE8"/>
    <w:rsid w:val="00BB3929"/>
    <w:rsid w:val="00BB3CC1"/>
    <w:rsid w:val="00BB42ED"/>
    <w:rsid w:val="00BB462C"/>
    <w:rsid w:val="00BB462E"/>
    <w:rsid w:val="00BB50FB"/>
    <w:rsid w:val="00BB5162"/>
    <w:rsid w:val="00BB51B8"/>
    <w:rsid w:val="00BB5262"/>
    <w:rsid w:val="00BB5A97"/>
    <w:rsid w:val="00BB5E46"/>
    <w:rsid w:val="00BB5F92"/>
    <w:rsid w:val="00BB6074"/>
    <w:rsid w:val="00BB6D9C"/>
    <w:rsid w:val="00BB6E00"/>
    <w:rsid w:val="00BB7B8C"/>
    <w:rsid w:val="00BC0208"/>
    <w:rsid w:val="00BC044F"/>
    <w:rsid w:val="00BC0527"/>
    <w:rsid w:val="00BC0F1D"/>
    <w:rsid w:val="00BC1808"/>
    <w:rsid w:val="00BC23F6"/>
    <w:rsid w:val="00BC255E"/>
    <w:rsid w:val="00BC2563"/>
    <w:rsid w:val="00BC2BFE"/>
    <w:rsid w:val="00BC305D"/>
    <w:rsid w:val="00BC39EC"/>
    <w:rsid w:val="00BC3FB0"/>
    <w:rsid w:val="00BC459B"/>
    <w:rsid w:val="00BC4952"/>
    <w:rsid w:val="00BC4ED4"/>
    <w:rsid w:val="00BC54B0"/>
    <w:rsid w:val="00BC554F"/>
    <w:rsid w:val="00BC58F7"/>
    <w:rsid w:val="00BC5A57"/>
    <w:rsid w:val="00BC640B"/>
    <w:rsid w:val="00BC6A80"/>
    <w:rsid w:val="00BC6CE4"/>
    <w:rsid w:val="00BD008A"/>
    <w:rsid w:val="00BD0709"/>
    <w:rsid w:val="00BD0AA6"/>
    <w:rsid w:val="00BD0EC4"/>
    <w:rsid w:val="00BD136F"/>
    <w:rsid w:val="00BD19C4"/>
    <w:rsid w:val="00BD1BB8"/>
    <w:rsid w:val="00BD1D71"/>
    <w:rsid w:val="00BD1F98"/>
    <w:rsid w:val="00BD1FC1"/>
    <w:rsid w:val="00BD2221"/>
    <w:rsid w:val="00BD2400"/>
    <w:rsid w:val="00BD2562"/>
    <w:rsid w:val="00BD2A76"/>
    <w:rsid w:val="00BD3596"/>
    <w:rsid w:val="00BD38CA"/>
    <w:rsid w:val="00BD3A5A"/>
    <w:rsid w:val="00BD3ABF"/>
    <w:rsid w:val="00BD4307"/>
    <w:rsid w:val="00BD464F"/>
    <w:rsid w:val="00BD48E7"/>
    <w:rsid w:val="00BD4DCF"/>
    <w:rsid w:val="00BD4E61"/>
    <w:rsid w:val="00BD4EF4"/>
    <w:rsid w:val="00BD4FD8"/>
    <w:rsid w:val="00BD532D"/>
    <w:rsid w:val="00BD63E9"/>
    <w:rsid w:val="00BD6487"/>
    <w:rsid w:val="00BD679F"/>
    <w:rsid w:val="00BD6D27"/>
    <w:rsid w:val="00BD6E37"/>
    <w:rsid w:val="00BE052E"/>
    <w:rsid w:val="00BE0881"/>
    <w:rsid w:val="00BE12CC"/>
    <w:rsid w:val="00BE1446"/>
    <w:rsid w:val="00BE1482"/>
    <w:rsid w:val="00BE1751"/>
    <w:rsid w:val="00BE1AA3"/>
    <w:rsid w:val="00BE2965"/>
    <w:rsid w:val="00BE2D13"/>
    <w:rsid w:val="00BE3526"/>
    <w:rsid w:val="00BE46E1"/>
    <w:rsid w:val="00BE54BC"/>
    <w:rsid w:val="00BE5FFF"/>
    <w:rsid w:val="00BE60A3"/>
    <w:rsid w:val="00BE6293"/>
    <w:rsid w:val="00BE6417"/>
    <w:rsid w:val="00BE6468"/>
    <w:rsid w:val="00BE65F0"/>
    <w:rsid w:val="00BE70C0"/>
    <w:rsid w:val="00BE79A4"/>
    <w:rsid w:val="00BE7C6F"/>
    <w:rsid w:val="00BE7CFD"/>
    <w:rsid w:val="00BE7D6B"/>
    <w:rsid w:val="00BF0461"/>
    <w:rsid w:val="00BF06A6"/>
    <w:rsid w:val="00BF11B8"/>
    <w:rsid w:val="00BF1775"/>
    <w:rsid w:val="00BF17FD"/>
    <w:rsid w:val="00BF1D2F"/>
    <w:rsid w:val="00BF22B4"/>
    <w:rsid w:val="00BF241B"/>
    <w:rsid w:val="00BF2542"/>
    <w:rsid w:val="00BF2653"/>
    <w:rsid w:val="00BF3CC5"/>
    <w:rsid w:val="00BF4056"/>
    <w:rsid w:val="00BF405E"/>
    <w:rsid w:val="00BF447E"/>
    <w:rsid w:val="00BF4588"/>
    <w:rsid w:val="00BF4869"/>
    <w:rsid w:val="00BF48B3"/>
    <w:rsid w:val="00BF4AA7"/>
    <w:rsid w:val="00BF5934"/>
    <w:rsid w:val="00BF5C0B"/>
    <w:rsid w:val="00BF5C8D"/>
    <w:rsid w:val="00BF641F"/>
    <w:rsid w:val="00BF6B06"/>
    <w:rsid w:val="00BF6B63"/>
    <w:rsid w:val="00BF6C61"/>
    <w:rsid w:val="00BF71A4"/>
    <w:rsid w:val="00BF7C70"/>
    <w:rsid w:val="00C0012E"/>
    <w:rsid w:val="00C00239"/>
    <w:rsid w:val="00C00F3C"/>
    <w:rsid w:val="00C013E2"/>
    <w:rsid w:val="00C01897"/>
    <w:rsid w:val="00C019C3"/>
    <w:rsid w:val="00C01EF2"/>
    <w:rsid w:val="00C02592"/>
    <w:rsid w:val="00C02C55"/>
    <w:rsid w:val="00C02C58"/>
    <w:rsid w:val="00C02E44"/>
    <w:rsid w:val="00C030B9"/>
    <w:rsid w:val="00C03117"/>
    <w:rsid w:val="00C0341B"/>
    <w:rsid w:val="00C0396F"/>
    <w:rsid w:val="00C03CCC"/>
    <w:rsid w:val="00C03F9D"/>
    <w:rsid w:val="00C040A4"/>
    <w:rsid w:val="00C041EB"/>
    <w:rsid w:val="00C04777"/>
    <w:rsid w:val="00C04D4C"/>
    <w:rsid w:val="00C05673"/>
    <w:rsid w:val="00C05862"/>
    <w:rsid w:val="00C0594F"/>
    <w:rsid w:val="00C05A4B"/>
    <w:rsid w:val="00C05D58"/>
    <w:rsid w:val="00C05D64"/>
    <w:rsid w:val="00C06BD3"/>
    <w:rsid w:val="00C06CB5"/>
    <w:rsid w:val="00C06EE3"/>
    <w:rsid w:val="00C07096"/>
    <w:rsid w:val="00C079DC"/>
    <w:rsid w:val="00C07E84"/>
    <w:rsid w:val="00C10614"/>
    <w:rsid w:val="00C10AA3"/>
    <w:rsid w:val="00C10FA3"/>
    <w:rsid w:val="00C11118"/>
    <w:rsid w:val="00C1177E"/>
    <w:rsid w:val="00C11898"/>
    <w:rsid w:val="00C11CC6"/>
    <w:rsid w:val="00C11ED9"/>
    <w:rsid w:val="00C127C1"/>
    <w:rsid w:val="00C1295C"/>
    <w:rsid w:val="00C12BC1"/>
    <w:rsid w:val="00C12D1F"/>
    <w:rsid w:val="00C12E39"/>
    <w:rsid w:val="00C136E3"/>
    <w:rsid w:val="00C1391C"/>
    <w:rsid w:val="00C13DD1"/>
    <w:rsid w:val="00C13EF7"/>
    <w:rsid w:val="00C13FBE"/>
    <w:rsid w:val="00C14A1C"/>
    <w:rsid w:val="00C14B23"/>
    <w:rsid w:val="00C15038"/>
    <w:rsid w:val="00C15724"/>
    <w:rsid w:val="00C1593F"/>
    <w:rsid w:val="00C16051"/>
    <w:rsid w:val="00C161A1"/>
    <w:rsid w:val="00C166F0"/>
    <w:rsid w:val="00C16708"/>
    <w:rsid w:val="00C17238"/>
    <w:rsid w:val="00C17C5C"/>
    <w:rsid w:val="00C17E1A"/>
    <w:rsid w:val="00C20351"/>
    <w:rsid w:val="00C208DF"/>
    <w:rsid w:val="00C209A5"/>
    <w:rsid w:val="00C20AAA"/>
    <w:rsid w:val="00C21A93"/>
    <w:rsid w:val="00C21E14"/>
    <w:rsid w:val="00C22368"/>
    <w:rsid w:val="00C227F1"/>
    <w:rsid w:val="00C229C9"/>
    <w:rsid w:val="00C22A2B"/>
    <w:rsid w:val="00C22F38"/>
    <w:rsid w:val="00C22F3A"/>
    <w:rsid w:val="00C22FF1"/>
    <w:rsid w:val="00C230C7"/>
    <w:rsid w:val="00C233BE"/>
    <w:rsid w:val="00C235C6"/>
    <w:rsid w:val="00C237A5"/>
    <w:rsid w:val="00C238B8"/>
    <w:rsid w:val="00C24462"/>
    <w:rsid w:val="00C2467E"/>
    <w:rsid w:val="00C24DC1"/>
    <w:rsid w:val="00C24FF4"/>
    <w:rsid w:val="00C25682"/>
    <w:rsid w:val="00C258E0"/>
    <w:rsid w:val="00C25927"/>
    <w:rsid w:val="00C25993"/>
    <w:rsid w:val="00C26EDE"/>
    <w:rsid w:val="00C26FBC"/>
    <w:rsid w:val="00C27B04"/>
    <w:rsid w:val="00C307DA"/>
    <w:rsid w:val="00C30A4D"/>
    <w:rsid w:val="00C311A2"/>
    <w:rsid w:val="00C318A3"/>
    <w:rsid w:val="00C31D81"/>
    <w:rsid w:val="00C331AB"/>
    <w:rsid w:val="00C33B33"/>
    <w:rsid w:val="00C34123"/>
    <w:rsid w:val="00C345DF"/>
    <w:rsid w:val="00C34798"/>
    <w:rsid w:val="00C35347"/>
    <w:rsid w:val="00C35654"/>
    <w:rsid w:val="00C35B3E"/>
    <w:rsid w:val="00C35CE9"/>
    <w:rsid w:val="00C35F2D"/>
    <w:rsid w:val="00C36214"/>
    <w:rsid w:val="00C365BE"/>
    <w:rsid w:val="00C36E1B"/>
    <w:rsid w:val="00C40550"/>
    <w:rsid w:val="00C407A6"/>
    <w:rsid w:val="00C40937"/>
    <w:rsid w:val="00C41635"/>
    <w:rsid w:val="00C41698"/>
    <w:rsid w:val="00C42291"/>
    <w:rsid w:val="00C422AA"/>
    <w:rsid w:val="00C42ABE"/>
    <w:rsid w:val="00C42E0B"/>
    <w:rsid w:val="00C430ED"/>
    <w:rsid w:val="00C439AD"/>
    <w:rsid w:val="00C439FF"/>
    <w:rsid w:val="00C44029"/>
    <w:rsid w:val="00C44038"/>
    <w:rsid w:val="00C44158"/>
    <w:rsid w:val="00C44219"/>
    <w:rsid w:val="00C44359"/>
    <w:rsid w:val="00C44B3E"/>
    <w:rsid w:val="00C44C00"/>
    <w:rsid w:val="00C45106"/>
    <w:rsid w:val="00C45224"/>
    <w:rsid w:val="00C45400"/>
    <w:rsid w:val="00C45C22"/>
    <w:rsid w:val="00C46176"/>
    <w:rsid w:val="00C469FB"/>
    <w:rsid w:val="00C469FC"/>
    <w:rsid w:val="00C46C6A"/>
    <w:rsid w:val="00C479C0"/>
    <w:rsid w:val="00C47A5D"/>
    <w:rsid w:val="00C47F4A"/>
    <w:rsid w:val="00C50035"/>
    <w:rsid w:val="00C5090E"/>
    <w:rsid w:val="00C51338"/>
    <w:rsid w:val="00C5258C"/>
    <w:rsid w:val="00C53DF8"/>
    <w:rsid w:val="00C53EB1"/>
    <w:rsid w:val="00C5425F"/>
    <w:rsid w:val="00C54BCE"/>
    <w:rsid w:val="00C54D43"/>
    <w:rsid w:val="00C55103"/>
    <w:rsid w:val="00C55290"/>
    <w:rsid w:val="00C55353"/>
    <w:rsid w:val="00C554D9"/>
    <w:rsid w:val="00C55BA7"/>
    <w:rsid w:val="00C55F9E"/>
    <w:rsid w:val="00C5656B"/>
    <w:rsid w:val="00C56826"/>
    <w:rsid w:val="00C56897"/>
    <w:rsid w:val="00C56F8C"/>
    <w:rsid w:val="00C57281"/>
    <w:rsid w:val="00C57F2E"/>
    <w:rsid w:val="00C60257"/>
    <w:rsid w:val="00C6095B"/>
    <w:rsid w:val="00C60E50"/>
    <w:rsid w:val="00C6193D"/>
    <w:rsid w:val="00C61FB2"/>
    <w:rsid w:val="00C620F6"/>
    <w:rsid w:val="00C623C8"/>
    <w:rsid w:val="00C62454"/>
    <w:rsid w:val="00C624BD"/>
    <w:rsid w:val="00C62639"/>
    <w:rsid w:val="00C62A50"/>
    <w:rsid w:val="00C62F24"/>
    <w:rsid w:val="00C6304E"/>
    <w:rsid w:val="00C63108"/>
    <w:rsid w:val="00C6348F"/>
    <w:rsid w:val="00C6355F"/>
    <w:rsid w:val="00C63FD2"/>
    <w:rsid w:val="00C6412C"/>
    <w:rsid w:val="00C64430"/>
    <w:rsid w:val="00C645B8"/>
    <w:rsid w:val="00C6469D"/>
    <w:rsid w:val="00C646BE"/>
    <w:rsid w:val="00C654CF"/>
    <w:rsid w:val="00C65FB9"/>
    <w:rsid w:val="00C661F9"/>
    <w:rsid w:val="00C6628D"/>
    <w:rsid w:val="00C66B04"/>
    <w:rsid w:val="00C66CEC"/>
    <w:rsid w:val="00C66F5B"/>
    <w:rsid w:val="00C671C0"/>
    <w:rsid w:val="00C6738C"/>
    <w:rsid w:val="00C67AAF"/>
    <w:rsid w:val="00C70D6B"/>
    <w:rsid w:val="00C70DC4"/>
    <w:rsid w:val="00C715F3"/>
    <w:rsid w:val="00C71835"/>
    <w:rsid w:val="00C726C7"/>
    <w:rsid w:val="00C72840"/>
    <w:rsid w:val="00C73054"/>
    <w:rsid w:val="00C73F8F"/>
    <w:rsid w:val="00C74648"/>
    <w:rsid w:val="00C75200"/>
    <w:rsid w:val="00C7571D"/>
    <w:rsid w:val="00C764ED"/>
    <w:rsid w:val="00C766E3"/>
    <w:rsid w:val="00C76929"/>
    <w:rsid w:val="00C76A11"/>
    <w:rsid w:val="00C76F4B"/>
    <w:rsid w:val="00C776D3"/>
    <w:rsid w:val="00C77950"/>
    <w:rsid w:val="00C77985"/>
    <w:rsid w:val="00C8041C"/>
    <w:rsid w:val="00C80480"/>
    <w:rsid w:val="00C80BB4"/>
    <w:rsid w:val="00C80CDB"/>
    <w:rsid w:val="00C80D2D"/>
    <w:rsid w:val="00C81038"/>
    <w:rsid w:val="00C81330"/>
    <w:rsid w:val="00C81E2E"/>
    <w:rsid w:val="00C8212E"/>
    <w:rsid w:val="00C824BE"/>
    <w:rsid w:val="00C82C4B"/>
    <w:rsid w:val="00C82C75"/>
    <w:rsid w:val="00C82CD8"/>
    <w:rsid w:val="00C838E9"/>
    <w:rsid w:val="00C84347"/>
    <w:rsid w:val="00C845C6"/>
    <w:rsid w:val="00C852B9"/>
    <w:rsid w:val="00C854BC"/>
    <w:rsid w:val="00C86313"/>
    <w:rsid w:val="00C863B9"/>
    <w:rsid w:val="00C86F5C"/>
    <w:rsid w:val="00C86F93"/>
    <w:rsid w:val="00C877EC"/>
    <w:rsid w:val="00C91146"/>
    <w:rsid w:val="00C9197F"/>
    <w:rsid w:val="00C91A28"/>
    <w:rsid w:val="00C91FB0"/>
    <w:rsid w:val="00C9380A"/>
    <w:rsid w:val="00C93843"/>
    <w:rsid w:val="00C93967"/>
    <w:rsid w:val="00C940BD"/>
    <w:rsid w:val="00C94701"/>
    <w:rsid w:val="00C948DC"/>
    <w:rsid w:val="00C952FF"/>
    <w:rsid w:val="00C95662"/>
    <w:rsid w:val="00C95F79"/>
    <w:rsid w:val="00C960E8"/>
    <w:rsid w:val="00C9628E"/>
    <w:rsid w:val="00C965D9"/>
    <w:rsid w:val="00C966D1"/>
    <w:rsid w:val="00C96796"/>
    <w:rsid w:val="00C97034"/>
    <w:rsid w:val="00C97261"/>
    <w:rsid w:val="00CA0233"/>
    <w:rsid w:val="00CA0560"/>
    <w:rsid w:val="00CA0EB1"/>
    <w:rsid w:val="00CA1004"/>
    <w:rsid w:val="00CA132B"/>
    <w:rsid w:val="00CA1AE4"/>
    <w:rsid w:val="00CA1F5F"/>
    <w:rsid w:val="00CA27CF"/>
    <w:rsid w:val="00CA2800"/>
    <w:rsid w:val="00CA2A24"/>
    <w:rsid w:val="00CA2A94"/>
    <w:rsid w:val="00CA2E8A"/>
    <w:rsid w:val="00CA33E0"/>
    <w:rsid w:val="00CA42D5"/>
    <w:rsid w:val="00CA4458"/>
    <w:rsid w:val="00CA45AD"/>
    <w:rsid w:val="00CA45C8"/>
    <w:rsid w:val="00CA5798"/>
    <w:rsid w:val="00CA5AF6"/>
    <w:rsid w:val="00CA6D14"/>
    <w:rsid w:val="00CA730F"/>
    <w:rsid w:val="00CA7F0A"/>
    <w:rsid w:val="00CB03EE"/>
    <w:rsid w:val="00CB05A0"/>
    <w:rsid w:val="00CB0809"/>
    <w:rsid w:val="00CB090C"/>
    <w:rsid w:val="00CB0D7C"/>
    <w:rsid w:val="00CB1105"/>
    <w:rsid w:val="00CB204E"/>
    <w:rsid w:val="00CB2CE1"/>
    <w:rsid w:val="00CB3456"/>
    <w:rsid w:val="00CB3F0A"/>
    <w:rsid w:val="00CB416C"/>
    <w:rsid w:val="00CB4931"/>
    <w:rsid w:val="00CB4A25"/>
    <w:rsid w:val="00CB513A"/>
    <w:rsid w:val="00CB5784"/>
    <w:rsid w:val="00CB5D83"/>
    <w:rsid w:val="00CB5F22"/>
    <w:rsid w:val="00CB623C"/>
    <w:rsid w:val="00CB660D"/>
    <w:rsid w:val="00CB666F"/>
    <w:rsid w:val="00CB6CDA"/>
    <w:rsid w:val="00CB71AD"/>
    <w:rsid w:val="00CB721F"/>
    <w:rsid w:val="00CB753E"/>
    <w:rsid w:val="00CB75A7"/>
    <w:rsid w:val="00CB7786"/>
    <w:rsid w:val="00CB7B42"/>
    <w:rsid w:val="00CC02AB"/>
    <w:rsid w:val="00CC045B"/>
    <w:rsid w:val="00CC055E"/>
    <w:rsid w:val="00CC0FCB"/>
    <w:rsid w:val="00CC1512"/>
    <w:rsid w:val="00CC167D"/>
    <w:rsid w:val="00CC3D96"/>
    <w:rsid w:val="00CC3DF3"/>
    <w:rsid w:val="00CC421E"/>
    <w:rsid w:val="00CC4C2C"/>
    <w:rsid w:val="00CC54F4"/>
    <w:rsid w:val="00CC5527"/>
    <w:rsid w:val="00CC55D1"/>
    <w:rsid w:val="00CC5A36"/>
    <w:rsid w:val="00CC5C58"/>
    <w:rsid w:val="00CC6D83"/>
    <w:rsid w:val="00CC76D6"/>
    <w:rsid w:val="00CD033F"/>
    <w:rsid w:val="00CD081A"/>
    <w:rsid w:val="00CD0CDC"/>
    <w:rsid w:val="00CD123B"/>
    <w:rsid w:val="00CD135D"/>
    <w:rsid w:val="00CD1378"/>
    <w:rsid w:val="00CD156B"/>
    <w:rsid w:val="00CD1654"/>
    <w:rsid w:val="00CD167E"/>
    <w:rsid w:val="00CD23AC"/>
    <w:rsid w:val="00CD2573"/>
    <w:rsid w:val="00CD2FE8"/>
    <w:rsid w:val="00CD3015"/>
    <w:rsid w:val="00CD3C6B"/>
    <w:rsid w:val="00CD47B2"/>
    <w:rsid w:val="00CD495E"/>
    <w:rsid w:val="00CD4A87"/>
    <w:rsid w:val="00CD4BDD"/>
    <w:rsid w:val="00CD4FBC"/>
    <w:rsid w:val="00CD5405"/>
    <w:rsid w:val="00CD57F3"/>
    <w:rsid w:val="00CD5968"/>
    <w:rsid w:val="00CD5C2E"/>
    <w:rsid w:val="00CD7043"/>
    <w:rsid w:val="00CD712F"/>
    <w:rsid w:val="00CD7131"/>
    <w:rsid w:val="00CD7777"/>
    <w:rsid w:val="00CD7BDA"/>
    <w:rsid w:val="00CE0388"/>
    <w:rsid w:val="00CE0453"/>
    <w:rsid w:val="00CE047C"/>
    <w:rsid w:val="00CE1784"/>
    <w:rsid w:val="00CE1899"/>
    <w:rsid w:val="00CE1BBD"/>
    <w:rsid w:val="00CE2125"/>
    <w:rsid w:val="00CE213D"/>
    <w:rsid w:val="00CE21C8"/>
    <w:rsid w:val="00CE2329"/>
    <w:rsid w:val="00CE2651"/>
    <w:rsid w:val="00CE2725"/>
    <w:rsid w:val="00CE2AEF"/>
    <w:rsid w:val="00CE3688"/>
    <w:rsid w:val="00CE36E9"/>
    <w:rsid w:val="00CE3BD8"/>
    <w:rsid w:val="00CE4062"/>
    <w:rsid w:val="00CE457F"/>
    <w:rsid w:val="00CE4889"/>
    <w:rsid w:val="00CE5EFB"/>
    <w:rsid w:val="00CE5FDC"/>
    <w:rsid w:val="00CE663C"/>
    <w:rsid w:val="00CE6E38"/>
    <w:rsid w:val="00CE6FAC"/>
    <w:rsid w:val="00CE785A"/>
    <w:rsid w:val="00CE785B"/>
    <w:rsid w:val="00CE7AA8"/>
    <w:rsid w:val="00CE7DB1"/>
    <w:rsid w:val="00CE7E42"/>
    <w:rsid w:val="00CF119F"/>
    <w:rsid w:val="00CF1766"/>
    <w:rsid w:val="00CF2266"/>
    <w:rsid w:val="00CF2E2C"/>
    <w:rsid w:val="00CF2F8C"/>
    <w:rsid w:val="00CF321A"/>
    <w:rsid w:val="00CF3414"/>
    <w:rsid w:val="00CF3715"/>
    <w:rsid w:val="00CF42E6"/>
    <w:rsid w:val="00CF47D9"/>
    <w:rsid w:val="00CF4F95"/>
    <w:rsid w:val="00CF591C"/>
    <w:rsid w:val="00CF5D1F"/>
    <w:rsid w:val="00CF5E6C"/>
    <w:rsid w:val="00CF6662"/>
    <w:rsid w:val="00CF69D3"/>
    <w:rsid w:val="00CF6C3C"/>
    <w:rsid w:val="00CF70D4"/>
    <w:rsid w:val="00CF7BB8"/>
    <w:rsid w:val="00D00581"/>
    <w:rsid w:val="00D00B96"/>
    <w:rsid w:val="00D01381"/>
    <w:rsid w:val="00D013B9"/>
    <w:rsid w:val="00D0196D"/>
    <w:rsid w:val="00D01B2F"/>
    <w:rsid w:val="00D01C11"/>
    <w:rsid w:val="00D02759"/>
    <w:rsid w:val="00D0298A"/>
    <w:rsid w:val="00D02A95"/>
    <w:rsid w:val="00D02D29"/>
    <w:rsid w:val="00D030EE"/>
    <w:rsid w:val="00D03973"/>
    <w:rsid w:val="00D048F2"/>
    <w:rsid w:val="00D04A1F"/>
    <w:rsid w:val="00D0646C"/>
    <w:rsid w:val="00D06DDA"/>
    <w:rsid w:val="00D06ED0"/>
    <w:rsid w:val="00D07495"/>
    <w:rsid w:val="00D07524"/>
    <w:rsid w:val="00D07920"/>
    <w:rsid w:val="00D07DEE"/>
    <w:rsid w:val="00D103E4"/>
    <w:rsid w:val="00D107BF"/>
    <w:rsid w:val="00D1094D"/>
    <w:rsid w:val="00D11307"/>
    <w:rsid w:val="00D11E52"/>
    <w:rsid w:val="00D11ECE"/>
    <w:rsid w:val="00D11F33"/>
    <w:rsid w:val="00D1207A"/>
    <w:rsid w:val="00D121FA"/>
    <w:rsid w:val="00D1237A"/>
    <w:rsid w:val="00D124F8"/>
    <w:rsid w:val="00D1296E"/>
    <w:rsid w:val="00D12B3D"/>
    <w:rsid w:val="00D13311"/>
    <w:rsid w:val="00D137B1"/>
    <w:rsid w:val="00D13888"/>
    <w:rsid w:val="00D146C8"/>
    <w:rsid w:val="00D14984"/>
    <w:rsid w:val="00D14A29"/>
    <w:rsid w:val="00D14B74"/>
    <w:rsid w:val="00D1580E"/>
    <w:rsid w:val="00D15A96"/>
    <w:rsid w:val="00D15BBF"/>
    <w:rsid w:val="00D15EE9"/>
    <w:rsid w:val="00D15F05"/>
    <w:rsid w:val="00D15FF3"/>
    <w:rsid w:val="00D161DF"/>
    <w:rsid w:val="00D16A18"/>
    <w:rsid w:val="00D16CA8"/>
    <w:rsid w:val="00D202F5"/>
    <w:rsid w:val="00D21DCD"/>
    <w:rsid w:val="00D22B48"/>
    <w:rsid w:val="00D22FC1"/>
    <w:rsid w:val="00D23D1C"/>
    <w:rsid w:val="00D23E24"/>
    <w:rsid w:val="00D2423C"/>
    <w:rsid w:val="00D24559"/>
    <w:rsid w:val="00D255C3"/>
    <w:rsid w:val="00D257EE"/>
    <w:rsid w:val="00D259E4"/>
    <w:rsid w:val="00D2696F"/>
    <w:rsid w:val="00D26AAC"/>
    <w:rsid w:val="00D27787"/>
    <w:rsid w:val="00D27A8F"/>
    <w:rsid w:val="00D27B25"/>
    <w:rsid w:val="00D3031E"/>
    <w:rsid w:val="00D30577"/>
    <w:rsid w:val="00D3093D"/>
    <w:rsid w:val="00D30D24"/>
    <w:rsid w:val="00D31723"/>
    <w:rsid w:val="00D3180C"/>
    <w:rsid w:val="00D3181F"/>
    <w:rsid w:val="00D31C0A"/>
    <w:rsid w:val="00D32AEC"/>
    <w:rsid w:val="00D32E9E"/>
    <w:rsid w:val="00D33252"/>
    <w:rsid w:val="00D335CF"/>
    <w:rsid w:val="00D33B5B"/>
    <w:rsid w:val="00D33B8D"/>
    <w:rsid w:val="00D34AE3"/>
    <w:rsid w:val="00D34BEC"/>
    <w:rsid w:val="00D34CDA"/>
    <w:rsid w:val="00D3508C"/>
    <w:rsid w:val="00D35AA9"/>
    <w:rsid w:val="00D35DEE"/>
    <w:rsid w:val="00D35F86"/>
    <w:rsid w:val="00D3620A"/>
    <w:rsid w:val="00D3650A"/>
    <w:rsid w:val="00D36D84"/>
    <w:rsid w:val="00D36F18"/>
    <w:rsid w:val="00D37493"/>
    <w:rsid w:val="00D37842"/>
    <w:rsid w:val="00D37F8F"/>
    <w:rsid w:val="00D4066B"/>
    <w:rsid w:val="00D4073D"/>
    <w:rsid w:val="00D4108C"/>
    <w:rsid w:val="00D41259"/>
    <w:rsid w:val="00D41C1A"/>
    <w:rsid w:val="00D41EBF"/>
    <w:rsid w:val="00D420EC"/>
    <w:rsid w:val="00D428A1"/>
    <w:rsid w:val="00D43058"/>
    <w:rsid w:val="00D43111"/>
    <w:rsid w:val="00D435C2"/>
    <w:rsid w:val="00D43A67"/>
    <w:rsid w:val="00D45B63"/>
    <w:rsid w:val="00D45D1F"/>
    <w:rsid w:val="00D45F01"/>
    <w:rsid w:val="00D460A5"/>
    <w:rsid w:val="00D465B0"/>
    <w:rsid w:val="00D467FE"/>
    <w:rsid w:val="00D4750C"/>
    <w:rsid w:val="00D47D2E"/>
    <w:rsid w:val="00D47E0D"/>
    <w:rsid w:val="00D509CB"/>
    <w:rsid w:val="00D50C2D"/>
    <w:rsid w:val="00D512B1"/>
    <w:rsid w:val="00D517AE"/>
    <w:rsid w:val="00D51AD0"/>
    <w:rsid w:val="00D51C85"/>
    <w:rsid w:val="00D51EAB"/>
    <w:rsid w:val="00D52026"/>
    <w:rsid w:val="00D52D97"/>
    <w:rsid w:val="00D531E1"/>
    <w:rsid w:val="00D53350"/>
    <w:rsid w:val="00D53B8D"/>
    <w:rsid w:val="00D54177"/>
    <w:rsid w:val="00D54A14"/>
    <w:rsid w:val="00D55494"/>
    <w:rsid w:val="00D55A49"/>
    <w:rsid w:val="00D55F88"/>
    <w:rsid w:val="00D573BB"/>
    <w:rsid w:val="00D57DBC"/>
    <w:rsid w:val="00D602E7"/>
    <w:rsid w:val="00D60722"/>
    <w:rsid w:val="00D60878"/>
    <w:rsid w:val="00D60A5B"/>
    <w:rsid w:val="00D6104E"/>
    <w:rsid w:val="00D61097"/>
    <w:rsid w:val="00D612E6"/>
    <w:rsid w:val="00D6131E"/>
    <w:rsid w:val="00D615AE"/>
    <w:rsid w:val="00D620FD"/>
    <w:rsid w:val="00D625D3"/>
    <w:rsid w:val="00D62E1D"/>
    <w:rsid w:val="00D63297"/>
    <w:rsid w:val="00D63339"/>
    <w:rsid w:val="00D6371F"/>
    <w:rsid w:val="00D63B87"/>
    <w:rsid w:val="00D63C4A"/>
    <w:rsid w:val="00D63EA3"/>
    <w:rsid w:val="00D63FF0"/>
    <w:rsid w:val="00D6404F"/>
    <w:rsid w:val="00D64508"/>
    <w:rsid w:val="00D6490F"/>
    <w:rsid w:val="00D64941"/>
    <w:rsid w:val="00D64BF4"/>
    <w:rsid w:val="00D65081"/>
    <w:rsid w:val="00D655C0"/>
    <w:rsid w:val="00D65623"/>
    <w:rsid w:val="00D6572A"/>
    <w:rsid w:val="00D65FC1"/>
    <w:rsid w:val="00D664CF"/>
    <w:rsid w:val="00D66545"/>
    <w:rsid w:val="00D67887"/>
    <w:rsid w:val="00D67A1E"/>
    <w:rsid w:val="00D7018B"/>
    <w:rsid w:val="00D70D72"/>
    <w:rsid w:val="00D7162E"/>
    <w:rsid w:val="00D72115"/>
    <w:rsid w:val="00D72922"/>
    <w:rsid w:val="00D72949"/>
    <w:rsid w:val="00D72FA8"/>
    <w:rsid w:val="00D7332F"/>
    <w:rsid w:val="00D73E5C"/>
    <w:rsid w:val="00D749AF"/>
    <w:rsid w:val="00D75922"/>
    <w:rsid w:val="00D75B00"/>
    <w:rsid w:val="00D77217"/>
    <w:rsid w:val="00D77C33"/>
    <w:rsid w:val="00D80C26"/>
    <w:rsid w:val="00D80EF6"/>
    <w:rsid w:val="00D81BE4"/>
    <w:rsid w:val="00D82613"/>
    <w:rsid w:val="00D82616"/>
    <w:rsid w:val="00D82626"/>
    <w:rsid w:val="00D83217"/>
    <w:rsid w:val="00D83D2A"/>
    <w:rsid w:val="00D83D60"/>
    <w:rsid w:val="00D8473E"/>
    <w:rsid w:val="00D84A77"/>
    <w:rsid w:val="00D851E6"/>
    <w:rsid w:val="00D85222"/>
    <w:rsid w:val="00D855BA"/>
    <w:rsid w:val="00D85BB1"/>
    <w:rsid w:val="00D85EE9"/>
    <w:rsid w:val="00D8631B"/>
    <w:rsid w:val="00D86349"/>
    <w:rsid w:val="00D870BA"/>
    <w:rsid w:val="00D8739F"/>
    <w:rsid w:val="00D8743B"/>
    <w:rsid w:val="00D87BB9"/>
    <w:rsid w:val="00D904FC"/>
    <w:rsid w:val="00D91000"/>
    <w:rsid w:val="00D911E3"/>
    <w:rsid w:val="00D912D1"/>
    <w:rsid w:val="00D91564"/>
    <w:rsid w:val="00D91693"/>
    <w:rsid w:val="00D918B0"/>
    <w:rsid w:val="00D92070"/>
    <w:rsid w:val="00D921D6"/>
    <w:rsid w:val="00D92449"/>
    <w:rsid w:val="00D92A8D"/>
    <w:rsid w:val="00D92BAE"/>
    <w:rsid w:val="00D92EAC"/>
    <w:rsid w:val="00D92FEC"/>
    <w:rsid w:val="00D9335C"/>
    <w:rsid w:val="00D93D11"/>
    <w:rsid w:val="00D947CE"/>
    <w:rsid w:val="00D94A33"/>
    <w:rsid w:val="00D94CBC"/>
    <w:rsid w:val="00D94CD6"/>
    <w:rsid w:val="00D94D95"/>
    <w:rsid w:val="00D9501A"/>
    <w:rsid w:val="00D95E37"/>
    <w:rsid w:val="00D95E5D"/>
    <w:rsid w:val="00D965FD"/>
    <w:rsid w:val="00D9681D"/>
    <w:rsid w:val="00D96BEE"/>
    <w:rsid w:val="00D96D38"/>
    <w:rsid w:val="00D96DA3"/>
    <w:rsid w:val="00D96DE1"/>
    <w:rsid w:val="00D96E57"/>
    <w:rsid w:val="00D97509"/>
    <w:rsid w:val="00D97519"/>
    <w:rsid w:val="00D978A7"/>
    <w:rsid w:val="00DA04EC"/>
    <w:rsid w:val="00DA0596"/>
    <w:rsid w:val="00DA13D9"/>
    <w:rsid w:val="00DA19CE"/>
    <w:rsid w:val="00DA1CAB"/>
    <w:rsid w:val="00DA2CF3"/>
    <w:rsid w:val="00DA3DBC"/>
    <w:rsid w:val="00DA3F3E"/>
    <w:rsid w:val="00DA4345"/>
    <w:rsid w:val="00DA4472"/>
    <w:rsid w:val="00DA4736"/>
    <w:rsid w:val="00DA56DC"/>
    <w:rsid w:val="00DA5DA0"/>
    <w:rsid w:val="00DA6299"/>
    <w:rsid w:val="00DA6812"/>
    <w:rsid w:val="00DA686E"/>
    <w:rsid w:val="00DA69DC"/>
    <w:rsid w:val="00DA7356"/>
    <w:rsid w:val="00DA785B"/>
    <w:rsid w:val="00DA7A6F"/>
    <w:rsid w:val="00DA7B5C"/>
    <w:rsid w:val="00DA7C12"/>
    <w:rsid w:val="00DA7FB5"/>
    <w:rsid w:val="00DB05E1"/>
    <w:rsid w:val="00DB09B9"/>
    <w:rsid w:val="00DB0CA0"/>
    <w:rsid w:val="00DB0E7C"/>
    <w:rsid w:val="00DB0F40"/>
    <w:rsid w:val="00DB11DE"/>
    <w:rsid w:val="00DB1A67"/>
    <w:rsid w:val="00DB1C82"/>
    <w:rsid w:val="00DB1F15"/>
    <w:rsid w:val="00DB2259"/>
    <w:rsid w:val="00DB2F5F"/>
    <w:rsid w:val="00DB368A"/>
    <w:rsid w:val="00DB415F"/>
    <w:rsid w:val="00DB4E29"/>
    <w:rsid w:val="00DB5434"/>
    <w:rsid w:val="00DB5574"/>
    <w:rsid w:val="00DB5B35"/>
    <w:rsid w:val="00DB5B38"/>
    <w:rsid w:val="00DB667E"/>
    <w:rsid w:val="00DB6B61"/>
    <w:rsid w:val="00DB6C7C"/>
    <w:rsid w:val="00DB72B8"/>
    <w:rsid w:val="00DB74E4"/>
    <w:rsid w:val="00DB7DFE"/>
    <w:rsid w:val="00DC00C1"/>
    <w:rsid w:val="00DC0575"/>
    <w:rsid w:val="00DC1202"/>
    <w:rsid w:val="00DC270A"/>
    <w:rsid w:val="00DC2A8A"/>
    <w:rsid w:val="00DC2D1C"/>
    <w:rsid w:val="00DC2DD9"/>
    <w:rsid w:val="00DC2F77"/>
    <w:rsid w:val="00DC3044"/>
    <w:rsid w:val="00DC3182"/>
    <w:rsid w:val="00DC31C5"/>
    <w:rsid w:val="00DC32F5"/>
    <w:rsid w:val="00DC3850"/>
    <w:rsid w:val="00DC4231"/>
    <w:rsid w:val="00DC4E1C"/>
    <w:rsid w:val="00DC4F39"/>
    <w:rsid w:val="00DC5A86"/>
    <w:rsid w:val="00DC69B6"/>
    <w:rsid w:val="00DC6B1D"/>
    <w:rsid w:val="00DC6C9F"/>
    <w:rsid w:val="00DC6CCC"/>
    <w:rsid w:val="00DC6DA8"/>
    <w:rsid w:val="00DC6E3E"/>
    <w:rsid w:val="00DC79D3"/>
    <w:rsid w:val="00DC7E71"/>
    <w:rsid w:val="00DD049B"/>
    <w:rsid w:val="00DD0C29"/>
    <w:rsid w:val="00DD150B"/>
    <w:rsid w:val="00DD1B97"/>
    <w:rsid w:val="00DD1CBD"/>
    <w:rsid w:val="00DD2231"/>
    <w:rsid w:val="00DD2C8F"/>
    <w:rsid w:val="00DD2D80"/>
    <w:rsid w:val="00DD2E27"/>
    <w:rsid w:val="00DD34A6"/>
    <w:rsid w:val="00DD3809"/>
    <w:rsid w:val="00DD383A"/>
    <w:rsid w:val="00DD39BF"/>
    <w:rsid w:val="00DD3AD3"/>
    <w:rsid w:val="00DD416F"/>
    <w:rsid w:val="00DD42F3"/>
    <w:rsid w:val="00DD4590"/>
    <w:rsid w:val="00DD4A13"/>
    <w:rsid w:val="00DD4DF8"/>
    <w:rsid w:val="00DD518E"/>
    <w:rsid w:val="00DD538C"/>
    <w:rsid w:val="00DD5412"/>
    <w:rsid w:val="00DD54E4"/>
    <w:rsid w:val="00DD56B1"/>
    <w:rsid w:val="00DD59DF"/>
    <w:rsid w:val="00DD5D89"/>
    <w:rsid w:val="00DD6F39"/>
    <w:rsid w:val="00DD7729"/>
    <w:rsid w:val="00DE0044"/>
    <w:rsid w:val="00DE0275"/>
    <w:rsid w:val="00DE1C04"/>
    <w:rsid w:val="00DE1D6D"/>
    <w:rsid w:val="00DE1EDD"/>
    <w:rsid w:val="00DE1F81"/>
    <w:rsid w:val="00DE202C"/>
    <w:rsid w:val="00DE2086"/>
    <w:rsid w:val="00DE225C"/>
    <w:rsid w:val="00DE23E8"/>
    <w:rsid w:val="00DE2485"/>
    <w:rsid w:val="00DE27A5"/>
    <w:rsid w:val="00DE28E4"/>
    <w:rsid w:val="00DE2CA0"/>
    <w:rsid w:val="00DE313B"/>
    <w:rsid w:val="00DE4E7C"/>
    <w:rsid w:val="00DE51C4"/>
    <w:rsid w:val="00DE5264"/>
    <w:rsid w:val="00DE5ABC"/>
    <w:rsid w:val="00DE5AC2"/>
    <w:rsid w:val="00DE5AE8"/>
    <w:rsid w:val="00DE6CEF"/>
    <w:rsid w:val="00DE6F0E"/>
    <w:rsid w:val="00DE6FB6"/>
    <w:rsid w:val="00DE75E4"/>
    <w:rsid w:val="00DE76C4"/>
    <w:rsid w:val="00DE7948"/>
    <w:rsid w:val="00DE796C"/>
    <w:rsid w:val="00DE7DEE"/>
    <w:rsid w:val="00DF01D3"/>
    <w:rsid w:val="00DF0BD0"/>
    <w:rsid w:val="00DF0CB1"/>
    <w:rsid w:val="00DF1A7E"/>
    <w:rsid w:val="00DF1E9C"/>
    <w:rsid w:val="00DF2BF1"/>
    <w:rsid w:val="00DF2CE5"/>
    <w:rsid w:val="00DF3096"/>
    <w:rsid w:val="00DF33C9"/>
    <w:rsid w:val="00DF3698"/>
    <w:rsid w:val="00DF4B58"/>
    <w:rsid w:val="00DF53F2"/>
    <w:rsid w:val="00DF5631"/>
    <w:rsid w:val="00DF57DA"/>
    <w:rsid w:val="00DF5987"/>
    <w:rsid w:val="00DF5C59"/>
    <w:rsid w:val="00DF618F"/>
    <w:rsid w:val="00DF61C5"/>
    <w:rsid w:val="00DF652D"/>
    <w:rsid w:val="00DF73B4"/>
    <w:rsid w:val="00DF7576"/>
    <w:rsid w:val="00DF7804"/>
    <w:rsid w:val="00DF7F8B"/>
    <w:rsid w:val="00E0084D"/>
    <w:rsid w:val="00E00DC9"/>
    <w:rsid w:val="00E01525"/>
    <w:rsid w:val="00E023C5"/>
    <w:rsid w:val="00E02523"/>
    <w:rsid w:val="00E0263B"/>
    <w:rsid w:val="00E02EB7"/>
    <w:rsid w:val="00E03543"/>
    <w:rsid w:val="00E04B58"/>
    <w:rsid w:val="00E04DB6"/>
    <w:rsid w:val="00E05080"/>
    <w:rsid w:val="00E0571B"/>
    <w:rsid w:val="00E05916"/>
    <w:rsid w:val="00E05FB6"/>
    <w:rsid w:val="00E05FF6"/>
    <w:rsid w:val="00E06C9F"/>
    <w:rsid w:val="00E07391"/>
    <w:rsid w:val="00E07805"/>
    <w:rsid w:val="00E07AE8"/>
    <w:rsid w:val="00E1008B"/>
    <w:rsid w:val="00E1040E"/>
    <w:rsid w:val="00E112F1"/>
    <w:rsid w:val="00E12780"/>
    <w:rsid w:val="00E129B1"/>
    <w:rsid w:val="00E1329F"/>
    <w:rsid w:val="00E134E4"/>
    <w:rsid w:val="00E138C4"/>
    <w:rsid w:val="00E14E58"/>
    <w:rsid w:val="00E150AE"/>
    <w:rsid w:val="00E15A68"/>
    <w:rsid w:val="00E15CF0"/>
    <w:rsid w:val="00E165D6"/>
    <w:rsid w:val="00E170E8"/>
    <w:rsid w:val="00E1799F"/>
    <w:rsid w:val="00E20AE4"/>
    <w:rsid w:val="00E2116C"/>
    <w:rsid w:val="00E2149D"/>
    <w:rsid w:val="00E214B7"/>
    <w:rsid w:val="00E217F2"/>
    <w:rsid w:val="00E21DD1"/>
    <w:rsid w:val="00E22476"/>
    <w:rsid w:val="00E22ACD"/>
    <w:rsid w:val="00E22BB6"/>
    <w:rsid w:val="00E22C3F"/>
    <w:rsid w:val="00E22E97"/>
    <w:rsid w:val="00E232AD"/>
    <w:rsid w:val="00E235ED"/>
    <w:rsid w:val="00E237B4"/>
    <w:rsid w:val="00E237E1"/>
    <w:rsid w:val="00E23826"/>
    <w:rsid w:val="00E23951"/>
    <w:rsid w:val="00E23C70"/>
    <w:rsid w:val="00E23E3D"/>
    <w:rsid w:val="00E23ED5"/>
    <w:rsid w:val="00E2583F"/>
    <w:rsid w:val="00E261A9"/>
    <w:rsid w:val="00E2680A"/>
    <w:rsid w:val="00E26A48"/>
    <w:rsid w:val="00E26B1B"/>
    <w:rsid w:val="00E26CA3"/>
    <w:rsid w:val="00E26D70"/>
    <w:rsid w:val="00E27A22"/>
    <w:rsid w:val="00E315C0"/>
    <w:rsid w:val="00E317C3"/>
    <w:rsid w:val="00E3191D"/>
    <w:rsid w:val="00E31B0D"/>
    <w:rsid w:val="00E328B0"/>
    <w:rsid w:val="00E32EEE"/>
    <w:rsid w:val="00E32FA2"/>
    <w:rsid w:val="00E33219"/>
    <w:rsid w:val="00E33567"/>
    <w:rsid w:val="00E33FD1"/>
    <w:rsid w:val="00E344FD"/>
    <w:rsid w:val="00E345BC"/>
    <w:rsid w:val="00E35185"/>
    <w:rsid w:val="00E35D6B"/>
    <w:rsid w:val="00E35F31"/>
    <w:rsid w:val="00E36672"/>
    <w:rsid w:val="00E3670A"/>
    <w:rsid w:val="00E40109"/>
    <w:rsid w:val="00E404B9"/>
    <w:rsid w:val="00E409E0"/>
    <w:rsid w:val="00E40AD7"/>
    <w:rsid w:val="00E4105C"/>
    <w:rsid w:val="00E417C4"/>
    <w:rsid w:val="00E41E0B"/>
    <w:rsid w:val="00E421D8"/>
    <w:rsid w:val="00E4270F"/>
    <w:rsid w:val="00E43454"/>
    <w:rsid w:val="00E43A8D"/>
    <w:rsid w:val="00E447A2"/>
    <w:rsid w:val="00E44D4A"/>
    <w:rsid w:val="00E44DF9"/>
    <w:rsid w:val="00E44E93"/>
    <w:rsid w:val="00E459A3"/>
    <w:rsid w:val="00E45B18"/>
    <w:rsid w:val="00E46E17"/>
    <w:rsid w:val="00E47333"/>
    <w:rsid w:val="00E4796F"/>
    <w:rsid w:val="00E47BB2"/>
    <w:rsid w:val="00E47FA4"/>
    <w:rsid w:val="00E502D3"/>
    <w:rsid w:val="00E51823"/>
    <w:rsid w:val="00E51826"/>
    <w:rsid w:val="00E519C9"/>
    <w:rsid w:val="00E51CDB"/>
    <w:rsid w:val="00E52229"/>
    <w:rsid w:val="00E5299D"/>
    <w:rsid w:val="00E52B77"/>
    <w:rsid w:val="00E52E2D"/>
    <w:rsid w:val="00E52FA0"/>
    <w:rsid w:val="00E53E88"/>
    <w:rsid w:val="00E542A2"/>
    <w:rsid w:val="00E55DB5"/>
    <w:rsid w:val="00E55EE8"/>
    <w:rsid w:val="00E564FF"/>
    <w:rsid w:val="00E5687C"/>
    <w:rsid w:val="00E570D4"/>
    <w:rsid w:val="00E5716D"/>
    <w:rsid w:val="00E57606"/>
    <w:rsid w:val="00E57F99"/>
    <w:rsid w:val="00E60067"/>
    <w:rsid w:val="00E60254"/>
    <w:rsid w:val="00E610D0"/>
    <w:rsid w:val="00E61981"/>
    <w:rsid w:val="00E61B68"/>
    <w:rsid w:val="00E62663"/>
    <w:rsid w:val="00E62A6C"/>
    <w:rsid w:val="00E62C01"/>
    <w:rsid w:val="00E62CFF"/>
    <w:rsid w:val="00E62DC1"/>
    <w:rsid w:val="00E63218"/>
    <w:rsid w:val="00E633F1"/>
    <w:rsid w:val="00E63933"/>
    <w:rsid w:val="00E63E8F"/>
    <w:rsid w:val="00E6400C"/>
    <w:rsid w:val="00E64373"/>
    <w:rsid w:val="00E65922"/>
    <w:rsid w:val="00E65E24"/>
    <w:rsid w:val="00E66978"/>
    <w:rsid w:val="00E67FD2"/>
    <w:rsid w:val="00E701DE"/>
    <w:rsid w:val="00E7047D"/>
    <w:rsid w:val="00E70556"/>
    <w:rsid w:val="00E705B0"/>
    <w:rsid w:val="00E706E9"/>
    <w:rsid w:val="00E70886"/>
    <w:rsid w:val="00E708BC"/>
    <w:rsid w:val="00E70A42"/>
    <w:rsid w:val="00E70E8C"/>
    <w:rsid w:val="00E71894"/>
    <w:rsid w:val="00E718E7"/>
    <w:rsid w:val="00E71C19"/>
    <w:rsid w:val="00E71E13"/>
    <w:rsid w:val="00E7243F"/>
    <w:rsid w:val="00E7299C"/>
    <w:rsid w:val="00E72E52"/>
    <w:rsid w:val="00E72EF7"/>
    <w:rsid w:val="00E73347"/>
    <w:rsid w:val="00E734D3"/>
    <w:rsid w:val="00E73BF3"/>
    <w:rsid w:val="00E73E97"/>
    <w:rsid w:val="00E74688"/>
    <w:rsid w:val="00E74A5C"/>
    <w:rsid w:val="00E75007"/>
    <w:rsid w:val="00E756EE"/>
    <w:rsid w:val="00E76A49"/>
    <w:rsid w:val="00E76CCC"/>
    <w:rsid w:val="00E76D60"/>
    <w:rsid w:val="00E77D7F"/>
    <w:rsid w:val="00E77F79"/>
    <w:rsid w:val="00E77F7F"/>
    <w:rsid w:val="00E81977"/>
    <w:rsid w:val="00E81C30"/>
    <w:rsid w:val="00E81D6A"/>
    <w:rsid w:val="00E81DEC"/>
    <w:rsid w:val="00E82549"/>
    <w:rsid w:val="00E84851"/>
    <w:rsid w:val="00E84A0E"/>
    <w:rsid w:val="00E84D19"/>
    <w:rsid w:val="00E84ED0"/>
    <w:rsid w:val="00E85152"/>
    <w:rsid w:val="00E859AE"/>
    <w:rsid w:val="00E85F8A"/>
    <w:rsid w:val="00E86004"/>
    <w:rsid w:val="00E861A2"/>
    <w:rsid w:val="00E87CF1"/>
    <w:rsid w:val="00E9087B"/>
    <w:rsid w:val="00E90AB1"/>
    <w:rsid w:val="00E90E44"/>
    <w:rsid w:val="00E911A3"/>
    <w:rsid w:val="00E915B3"/>
    <w:rsid w:val="00E91684"/>
    <w:rsid w:val="00E924A0"/>
    <w:rsid w:val="00E924E9"/>
    <w:rsid w:val="00E9281F"/>
    <w:rsid w:val="00E92A1A"/>
    <w:rsid w:val="00E92BDD"/>
    <w:rsid w:val="00E9463C"/>
    <w:rsid w:val="00E947D7"/>
    <w:rsid w:val="00E94832"/>
    <w:rsid w:val="00E94D8D"/>
    <w:rsid w:val="00E95754"/>
    <w:rsid w:val="00E957C2"/>
    <w:rsid w:val="00E96698"/>
    <w:rsid w:val="00E975A3"/>
    <w:rsid w:val="00E97A0D"/>
    <w:rsid w:val="00E97DE0"/>
    <w:rsid w:val="00EA07AD"/>
    <w:rsid w:val="00EA0853"/>
    <w:rsid w:val="00EA1C31"/>
    <w:rsid w:val="00EA1D29"/>
    <w:rsid w:val="00EA20E7"/>
    <w:rsid w:val="00EA2159"/>
    <w:rsid w:val="00EA2749"/>
    <w:rsid w:val="00EA2C5A"/>
    <w:rsid w:val="00EA3133"/>
    <w:rsid w:val="00EA3723"/>
    <w:rsid w:val="00EA4B85"/>
    <w:rsid w:val="00EA4E6D"/>
    <w:rsid w:val="00EA545D"/>
    <w:rsid w:val="00EA5C88"/>
    <w:rsid w:val="00EA647C"/>
    <w:rsid w:val="00EA6914"/>
    <w:rsid w:val="00EA694D"/>
    <w:rsid w:val="00EA6FA0"/>
    <w:rsid w:val="00EA7A4A"/>
    <w:rsid w:val="00EB0A43"/>
    <w:rsid w:val="00EB10DF"/>
    <w:rsid w:val="00EB12AE"/>
    <w:rsid w:val="00EB1C53"/>
    <w:rsid w:val="00EB1CB6"/>
    <w:rsid w:val="00EB1E11"/>
    <w:rsid w:val="00EB20EE"/>
    <w:rsid w:val="00EB2875"/>
    <w:rsid w:val="00EB28E2"/>
    <w:rsid w:val="00EB2AB4"/>
    <w:rsid w:val="00EB35C2"/>
    <w:rsid w:val="00EB4F15"/>
    <w:rsid w:val="00EB51E0"/>
    <w:rsid w:val="00EB521C"/>
    <w:rsid w:val="00EB52D8"/>
    <w:rsid w:val="00EB55CC"/>
    <w:rsid w:val="00EB562B"/>
    <w:rsid w:val="00EB584C"/>
    <w:rsid w:val="00EB58AF"/>
    <w:rsid w:val="00EB5A0C"/>
    <w:rsid w:val="00EB5E08"/>
    <w:rsid w:val="00EB5FC5"/>
    <w:rsid w:val="00EB6208"/>
    <w:rsid w:val="00EB6433"/>
    <w:rsid w:val="00EB6508"/>
    <w:rsid w:val="00EB66C4"/>
    <w:rsid w:val="00EB6DE7"/>
    <w:rsid w:val="00EB6ED9"/>
    <w:rsid w:val="00EB6F9F"/>
    <w:rsid w:val="00EB747B"/>
    <w:rsid w:val="00EB79B4"/>
    <w:rsid w:val="00EC0FA4"/>
    <w:rsid w:val="00EC1060"/>
    <w:rsid w:val="00EC18D5"/>
    <w:rsid w:val="00EC1A01"/>
    <w:rsid w:val="00EC1DF8"/>
    <w:rsid w:val="00EC2DCA"/>
    <w:rsid w:val="00EC36AB"/>
    <w:rsid w:val="00EC396F"/>
    <w:rsid w:val="00EC3B08"/>
    <w:rsid w:val="00EC3EE2"/>
    <w:rsid w:val="00EC3F82"/>
    <w:rsid w:val="00EC436D"/>
    <w:rsid w:val="00EC5B88"/>
    <w:rsid w:val="00EC6383"/>
    <w:rsid w:val="00EC676C"/>
    <w:rsid w:val="00EC6896"/>
    <w:rsid w:val="00EC6B17"/>
    <w:rsid w:val="00EC6B6B"/>
    <w:rsid w:val="00EC6B92"/>
    <w:rsid w:val="00EC7F11"/>
    <w:rsid w:val="00ED085F"/>
    <w:rsid w:val="00ED0CA0"/>
    <w:rsid w:val="00ED162F"/>
    <w:rsid w:val="00ED17C5"/>
    <w:rsid w:val="00ED1978"/>
    <w:rsid w:val="00ED199E"/>
    <w:rsid w:val="00ED27EC"/>
    <w:rsid w:val="00ED3138"/>
    <w:rsid w:val="00ED3316"/>
    <w:rsid w:val="00ED3F9D"/>
    <w:rsid w:val="00ED45D0"/>
    <w:rsid w:val="00ED4A15"/>
    <w:rsid w:val="00ED4A22"/>
    <w:rsid w:val="00ED5514"/>
    <w:rsid w:val="00ED5583"/>
    <w:rsid w:val="00ED58CF"/>
    <w:rsid w:val="00ED5A4F"/>
    <w:rsid w:val="00ED6370"/>
    <w:rsid w:val="00ED7123"/>
    <w:rsid w:val="00ED7C35"/>
    <w:rsid w:val="00ED7DAE"/>
    <w:rsid w:val="00ED7EAE"/>
    <w:rsid w:val="00EE0309"/>
    <w:rsid w:val="00EE09D9"/>
    <w:rsid w:val="00EE0AF1"/>
    <w:rsid w:val="00EE1963"/>
    <w:rsid w:val="00EE1B69"/>
    <w:rsid w:val="00EE1C29"/>
    <w:rsid w:val="00EE2327"/>
    <w:rsid w:val="00EE23ED"/>
    <w:rsid w:val="00EE31D7"/>
    <w:rsid w:val="00EE3532"/>
    <w:rsid w:val="00EE3902"/>
    <w:rsid w:val="00EE3B0A"/>
    <w:rsid w:val="00EE3B77"/>
    <w:rsid w:val="00EE4659"/>
    <w:rsid w:val="00EE4B74"/>
    <w:rsid w:val="00EE4E6D"/>
    <w:rsid w:val="00EE50D0"/>
    <w:rsid w:val="00EE587D"/>
    <w:rsid w:val="00EE6874"/>
    <w:rsid w:val="00EE6F95"/>
    <w:rsid w:val="00EE726F"/>
    <w:rsid w:val="00EF001E"/>
    <w:rsid w:val="00EF041D"/>
    <w:rsid w:val="00EF0833"/>
    <w:rsid w:val="00EF119E"/>
    <w:rsid w:val="00EF1BDB"/>
    <w:rsid w:val="00EF1C7D"/>
    <w:rsid w:val="00EF2219"/>
    <w:rsid w:val="00EF22E3"/>
    <w:rsid w:val="00EF238A"/>
    <w:rsid w:val="00EF2428"/>
    <w:rsid w:val="00EF2A09"/>
    <w:rsid w:val="00EF2BE1"/>
    <w:rsid w:val="00EF39B7"/>
    <w:rsid w:val="00EF3E3C"/>
    <w:rsid w:val="00EF3EDB"/>
    <w:rsid w:val="00EF4057"/>
    <w:rsid w:val="00EF4547"/>
    <w:rsid w:val="00EF4C99"/>
    <w:rsid w:val="00EF4D5F"/>
    <w:rsid w:val="00EF4D9A"/>
    <w:rsid w:val="00EF52A8"/>
    <w:rsid w:val="00EF56AA"/>
    <w:rsid w:val="00EF5931"/>
    <w:rsid w:val="00EF59F1"/>
    <w:rsid w:val="00EF5A42"/>
    <w:rsid w:val="00EF5D2E"/>
    <w:rsid w:val="00EF5F78"/>
    <w:rsid w:val="00EF7403"/>
    <w:rsid w:val="00EF79F4"/>
    <w:rsid w:val="00F003F6"/>
    <w:rsid w:val="00F00E28"/>
    <w:rsid w:val="00F017B5"/>
    <w:rsid w:val="00F02625"/>
    <w:rsid w:val="00F033A3"/>
    <w:rsid w:val="00F03B96"/>
    <w:rsid w:val="00F04015"/>
    <w:rsid w:val="00F043CB"/>
    <w:rsid w:val="00F04794"/>
    <w:rsid w:val="00F04881"/>
    <w:rsid w:val="00F04A15"/>
    <w:rsid w:val="00F051B7"/>
    <w:rsid w:val="00F05345"/>
    <w:rsid w:val="00F05582"/>
    <w:rsid w:val="00F05753"/>
    <w:rsid w:val="00F05798"/>
    <w:rsid w:val="00F058B7"/>
    <w:rsid w:val="00F05C51"/>
    <w:rsid w:val="00F05EBE"/>
    <w:rsid w:val="00F06634"/>
    <w:rsid w:val="00F067FA"/>
    <w:rsid w:val="00F06C69"/>
    <w:rsid w:val="00F06C90"/>
    <w:rsid w:val="00F0747C"/>
    <w:rsid w:val="00F0795B"/>
    <w:rsid w:val="00F1044F"/>
    <w:rsid w:val="00F10974"/>
    <w:rsid w:val="00F10A50"/>
    <w:rsid w:val="00F10B0C"/>
    <w:rsid w:val="00F11458"/>
    <w:rsid w:val="00F120B3"/>
    <w:rsid w:val="00F1211B"/>
    <w:rsid w:val="00F12F3D"/>
    <w:rsid w:val="00F132A5"/>
    <w:rsid w:val="00F13372"/>
    <w:rsid w:val="00F136B8"/>
    <w:rsid w:val="00F138DB"/>
    <w:rsid w:val="00F13A5C"/>
    <w:rsid w:val="00F13FC4"/>
    <w:rsid w:val="00F14006"/>
    <w:rsid w:val="00F14571"/>
    <w:rsid w:val="00F1522D"/>
    <w:rsid w:val="00F159D1"/>
    <w:rsid w:val="00F15CB3"/>
    <w:rsid w:val="00F15E52"/>
    <w:rsid w:val="00F16215"/>
    <w:rsid w:val="00F16CE7"/>
    <w:rsid w:val="00F17A71"/>
    <w:rsid w:val="00F17AD9"/>
    <w:rsid w:val="00F2035C"/>
    <w:rsid w:val="00F209C5"/>
    <w:rsid w:val="00F20CFE"/>
    <w:rsid w:val="00F21537"/>
    <w:rsid w:val="00F229E2"/>
    <w:rsid w:val="00F22C8D"/>
    <w:rsid w:val="00F230C9"/>
    <w:rsid w:val="00F23AC9"/>
    <w:rsid w:val="00F23F5F"/>
    <w:rsid w:val="00F24C73"/>
    <w:rsid w:val="00F25120"/>
    <w:rsid w:val="00F25348"/>
    <w:rsid w:val="00F25804"/>
    <w:rsid w:val="00F260FF"/>
    <w:rsid w:val="00F26CAA"/>
    <w:rsid w:val="00F27682"/>
    <w:rsid w:val="00F27DAA"/>
    <w:rsid w:val="00F3039A"/>
    <w:rsid w:val="00F30846"/>
    <w:rsid w:val="00F3091E"/>
    <w:rsid w:val="00F30980"/>
    <w:rsid w:val="00F311D6"/>
    <w:rsid w:val="00F313A1"/>
    <w:rsid w:val="00F318C4"/>
    <w:rsid w:val="00F31AB9"/>
    <w:rsid w:val="00F31C31"/>
    <w:rsid w:val="00F320A3"/>
    <w:rsid w:val="00F32319"/>
    <w:rsid w:val="00F32819"/>
    <w:rsid w:val="00F32B74"/>
    <w:rsid w:val="00F332EF"/>
    <w:rsid w:val="00F34051"/>
    <w:rsid w:val="00F344F4"/>
    <w:rsid w:val="00F34C54"/>
    <w:rsid w:val="00F36522"/>
    <w:rsid w:val="00F37282"/>
    <w:rsid w:val="00F37985"/>
    <w:rsid w:val="00F400A3"/>
    <w:rsid w:val="00F40E99"/>
    <w:rsid w:val="00F4119D"/>
    <w:rsid w:val="00F412D5"/>
    <w:rsid w:val="00F41BC8"/>
    <w:rsid w:val="00F41DCB"/>
    <w:rsid w:val="00F41E38"/>
    <w:rsid w:val="00F421F0"/>
    <w:rsid w:val="00F4242F"/>
    <w:rsid w:val="00F4266B"/>
    <w:rsid w:val="00F42BBF"/>
    <w:rsid w:val="00F42C3A"/>
    <w:rsid w:val="00F42DDC"/>
    <w:rsid w:val="00F43441"/>
    <w:rsid w:val="00F43DF2"/>
    <w:rsid w:val="00F43F79"/>
    <w:rsid w:val="00F44EDC"/>
    <w:rsid w:val="00F45156"/>
    <w:rsid w:val="00F45AD3"/>
    <w:rsid w:val="00F45EB8"/>
    <w:rsid w:val="00F46186"/>
    <w:rsid w:val="00F463B0"/>
    <w:rsid w:val="00F46758"/>
    <w:rsid w:val="00F503C5"/>
    <w:rsid w:val="00F5075F"/>
    <w:rsid w:val="00F51381"/>
    <w:rsid w:val="00F5145D"/>
    <w:rsid w:val="00F518B7"/>
    <w:rsid w:val="00F520BF"/>
    <w:rsid w:val="00F5230C"/>
    <w:rsid w:val="00F526D4"/>
    <w:rsid w:val="00F53CA2"/>
    <w:rsid w:val="00F54D10"/>
    <w:rsid w:val="00F55557"/>
    <w:rsid w:val="00F5556B"/>
    <w:rsid w:val="00F55709"/>
    <w:rsid w:val="00F5580C"/>
    <w:rsid w:val="00F55865"/>
    <w:rsid w:val="00F55AD0"/>
    <w:rsid w:val="00F55C53"/>
    <w:rsid w:val="00F55CFC"/>
    <w:rsid w:val="00F563AE"/>
    <w:rsid w:val="00F563FE"/>
    <w:rsid w:val="00F568E7"/>
    <w:rsid w:val="00F572AE"/>
    <w:rsid w:val="00F576ED"/>
    <w:rsid w:val="00F57C62"/>
    <w:rsid w:val="00F6033D"/>
    <w:rsid w:val="00F60456"/>
    <w:rsid w:val="00F605D5"/>
    <w:rsid w:val="00F607AD"/>
    <w:rsid w:val="00F60926"/>
    <w:rsid w:val="00F60A3A"/>
    <w:rsid w:val="00F60D19"/>
    <w:rsid w:val="00F60F83"/>
    <w:rsid w:val="00F61421"/>
    <w:rsid w:val="00F61DCE"/>
    <w:rsid w:val="00F61E11"/>
    <w:rsid w:val="00F62B11"/>
    <w:rsid w:val="00F62E07"/>
    <w:rsid w:val="00F63092"/>
    <w:rsid w:val="00F6309B"/>
    <w:rsid w:val="00F63A15"/>
    <w:rsid w:val="00F63D82"/>
    <w:rsid w:val="00F63F6C"/>
    <w:rsid w:val="00F64065"/>
    <w:rsid w:val="00F643FB"/>
    <w:rsid w:val="00F644C6"/>
    <w:rsid w:val="00F657FF"/>
    <w:rsid w:val="00F6692D"/>
    <w:rsid w:val="00F670E6"/>
    <w:rsid w:val="00F67CC8"/>
    <w:rsid w:val="00F70CA8"/>
    <w:rsid w:val="00F71CA3"/>
    <w:rsid w:val="00F7208D"/>
    <w:rsid w:val="00F73284"/>
    <w:rsid w:val="00F73617"/>
    <w:rsid w:val="00F741DA"/>
    <w:rsid w:val="00F745B2"/>
    <w:rsid w:val="00F74C54"/>
    <w:rsid w:val="00F75301"/>
    <w:rsid w:val="00F754D5"/>
    <w:rsid w:val="00F759C0"/>
    <w:rsid w:val="00F75AD3"/>
    <w:rsid w:val="00F75B4D"/>
    <w:rsid w:val="00F76372"/>
    <w:rsid w:val="00F767BD"/>
    <w:rsid w:val="00F76B43"/>
    <w:rsid w:val="00F76CB6"/>
    <w:rsid w:val="00F76D0B"/>
    <w:rsid w:val="00F76EEA"/>
    <w:rsid w:val="00F77240"/>
    <w:rsid w:val="00F773A8"/>
    <w:rsid w:val="00F77523"/>
    <w:rsid w:val="00F776DE"/>
    <w:rsid w:val="00F77A98"/>
    <w:rsid w:val="00F77F86"/>
    <w:rsid w:val="00F8013E"/>
    <w:rsid w:val="00F808C4"/>
    <w:rsid w:val="00F81282"/>
    <w:rsid w:val="00F81E30"/>
    <w:rsid w:val="00F81EA9"/>
    <w:rsid w:val="00F826AB"/>
    <w:rsid w:val="00F82778"/>
    <w:rsid w:val="00F832E4"/>
    <w:rsid w:val="00F84074"/>
    <w:rsid w:val="00F8445D"/>
    <w:rsid w:val="00F84BC9"/>
    <w:rsid w:val="00F84D8F"/>
    <w:rsid w:val="00F84FDF"/>
    <w:rsid w:val="00F85C0D"/>
    <w:rsid w:val="00F85D1D"/>
    <w:rsid w:val="00F85EB1"/>
    <w:rsid w:val="00F86B54"/>
    <w:rsid w:val="00F8749B"/>
    <w:rsid w:val="00F878F5"/>
    <w:rsid w:val="00F87A90"/>
    <w:rsid w:val="00F87B11"/>
    <w:rsid w:val="00F87D94"/>
    <w:rsid w:val="00F90159"/>
    <w:rsid w:val="00F9019B"/>
    <w:rsid w:val="00F909A4"/>
    <w:rsid w:val="00F911FE"/>
    <w:rsid w:val="00F9181E"/>
    <w:rsid w:val="00F92047"/>
    <w:rsid w:val="00F92BBE"/>
    <w:rsid w:val="00F92C52"/>
    <w:rsid w:val="00F93092"/>
    <w:rsid w:val="00F93426"/>
    <w:rsid w:val="00F93453"/>
    <w:rsid w:val="00F93643"/>
    <w:rsid w:val="00F93B28"/>
    <w:rsid w:val="00F93EB2"/>
    <w:rsid w:val="00F93FF4"/>
    <w:rsid w:val="00F9427E"/>
    <w:rsid w:val="00F9428E"/>
    <w:rsid w:val="00F94512"/>
    <w:rsid w:val="00F946A5"/>
    <w:rsid w:val="00F948F2"/>
    <w:rsid w:val="00F95086"/>
    <w:rsid w:val="00F9524A"/>
    <w:rsid w:val="00FA02F1"/>
    <w:rsid w:val="00FA07DA"/>
    <w:rsid w:val="00FA0DF2"/>
    <w:rsid w:val="00FA1ABD"/>
    <w:rsid w:val="00FA34F1"/>
    <w:rsid w:val="00FA365A"/>
    <w:rsid w:val="00FA4127"/>
    <w:rsid w:val="00FA42AD"/>
    <w:rsid w:val="00FA4BD7"/>
    <w:rsid w:val="00FA54ED"/>
    <w:rsid w:val="00FA5672"/>
    <w:rsid w:val="00FA5AA0"/>
    <w:rsid w:val="00FA6409"/>
    <w:rsid w:val="00FA6575"/>
    <w:rsid w:val="00FA6717"/>
    <w:rsid w:val="00FA6A91"/>
    <w:rsid w:val="00FA6E28"/>
    <w:rsid w:val="00FA7455"/>
    <w:rsid w:val="00FA78DD"/>
    <w:rsid w:val="00FA7FFD"/>
    <w:rsid w:val="00FB02CF"/>
    <w:rsid w:val="00FB051A"/>
    <w:rsid w:val="00FB0F01"/>
    <w:rsid w:val="00FB101E"/>
    <w:rsid w:val="00FB12F7"/>
    <w:rsid w:val="00FB157F"/>
    <w:rsid w:val="00FB26BE"/>
    <w:rsid w:val="00FB2EC3"/>
    <w:rsid w:val="00FB2F16"/>
    <w:rsid w:val="00FB3267"/>
    <w:rsid w:val="00FB3470"/>
    <w:rsid w:val="00FB3535"/>
    <w:rsid w:val="00FB39C2"/>
    <w:rsid w:val="00FB4010"/>
    <w:rsid w:val="00FB4395"/>
    <w:rsid w:val="00FB4969"/>
    <w:rsid w:val="00FB4987"/>
    <w:rsid w:val="00FB4FF9"/>
    <w:rsid w:val="00FB554D"/>
    <w:rsid w:val="00FB564B"/>
    <w:rsid w:val="00FB5AFC"/>
    <w:rsid w:val="00FB5E1A"/>
    <w:rsid w:val="00FB60F6"/>
    <w:rsid w:val="00FB6463"/>
    <w:rsid w:val="00FB6529"/>
    <w:rsid w:val="00FB6559"/>
    <w:rsid w:val="00FB65A7"/>
    <w:rsid w:val="00FB7826"/>
    <w:rsid w:val="00FB7C9F"/>
    <w:rsid w:val="00FB7EDC"/>
    <w:rsid w:val="00FC013C"/>
    <w:rsid w:val="00FC0AE3"/>
    <w:rsid w:val="00FC13F5"/>
    <w:rsid w:val="00FC190E"/>
    <w:rsid w:val="00FC1A8B"/>
    <w:rsid w:val="00FC23F6"/>
    <w:rsid w:val="00FC255D"/>
    <w:rsid w:val="00FC2732"/>
    <w:rsid w:val="00FC2CAA"/>
    <w:rsid w:val="00FC2EC2"/>
    <w:rsid w:val="00FC36DE"/>
    <w:rsid w:val="00FC4A3D"/>
    <w:rsid w:val="00FC4A72"/>
    <w:rsid w:val="00FC57BA"/>
    <w:rsid w:val="00FC5B73"/>
    <w:rsid w:val="00FC5E12"/>
    <w:rsid w:val="00FC6D74"/>
    <w:rsid w:val="00FC6F95"/>
    <w:rsid w:val="00FC760A"/>
    <w:rsid w:val="00FC787D"/>
    <w:rsid w:val="00FD055F"/>
    <w:rsid w:val="00FD0A35"/>
    <w:rsid w:val="00FD0B85"/>
    <w:rsid w:val="00FD111A"/>
    <w:rsid w:val="00FD12EC"/>
    <w:rsid w:val="00FD16B7"/>
    <w:rsid w:val="00FD1BF0"/>
    <w:rsid w:val="00FD1E1C"/>
    <w:rsid w:val="00FD2317"/>
    <w:rsid w:val="00FD2724"/>
    <w:rsid w:val="00FD27FB"/>
    <w:rsid w:val="00FD2F98"/>
    <w:rsid w:val="00FD3959"/>
    <w:rsid w:val="00FD3A06"/>
    <w:rsid w:val="00FD3A85"/>
    <w:rsid w:val="00FD4115"/>
    <w:rsid w:val="00FD4E0F"/>
    <w:rsid w:val="00FD5261"/>
    <w:rsid w:val="00FD52A7"/>
    <w:rsid w:val="00FD5CB9"/>
    <w:rsid w:val="00FD60A2"/>
    <w:rsid w:val="00FD60F0"/>
    <w:rsid w:val="00FD61F8"/>
    <w:rsid w:val="00FD62DF"/>
    <w:rsid w:val="00FD6BDB"/>
    <w:rsid w:val="00FD7491"/>
    <w:rsid w:val="00FD7A7D"/>
    <w:rsid w:val="00FD7D9A"/>
    <w:rsid w:val="00FE038C"/>
    <w:rsid w:val="00FE0816"/>
    <w:rsid w:val="00FE0969"/>
    <w:rsid w:val="00FE0D85"/>
    <w:rsid w:val="00FE1146"/>
    <w:rsid w:val="00FE16EF"/>
    <w:rsid w:val="00FE1F63"/>
    <w:rsid w:val="00FE230F"/>
    <w:rsid w:val="00FE255F"/>
    <w:rsid w:val="00FE31D9"/>
    <w:rsid w:val="00FE3551"/>
    <w:rsid w:val="00FE3AB2"/>
    <w:rsid w:val="00FE42E7"/>
    <w:rsid w:val="00FE457D"/>
    <w:rsid w:val="00FE468F"/>
    <w:rsid w:val="00FE46E6"/>
    <w:rsid w:val="00FE4718"/>
    <w:rsid w:val="00FE4BDE"/>
    <w:rsid w:val="00FE50A7"/>
    <w:rsid w:val="00FE50C9"/>
    <w:rsid w:val="00FE5E27"/>
    <w:rsid w:val="00FE5EB6"/>
    <w:rsid w:val="00FE6010"/>
    <w:rsid w:val="00FE6C4A"/>
    <w:rsid w:val="00FE7367"/>
    <w:rsid w:val="00FE7E26"/>
    <w:rsid w:val="00FF040D"/>
    <w:rsid w:val="00FF07B9"/>
    <w:rsid w:val="00FF17BD"/>
    <w:rsid w:val="00FF1D9B"/>
    <w:rsid w:val="00FF1DC4"/>
    <w:rsid w:val="00FF2222"/>
    <w:rsid w:val="00FF2AD8"/>
    <w:rsid w:val="00FF2E20"/>
    <w:rsid w:val="00FF3531"/>
    <w:rsid w:val="00FF40A2"/>
    <w:rsid w:val="00FF44E3"/>
    <w:rsid w:val="00FF45D6"/>
    <w:rsid w:val="00FF46A2"/>
    <w:rsid w:val="00FF4703"/>
    <w:rsid w:val="00FF49B9"/>
    <w:rsid w:val="00FF556D"/>
    <w:rsid w:val="00FF5BDD"/>
    <w:rsid w:val="00FF5D51"/>
    <w:rsid w:val="00FF5E92"/>
    <w:rsid w:val="00FF64E4"/>
    <w:rsid w:val="00FF6DA6"/>
    <w:rsid w:val="00FF733C"/>
    <w:rsid w:val="00FF74FE"/>
    <w:rsid w:val="00FF7741"/>
    <w:rsid w:val="61196AE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7E7C30"/>
  <w15:docId w15:val="{6607B061-8F38-40A9-BF77-4604900B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92C"/>
    <w:pPr>
      <w:spacing w:before="120" w:after="120" w:line="240" w:lineRule="auto"/>
    </w:pPr>
  </w:style>
  <w:style w:type="paragraph" w:styleId="Heading1">
    <w:name w:val="heading 1"/>
    <w:basedOn w:val="Normal"/>
    <w:next w:val="Normal"/>
    <w:link w:val="Heading1Char"/>
    <w:uiPriority w:val="9"/>
    <w:qFormat/>
    <w:rsid w:val="00EB6508"/>
    <w:pPr>
      <w:keepNext/>
      <w:keepLines/>
      <w:numPr>
        <w:numId w:val="1"/>
      </w:numPr>
      <w:spacing w:before="240" w:after="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644D"/>
    <w:pPr>
      <w:keepNext/>
      <w:keepLines/>
      <w:numPr>
        <w:ilvl w:val="1"/>
        <w:numId w:val="5"/>
      </w:numPr>
      <w:spacing w:before="240" w:after="20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A77A9D"/>
    <w:pPr>
      <w:keepNext/>
      <w:keepLines/>
      <w:numPr>
        <w:ilvl w:val="2"/>
        <w:numId w:val="7"/>
      </w:numPr>
      <w:spacing w:before="200" w:after="200"/>
      <w:outlineLvl w:val="2"/>
    </w:pPr>
    <w:rPr>
      <w:rFonts w:ascii="Calibri" w:eastAsiaTheme="majorEastAsia" w:hAnsi="Calibri" w:cstheme="majorBidi"/>
      <w:color w:val="1F4E79" w:themeColor="accent1" w:themeShade="80"/>
      <w:szCs w:val="24"/>
    </w:rPr>
  </w:style>
  <w:style w:type="paragraph" w:styleId="Heading4">
    <w:name w:val="heading 4"/>
    <w:basedOn w:val="Normal"/>
    <w:next w:val="Normal"/>
    <w:link w:val="Heading4Char"/>
    <w:uiPriority w:val="9"/>
    <w:unhideWhenUsed/>
    <w:qFormat/>
    <w:rsid w:val="00A67BFE"/>
    <w:pPr>
      <w:keepNext/>
      <w:keepLines/>
      <w:spacing w:before="0" w:after="20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A7C12"/>
    <w:pPr>
      <w:keepNext/>
      <w:keepLines/>
      <w:spacing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6682"/>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E668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E668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668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50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E644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77A9D"/>
    <w:rPr>
      <w:rFonts w:ascii="Calibri" w:eastAsiaTheme="majorEastAsia" w:hAnsi="Calibri" w:cstheme="majorBidi"/>
      <w:color w:val="1F4E79" w:themeColor="accent1" w:themeShade="80"/>
      <w:szCs w:val="24"/>
    </w:rPr>
  </w:style>
  <w:style w:type="character" w:customStyle="1" w:styleId="Heading4Char">
    <w:name w:val="Heading 4 Char"/>
    <w:basedOn w:val="DefaultParagraphFont"/>
    <w:link w:val="Heading4"/>
    <w:uiPriority w:val="9"/>
    <w:rsid w:val="00A67BF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A7C1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668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E668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E66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668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5B3B2D"/>
    <w:pPr>
      <w:ind w:left="720"/>
      <w:contextualSpacing/>
    </w:pPr>
  </w:style>
  <w:style w:type="character" w:customStyle="1" w:styleId="ListParagraphChar">
    <w:name w:val="List Paragraph Char"/>
    <w:link w:val="ListParagraph"/>
    <w:uiPriority w:val="34"/>
    <w:locked/>
    <w:rsid w:val="00DB0E7C"/>
  </w:style>
  <w:style w:type="character" w:styleId="CommentReference">
    <w:name w:val="annotation reference"/>
    <w:basedOn w:val="DefaultParagraphFont"/>
    <w:uiPriority w:val="99"/>
    <w:semiHidden/>
    <w:unhideWhenUsed/>
    <w:rsid w:val="003A197C"/>
    <w:rPr>
      <w:sz w:val="16"/>
      <w:szCs w:val="16"/>
    </w:rPr>
  </w:style>
  <w:style w:type="paragraph" w:styleId="CommentText">
    <w:name w:val="annotation text"/>
    <w:basedOn w:val="Normal"/>
    <w:link w:val="CommentTextChar"/>
    <w:uiPriority w:val="99"/>
    <w:unhideWhenUsed/>
    <w:rsid w:val="003A197C"/>
    <w:rPr>
      <w:sz w:val="20"/>
      <w:szCs w:val="20"/>
    </w:rPr>
  </w:style>
  <w:style w:type="character" w:customStyle="1" w:styleId="CommentTextChar">
    <w:name w:val="Comment Text Char"/>
    <w:basedOn w:val="DefaultParagraphFont"/>
    <w:link w:val="CommentText"/>
    <w:uiPriority w:val="99"/>
    <w:rsid w:val="003A197C"/>
    <w:rPr>
      <w:sz w:val="20"/>
      <w:szCs w:val="20"/>
    </w:rPr>
  </w:style>
  <w:style w:type="paragraph" w:styleId="CommentSubject">
    <w:name w:val="annotation subject"/>
    <w:basedOn w:val="CommentText"/>
    <w:next w:val="CommentText"/>
    <w:link w:val="CommentSubjectChar"/>
    <w:uiPriority w:val="99"/>
    <w:semiHidden/>
    <w:unhideWhenUsed/>
    <w:rsid w:val="003A197C"/>
    <w:rPr>
      <w:b/>
      <w:bCs/>
    </w:rPr>
  </w:style>
  <w:style w:type="character" w:customStyle="1" w:styleId="CommentSubjectChar">
    <w:name w:val="Comment Subject Char"/>
    <w:basedOn w:val="CommentTextChar"/>
    <w:link w:val="CommentSubject"/>
    <w:uiPriority w:val="99"/>
    <w:semiHidden/>
    <w:rsid w:val="003A197C"/>
    <w:rPr>
      <w:b/>
      <w:bCs/>
      <w:sz w:val="20"/>
      <w:szCs w:val="20"/>
    </w:rPr>
  </w:style>
  <w:style w:type="paragraph" w:styleId="BalloonText">
    <w:name w:val="Balloon Text"/>
    <w:basedOn w:val="Normal"/>
    <w:link w:val="BalloonTextChar"/>
    <w:uiPriority w:val="99"/>
    <w:semiHidden/>
    <w:unhideWhenUsed/>
    <w:rsid w:val="003A197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97C"/>
    <w:rPr>
      <w:rFonts w:ascii="Segoe UI" w:hAnsi="Segoe UI" w:cs="Segoe UI"/>
      <w:sz w:val="18"/>
      <w:szCs w:val="18"/>
    </w:rPr>
  </w:style>
  <w:style w:type="paragraph" w:customStyle="1" w:styleId="EndNoteBibliographyTitle">
    <w:name w:val="EndNote Bibliography Title"/>
    <w:basedOn w:val="Normal"/>
    <w:link w:val="EndNoteBibliographyTitleChar"/>
    <w:rsid w:val="00133B7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33B70"/>
    <w:rPr>
      <w:rFonts w:ascii="Calibri" w:hAnsi="Calibri"/>
      <w:noProof/>
      <w:lang w:val="en-US"/>
    </w:rPr>
  </w:style>
  <w:style w:type="paragraph" w:customStyle="1" w:styleId="EndNoteBibliography">
    <w:name w:val="EndNote Bibliography"/>
    <w:basedOn w:val="Normal"/>
    <w:link w:val="EndNoteBibliographyChar"/>
    <w:rsid w:val="00133B70"/>
    <w:rPr>
      <w:rFonts w:ascii="Calibri" w:hAnsi="Calibri"/>
      <w:noProof/>
      <w:lang w:val="en-US"/>
    </w:rPr>
  </w:style>
  <w:style w:type="character" w:customStyle="1" w:styleId="EndNoteBibliographyChar">
    <w:name w:val="EndNote Bibliography Char"/>
    <w:basedOn w:val="DefaultParagraphFont"/>
    <w:link w:val="EndNoteBibliography"/>
    <w:rsid w:val="00133B70"/>
    <w:rPr>
      <w:rFonts w:ascii="Calibri" w:hAnsi="Calibri"/>
      <w:noProof/>
      <w:lang w:val="en-US"/>
    </w:rPr>
  </w:style>
  <w:style w:type="paragraph" w:styleId="Caption">
    <w:name w:val="caption"/>
    <w:basedOn w:val="Normal"/>
    <w:next w:val="Normal"/>
    <w:link w:val="CaptionChar"/>
    <w:autoRedefine/>
    <w:uiPriority w:val="35"/>
    <w:unhideWhenUsed/>
    <w:qFormat/>
    <w:rsid w:val="005C49F6"/>
    <w:pPr>
      <w:spacing w:after="200"/>
      <w:ind w:right="113"/>
    </w:pPr>
    <w:rPr>
      <w:i/>
      <w:color w:val="44546A" w:themeColor="text2"/>
      <w:sz w:val="18"/>
      <w:szCs w:val="18"/>
    </w:rPr>
  </w:style>
  <w:style w:type="character" w:customStyle="1" w:styleId="CaptionChar">
    <w:name w:val="Caption Char"/>
    <w:basedOn w:val="DefaultParagraphFont"/>
    <w:link w:val="Caption"/>
    <w:uiPriority w:val="35"/>
    <w:locked/>
    <w:rsid w:val="005C49F6"/>
    <w:rPr>
      <w:i/>
      <w:color w:val="44546A" w:themeColor="text2"/>
      <w:sz w:val="18"/>
      <w:szCs w:val="18"/>
    </w:rPr>
  </w:style>
  <w:style w:type="paragraph" w:styleId="FootnoteText">
    <w:name w:val="footnote text"/>
    <w:basedOn w:val="Normal"/>
    <w:link w:val="FootnoteTextChar"/>
    <w:uiPriority w:val="99"/>
    <w:unhideWhenUsed/>
    <w:rsid w:val="00A4313A"/>
    <w:pPr>
      <w:spacing w:after="0"/>
    </w:pPr>
    <w:rPr>
      <w:sz w:val="20"/>
      <w:szCs w:val="20"/>
    </w:rPr>
  </w:style>
  <w:style w:type="character" w:customStyle="1" w:styleId="FootnoteTextChar">
    <w:name w:val="Footnote Text Char"/>
    <w:basedOn w:val="DefaultParagraphFont"/>
    <w:link w:val="FootnoteText"/>
    <w:uiPriority w:val="99"/>
    <w:rsid w:val="00A4313A"/>
    <w:rPr>
      <w:sz w:val="20"/>
      <w:szCs w:val="20"/>
    </w:rPr>
  </w:style>
  <w:style w:type="character" w:styleId="FootnoteReference">
    <w:name w:val="footnote reference"/>
    <w:aliases w:val="16 Point,Superscript 6 Point"/>
    <w:basedOn w:val="DefaultParagraphFont"/>
    <w:uiPriority w:val="99"/>
    <w:unhideWhenUsed/>
    <w:rsid w:val="00A4313A"/>
    <w:rPr>
      <w:vertAlign w:val="superscript"/>
    </w:rPr>
  </w:style>
  <w:style w:type="paragraph" w:styleId="TOCHeading">
    <w:name w:val="TOC Heading"/>
    <w:basedOn w:val="Heading1"/>
    <w:next w:val="Normal"/>
    <w:uiPriority w:val="39"/>
    <w:unhideWhenUsed/>
    <w:qFormat/>
    <w:rsid w:val="00960E0C"/>
    <w:pPr>
      <w:outlineLvl w:val="9"/>
    </w:pPr>
    <w:rPr>
      <w:lang w:val="en-US"/>
    </w:rPr>
  </w:style>
  <w:style w:type="paragraph" w:styleId="TOC1">
    <w:name w:val="toc 1"/>
    <w:basedOn w:val="Normal"/>
    <w:next w:val="Normal"/>
    <w:autoRedefine/>
    <w:uiPriority w:val="39"/>
    <w:unhideWhenUsed/>
    <w:rsid w:val="00960E0C"/>
    <w:rPr>
      <w:b/>
      <w:bCs/>
      <w:caps/>
      <w:sz w:val="20"/>
      <w:szCs w:val="20"/>
    </w:rPr>
  </w:style>
  <w:style w:type="paragraph" w:styleId="TOC2">
    <w:name w:val="toc 2"/>
    <w:basedOn w:val="Normal"/>
    <w:next w:val="Normal"/>
    <w:autoRedefine/>
    <w:uiPriority w:val="39"/>
    <w:unhideWhenUsed/>
    <w:rsid w:val="00960E0C"/>
    <w:pPr>
      <w:spacing w:before="0" w:after="0"/>
      <w:ind w:left="220"/>
    </w:pPr>
    <w:rPr>
      <w:smallCaps/>
      <w:sz w:val="20"/>
      <w:szCs w:val="20"/>
    </w:rPr>
  </w:style>
  <w:style w:type="paragraph" w:styleId="TOC3">
    <w:name w:val="toc 3"/>
    <w:basedOn w:val="Normal"/>
    <w:next w:val="Normal"/>
    <w:autoRedefine/>
    <w:uiPriority w:val="39"/>
    <w:unhideWhenUsed/>
    <w:rsid w:val="00960E0C"/>
    <w:pPr>
      <w:spacing w:before="0" w:after="0"/>
      <w:ind w:left="440"/>
    </w:pPr>
    <w:rPr>
      <w:i/>
      <w:iCs/>
      <w:sz w:val="20"/>
      <w:szCs w:val="20"/>
    </w:rPr>
  </w:style>
  <w:style w:type="character" w:styleId="Hyperlink">
    <w:name w:val="Hyperlink"/>
    <w:basedOn w:val="DefaultParagraphFont"/>
    <w:uiPriority w:val="99"/>
    <w:unhideWhenUsed/>
    <w:rsid w:val="00960E0C"/>
    <w:rPr>
      <w:color w:val="0563C1" w:themeColor="hyperlink"/>
      <w:u w:val="single"/>
    </w:rPr>
  </w:style>
  <w:style w:type="table" w:styleId="TableGrid">
    <w:name w:val="Table Grid"/>
    <w:basedOn w:val="TableNormal"/>
    <w:uiPriority w:val="39"/>
    <w:rsid w:val="00935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RAGDocHeading">
    <w:name w:val="MRAG Doc Heading"/>
    <w:basedOn w:val="Normal"/>
    <w:qFormat/>
    <w:rsid w:val="00B34420"/>
    <w:pPr>
      <w:spacing w:before="0" w:after="0"/>
      <w:jc w:val="right"/>
    </w:pPr>
    <w:rPr>
      <w:rFonts w:ascii="Arial" w:eastAsia="Calibri" w:hAnsi="Arial" w:cs="Times New Roman"/>
      <w:b/>
      <w:color w:val="F2F2F2"/>
      <w:sz w:val="36"/>
    </w:rPr>
  </w:style>
  <w:style w:type="paragraph" w:customStyle="1" w:styleId="MRAGDocCoverOther">
    <w:name w:val="MRAG Doc Cover Other"/>
    <w:basedOn w:val="Normal"/>
    <w:rsid w:val="00B34420"/>
    <w:pPr>
      <w:spacing w:before="0"/>
      <w:jc w:val="right"/>
    </w:pPr>
    <w:rPr>
      <w:rFonts w:ascii="Arial" w:eastAsia="Calibri" w:hAnsi="Arial" w:cs="Times New Roman"/>
      <w:color w:val="F2F2F2"/>
      <w:sz w:val="24"/>
    </w:rPr>
  </w:style>
  <w:style w:type="character" w:customStyle="1" w:styleId="IDDVariableMarker">
    <w:name w:val="IDDVariableMarker"/>
    <w:rsid w:val="00B34420"/>
    <w:rPr>
      <w:b/>
    </w:rPr>
  </w:style>
  <w:style w:type="paragraph" w:customStyle="1" w:styleId="About">
    <w:name w:val="About"/>
    <w:basedOn w:val="Normal"/>
    <w:qFormat/>
    <w:rsid w:val="00B34420"/>
    <w:pPr>
      <w:pBdr>
        <w:top w:val="single" w:sz="4" w:space="1" w:color="auto"/>
        <w:left w:val="single" w:sz="4" w:space="1" w:color="auto"/>
        <w:bottom w:val="single" w:sz="4" w:space="1" w:color="auto"/>
        <w:right w:val="single" w:sz="4" w:space="1" w:color="auto"/>
      </w:pBdr>
      <w:spacing w:line="276" w:lineRule="auto"/>
    </w:pPr>
    <w:rPr>
      <w:rFonts w:ascii="Arial Narrow" w:eastAsia="Calibri" w:hAnsi="Arial Narrow" w:cs="Times New Roman"/>
      <w:b/>
      <w:color w:val="0054A4"/>
      <w:sz w:val="26"/>
      <w:szCs w:val="26"/>
    </w:rPr>
  </w:style>
  <w:style w:type="paragraph" w:styleId="Header">
    <w:name w:val="header"/>
    <w:basedOn w:val="Normal"/>
    <w:link w:val="HeaderChar"/>
    <w:uiPriority w:val="99"/>
    <w:unhideWhenUsed/>
    <w:rsid w:val="00B34420"/>
    <w:pPr>
      <w:tabs>
        <w:tab w:val="center" w:pos="4513"/>
        <w:tab w:val="right" w:pos="9026"/>
      </w:tabs>
      <w:spacing w:before="0" w:after="0"/>
    </w:pPr>
  </w:style>
  <w:style w:type="character" w:customStyle="1" w:styleId="HeaderChar">
    <w:name w:val="Header Char"/>
    <w:basedOn w:val="DefaultParagraphFont"/>
    <w:link w:val="Header"/>
    <w:uiPriority w:val="99"/>
    <w:rsid w:val="00B34420"/>
  </w:style>
  <w:style w:type="paragraph" w:styleId="Footer">
    <w:name w:val="footer"/>
    <w:basedOn w:val="Normal"/>
    <w:link w:val="FooterChar"/>
    <w:uiPriority w:val="99"/>
    <w:unhideWhenUsed/>
    <w:rsid w:val="00B34420"/>
    <w:pPr>
      <w:tabs>
        <w:tab w:val="center" w:pos="4513"/>
        <w:tab w:val="right" w:pos="9026"/>
      </w:tabs>
      <w:spacing w:before="0" w:after="0"/>
    </w:pPr>
  </w:style>
  <w:style w:type="character" w:customStyle="1" w:styleId="FooterChar">
    <w:name w:val="Footer Char"/>
    <w:basedOn w:val="DefaultParagraphFont"/>
    <w:link w:val="Footer"/>
    <w:uiPriority w:val="99"/>
    <w:rsid w:val="00B34420"/>
  </w:style>
  <w:style w:type="paragraph" w:styleId="NormalWeb">
    <w:name w:val="Normal (Web)"/>
    <w:basedOn w:val="Normal"/>
    <w:uiPriority w:val="99"/>
    <w:unhideWhenUsed/>
    <w:rsid w:val="00372584"/>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372584"/>
  </w:style>
  <w:style w:type="paragraph" w:customStyle="1" w:styleId="Default">
    <w:name w:val="Default"/>
    <w:rsid w:val="00B305B4"/>
    <w:pPr>
      <w:autoSpaceDE w:val="0"/>
      <w:autoSpaceDN w:val="0"/>
      <w:adjustRightInd w:val="0"/>
      <w:spacing w:after="0" w:line="240" w:lineRule="auto"/>
    </w:pPr>
    <w:rPr>
      <w:rFonts w:ascii="Calibri" w:hAnsi="Calibri" w:cs="Calibri"/>
      <w:color w:val="000000"/>
      <w:sz w:val="24"/>
      <w:szCs w:val="24"/>
    </w:rPr>
  </w:style>
  <w:style w:type="character" w:customStyle="1" w:styleId="hvr">
    <w:name w:val="hvr"/>
    <w:basedOn w:val="DefaultParagraphFont"/>
    <w:rsid w:val="0092692C"/>
  </w:style>
  <w:style w:type="character" w:styleId="IntenseEmphasis">
    <w:name w:val="Intense Emphasis"/>
    <w:basedOn w:val="DefaultParagraphFont"/>
    <w:uiPriority w:val="21"/>
    <w:qFormat/>
    <w:rsid w:val="00750958"/>
    <w:rPr>
      <w:b/>
      <w:bCs/>
      <w:i/>
      <w:iCs/>
      <w:color w:val="5B9BD5" w:themeColor="accent1"/>
    </w:rPr>
  </w:style>
  <w:style w:type="paragraph" w:styleId="Subtitle">
    <w:name w:val="Subtitle"/>
    <w:basedOn w:val="Normal"/>
    <w:next w:val="Normal"/>
    <w:link w:val="SubtitleChar"/>
    <w:uiPriority w:val="11"/>
    <w:qFormat/>
    <w:rsid w:val="00F42BB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F42BBF"/>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C55BA7"/>
    <w:pPr>
      <w:spacing w:after="0" w:line="240" w:lineRule="auto"/>
    </w:pPr>
  </w:style>
  <w:style w:type="character" w:styleId="Strong">
    <w:name w:val="Strong"/>
    <w:basedOn w:val="DefaultParagraphFont"/>
    <w:uiPriority w:val="22"/>
    <w:qFormat/>
    <w:rsid w:val="00C55BA7"/>
    <w:rPr>
      <w:b/>
      <w:bCs/>
    </w:rPr>
  </w:style>
  <w:style w:type="paragraph" w:styleId="TableofFigures">
    <w:name w:val="table of figures"/>
    <w:basedOn w:val="Normal"/>
    <w:next w:val="Normal"/>
    <w:uiPriority w:val="99"/>
    <w:unhideWhenUsed/>
    <w:rsid w:val="003D2931"/>
    <w:pPr>
      <w:spacing w:before="0" w:after="0"/>
      <w:ind w:left="440" w:hanging="440"/>
    </w:pPr>
    <w:rPr>
      <w:smallCaps/>
      <w:sz w:val="20"/>
      <w:szCs w:val="20"/>
    </w:rPr>
  </w:style>
  <w:style w:type="paragraph" w:styleId="TOC4">
    <w:name w:val="toc 4"/>
    <w:basedOn w:val="Normal"/>
    <w:next w:val="Normal"/>
    <w:autoRedefine/>
    <w:uiPriority w:val="39"/>
    <w:unhideWhenUsed/>
    <w:rsid w:val="00B643BA"/>
    <w:pPr>
      <w:spacing w:before="0" w:after="0"/>
      <w:ind w:left="660"/>
    </w:pPr>
    <w:rPr>
      <w:sz w:val="18"/>
      <w:szCs w:val="18"/>
    </w:rPr>
  </w:style>
  <w:style w:type="paragraph" w:styleId="TOC5">
    <w:name w:val="toc 5"/>
    <w:basedOn w:val="Normal"/>
    <w:next w:val="Normal"/>
    <w:autoRedefine/>
    <w:uiPriority w:val="39"/>
    <w:unhideWhenUsed/>
    <w:rsid w:val="00B643BA"/>
    <w:pPr>
      <w:spacing w:before="0" w:after="0"/>
      <w:ind w:left="880"/>
    </w:pPr>
    <w:rPr>
      <w:sz w:val="18"/>
      <w:szCs w:val="18"/>
    </w:rPr>
  </w:style>
  <w:style w:type="paragraph" w:styleId="TOC6">
    <w:name w:val="toc 6"/>
    <w:basedOn w:val="Normal"/>
    <w:next w:val="Normal"/>
    <w:autoRedefine/>
    <w:uiPriority w:val="39"/>
    <w:unhideWhenUsed/>
    <w:rsid w:val="00B643BA"/>
    <w:pPr>
      <w:spacing w:before="0" w:after="0"/>
      <w:ind w:left="1100"/>
    </w:pPr>
    <w:rPr>
      <w:sz w:val="18"/>
      <w:szCs w:val="18"/>
    </w:rPr>
  </w:style>
  <w:style w:type="paragraph" w:styleId="TOC7">
    <w:name w:val="toc 7"/>
    <w:basedOn w:val="Normal"/>
    <w:next w:val="Normal"/>
    <w:autoRedefine/>
    <w:uiPriority w:val="39"/>
    <w:unhideWhenUsed/>
    <w:rsid w:val="00B643BA"/>
    <w:pPr>
      <w:spacing w:before="0" w:after="0"/>
      <w:ind w:left="1320"/>
    </w:pPr>
    <w:rPr>
      <w:sz w:val="18"/>
      <w:szCs w:val="18"/>
    </w:rPr>
  </w:style>
  <w:style w:type="paragraph" w:styleId="TOC8">
    <w:name w:val="toc 8"/>
    <w:basedOn w:val="Normal"/>
    <w:next w:val="Normal"/>
    <w:autoRedefine/>
    <w:uiPriority w:val="39"/>
    <w:unhideWhenUsed/>
    <w:rsid w:val="00B643BA"/>
    <w:pPr>
      <w:spacing w:before="0" w:after="0"/>
      <w:ind w:left="1540"/>
    </w:pPr>
    <w:rPr>
      <w:sz w:val="18"/>
      <w:szCs w:val="18"/>
    </w:rPr>
  </w:style>
  <w:style w:type="paragraph" w:styleId="TOC9">
    <w:name w:val="toc 9"/>
    <w:basedOn w:val="Normal"/>
    <w:next w:val="Normal"/>
    <w:autoRedefine/>
    <w:uiPriority w:val="39"/>
    <w:unhideWhenUsed/>
    <w:rsid w:val="00B643BA"/>
    <w:pPr>
      <w:spacing w:before="0" w:after="0"/>
      <w:ind w:left="1760"/>
    </w:pPr>
    <w:rPr>
      <w:sz w:val="18"/>
      <w:szCs w:val="18"/>
    </w:rPr>
  </w:style>
  <w:style w:type="character" w:styleId="IntenseReference">
    <w:name w:val="Intense Reference"/>
    <w:basedOn w:val="DefaultParagraphFont"/>
    <w:uiPriority w:val="32"/>
    <w:qFormat/>
    <w:rsid w:val="004B0018"/>
    <w:rPr>
      <w:b/>
      <w:bCs/>
      <w:smallCaps/>
      <w:color w:val="5B9BD5" w:themeColor="accent1"/>
      <w:spacing w:val="5"/>
    </w:rPr>
  </w:style>
  <w:style w:type="table" w:customStyle="1" w:styleId="GridTable4-Accent51">
    <w:name w:val="Grid Table 4 - Accent 51"/>
    <w:basedOn w:val="TableNormal"/>
    <w:uiPriority w:val="49"/>
    <w:rsid w:val="00DB1C82"/>
    <w:pPr>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EF5A42"/>
    <w:pPr>
      <w:spacing w:after="0" w:line="240" w:lineRule="auto"/>
    </w:pPr>
  </w:style>
  <w:style w:type="character" w:customStyle="1" w:styleId="UnresolvedMention1">
    <w:name w:val="Unresolved Mention1"/>
    <w:basedOn w:val="DefaultParagraphFont"/>
    <w:uiPriority w:val="99"/>
    <w:semiHidden/>
    <w:unhideWhenUsed/>
    <w:rsid w:val="00DC1202"/>
    <w:rPr>
      <w:color w:val="808080"/>
      <w:shd w:val="clear" w:color="auto" w:fill="E6E6E6"/>
    </w:rPr>
  </w:style>
  <w:style w:type="character" w:styleId="FollowedHyperlink">
    <w:name w:val="FollowedHyperlink"/>
    <w:basedOn w:val="DefaultParagraphFont"/>
    <w:uiPriority w:val="99"/>
    <w:semiHidden/>
    <w:unhideWhenUsed/>
    <w:rsid w:val="00585101"/>
    <w:rPr>
      <w:color w:val="954F72" w:themeColor="followedHyperlink"/>
      <w:u w:val="single"/>
    </w:rPr>
  </w:style>
  <w:style w:type="character" w:styleId="Emphasis">
    <w:name w:val="Emphasis"/>
    <w:basedOn w:val="DefaultParagraphFont"/>
    <w:uiPriority w:val="20"/>
    <w:qFormat/>
    <w:rsid w:val="00DB0E7C"/>
    <w:rPr>
      <w:i/>
      <w:iCs/>
    </w:rPr>
  </w:style>
  <w:style w:type="character" w:customStyle="1" w:styleId="Preparersnotenobold">
    <w:name w:val="Preparer's note (no bold)"/>
    <w:rsid w:val="00594908"/>
    <w:rPr>
      <w:i/>
    </w:rPr>
  </w:style>
  <w:style w:type="paragraph" w:styleId="Title">
    <w:name w:val="Title"/>
    <w:basedOn w:val="Normal"/>
    <w:next w:val="Normal"/>
    <w:link w:val="TitleChar"/>
    <w:uiPriority w:val="10"/>
    <w:qFormat/>
    <w:rsid w:val="00603CC2"/>
    <w:pPr>
      <w:spacing w:before="0" w:after="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603CC2"/>
    <w:rPr>
      <w:rFonts w:asciiTheme="majorHAnsi" w:eastAsiaTheme="majorEastAsia" w:hAnsiTheme="majorHAnsi" w:cstheme="majorBidi"/>
      <w:spacing w:val="-10"/>
      <w:kern w:val="28"/>
      <w:sz w:val="56"/>
      <w:szCs w:val="56"/>
      <w:lang w:val="en-GB"/>
    </w:rPr>
  </w:style>
  <w:style w:type="paragraph" w:customStyle="1" w:styleId="msonormal0">
    <w:name w:val="msonormal"/>
    <w:basedOn w:val="Normal"/>
    <w:uiPriority w:val="99"/>
    <w:semiHidden/>
    <w:rsid w:val="003B37C0"/>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ydp6a5bb8bemsonormal">
    <w:name w:val="ydp6a5bb8bemsonormal"/>
    <w:basedOn w:val="Normal"/>
    <w:rsid w:val="003B37C0"/>
    <w:pPr>
      <w:spacing w:before="100" w:beforeAutospacing="1" w:after="100" w:afterAutospacing="1"/>
    </w:pPr>
    <w:rPr>
      <w:rFonts w:ascii="Times New Roman" w:eastAsia="Times New Roman" w:hAnsi="Times New Roman" w:cs="Times New Roman"/>
      <w:sz w:val="24"/>
      <w:szCs w:val="24"/>
      <w:lang w:val="en-US"/>
    </w:rPr>
  </w:style>
  <w:style w:type="paragraph" w:customStyle="1" w:styleId="yiv9468137775ydpef8f7c83yiv8354969507ydpcc648037yiv5820371427msolistparagraph">
    <w:name w:val="yiv9468137775ydpef8f7c83yiv8354969507ydpcc648037yiv5820371427msolistparagraph"/>
    <w:basedOn w:val="Normal"/>
    <w:uiPriority w:val="99"/>
    <w:semiHidden/>
    <w:rsid w:val="003B37C0"/>
    <w:pPr>
      <w:spacing w:before="100" w:beforeAutospacing="1" w:after="100" w:afterAutospacing="1"/>
    </w:pPr>
    <w:rPr>
      <w:rFonts w:ascii="Times New Roman" w:eastAsia="Times New Roman" w:hAnsi="Times New Roman" w:cs="Times New Roman"/>
      <w:sz w:val="24"/>
      <w:szCs w:val="24"/>
      <w:lang w:val="en-US"/>
    </w:rPr>
  </w:style>
  <w:style w:type="paragraph" w:customStyle="1" w:styleId="yiv0246033149msolistparagraph">
    <w:name w:val="yiv0246033149msolistparagraph"/>
    <w:basedOn w:val="Normal"/>
    <w:uiPriority w:val="99"/>
    <w:semiHidden/>
    <w:rsid w:val="003B37C0"/>
    <w:pPr>
      <w:spacing w:before="100" w:beforeAutospacing="1" w:after="100" w:afterAutospacing="1"/>
    </w:pPr>
    <w:rPr>
      <w:rFonts w:ascii="Times New Roman" w:eastAsia="Times New Roman" w:hAnsi="Times New Roman" w:cs="Times New Roman"/>
      <w:sz w:val="24"/>
      <w:szCs w:val="24"/>
      <w:lang w:val="en-US"/>
    </w:rPr>
  </w:style>
  <w:style w:type="character" w:customStyle="1" w:styleId="Style1Char">
    <w:name w:val="Style1 Char"/>
    <w:basedOn w:val="DefaultParagraphFont"/>
    <w:link w:val="Style1"/>
    <w:semiHidden/>
    <w:locked/>
    <w:rsid w:val="003B37C0"/>
    <w:rPr>
      <w:rFonts w:ascii="Times New Roman" w:hAnsi="Times New Roman" w:cs="Times New Roman"/>
      <w:b/>
      <w:color w:val="5B9BD5" w:themeColor="accent1"/>
    </w:rPr>
  </w:style>
  <w:style w:type="paragraph" w:customStyle="1" w:styleId="Style1">
    <w:name w:val="Style1"/>
    <w:basedOn w:val="Normal"/>
    <w:link w:val="Style1Char"/>
    <w:semiHidden/>
    <w:qFormat/>
    <w:rsid w:val="003B37C0"/>
    <w:pPr>
      <w:spacing w:before="0" w:after="160"/>
    </w:pPr>
    <w:rPr>
      <w:rFonts w:ascii="Times New Roman" w:hAnsi="Times New Roman" w:cs="Times New Roman"/>
      <w:b/>
      <w:color w:val="5B9BD5" w:themeColor="accent1"/>
    </w:rPr>
  </w:style>
  <w:style w:type="character" w:customStyle="1" w:styleId="Heading1PCCOSChar">
    <w:name w:val="Heading 1 PCCOS Char"/>
    <w:basedOn w:val="Style1Char"/>
    <w:link w:val="Heading1PCCOS"/>
    <w:semiHidden/>
    <w:locked/>
    <w:rsid w:val="003B37C0"/>
    <w:rPr>
      <w:rFonts w:ascii="Times New Roman" w:hAnsi="Times New Roman" w:cs="Times New Roman"/>
      <w:b/>
      <w:color w:val="5B9BD5" w:themeColor="accent1"/>
    </w:rPr>
  </w:style>
  <w:style w:type="paragraph" w:customStyle="1" w:styleId="Heading1PCCOS">
    <w:name w:val="Heading 1 PCCOS"/>
    <w:basedOn w:val="Style1"/>
    <w:link w:val="Heading1PCCOSChar"/>
    <w:semiHidden/>
    <w:rsid w:val="003B37C0"/>
  </w:style>
  <w:style w:type="character" w:customStyle="1" w:styleId="Heading2-PCCOSChar">
    <w:name w:val="Heading 2 - PCCOS Char"/>
    <w:basedOn w:val="DefaultParagraphFont"/>
    <w:link w:val="Heading2-PCCOS"/>
    <w:semiHidden/>
    <w:locked/>
    <w:rsid w:val="003B37C0"/>
    <w:rPr>
      <w:rFonts w:ascii="Times New Roman" w:hAnsi="Times New Roman" w:cs="Times New Roman"/>
      <w:i/>
      <w:color w:val="2E74B5" w:themeColor="accent1" w:themeShade="BF"/>
    </w:rPr>
  </w:style>
  <w:style w:type="paragraph" w:customStyle="1" w:styleId="Heading2-PCCOS">
    <w:name w:val="Heading 2 - PCCOS"/>
    <w:basedOn w:val="Normal"/>
    <w:link w:val="Heading2-PCCOSChar"/>
    <w:semiHidden/>
    <w:rsid w:val="003B37C0"/>
    <w:pPr>
      <w:spacing w:before="0" w:after="160"/>
    </w:pPr>
    <w:rPr>
      <w:rFonts w:ascii="Times New Roman" w:hAnsi="Times New Roman" w:cs="Times New Roman"/>
      <w:i/>
      <w:color w:val="2E74B5" w:themeColor="accent1" w:themeShade="BF"/>
    </w:rPr>
  </w:style>
  <w:style w:type="paragraph" w:customStyle="1" w:styleId="bodytext">
    <w:name w:val="bodytext"/>
    <w:basedOn w:val="Normal"/>
    <w:uiPriority w:val="99"/>
    <w:semiHidden/>
    <w:rsid w:val="003B37C0"/>
    <w:pPr>
      <w:spacing w:before="100" w:beforeAutospacing="1" w:after="100" w:afterAutospacing="1"/>
    </w:pPr>
    <w:rPr>
      <w:rFonts w:ascii="Times New Roman" w:eastAsia="Times New Roman" w:hAnsi="Times New Roman" w:cs="Times New Roman"/>
      <w:sz w:val="24"/>
      <w:szCs w:val="24"/>
      <w:lang w:val="en-US"/>
    </w:rPr>
  </w:style>
  <w:style w:type="paragraph" w:customStyle="1" w:styleId="yiv0967987596msonormal">
    <w:name w:val="yiv0967987596msonormal"/>
    <w:basedOn w:val="Normal"/>
    <w:uiPriority w:val="99"/>
    <w:semiHidden/>
    <w:rsid w:val="003B37C0"/>
    <w:pPr>
      <w:spacing w:before="100" w:beforeAutospacing="1" w:after="100" w:afterAutospacing="1"/>
    </w:pPr>
    <w:rPr>
      <w:rFonts w:ascii="Times New Roman" w:eastAsia="Times New Roman" w:hAnsi="Times New Roman" w:cs="Times New Roman"/>
      <w:sz w:val="24"/>
      <w:szCs w:val="24"/>
      <w:lang w:val="en-US"/>
    </w:rPr>
  </w:style>
  <w:style w:type="character" w:customStyle="1" w:styleId="yiv0246033149fontstyle01">
    <w:name w:val="yiv0246033149fontstyle01"/>
    <w:basedOn w:val="DefaultParagraphFont"/>
    <w:rsid w:val="003B37C0"/>
  </w:style>
  <w:style w:type="paragraph" w:customStyle="1" w:styleId="yiv1992861802msonormal">
    <w:name w:val="yiv1992861802msonormal"/>
    <w:basedOn w:val="Normal"/>
    <w:rsid w:val="007A598D"/>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yiv8963522518ydp1762fbf3yiv1478861104msonormal">
    <w:name w:val="yiv8963522518ydp1762fbf3yiv1478861104msonormal"/>
    <w:basedOn w:val="Normal"/>
    <w:rsid w:val="007A598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4z2avtcy">
    <w:name w:val="c4_z2avtcy"/>
    <w:basedOn w:val="DefaultParagraphFont"/>
    <w:rsid w:val="007A598D"/>
  </w:style>
  <w:style w:type="character" w:customStyle="1" w:styleId="efq7">
    <w:name w:val="e_fq7"/>
    <w:basedOn w:val="DefaultParagraphFont"/>
    <w:rsid w:val="007A598D"/>
  </w:style>
  <w:style w:type="character" w:customStyle="1" w:styleId="fn">
    <w:name w:val="fn"/>
    <w:basedOn w:val="DefaultParagraphFont"/>
    <w:rsid w:val="00A32107"/>
  </w:style>
  <w:style w:type="table" w:customStyle="1" w:styleId="TableGrid1">
    <w:name w:val="Table Grid1"/>
    <w:basedOn w:val="TableNormal"/>
    <w:next w:val="TableGrid"/>
    <w:uiPriority w:val="59"/>
    <w:rsid w:val="00570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rsid w:val="00C14A1C"/>
    <w:pPr>
      <w:spacing w:before="100" w:line="260" w:lineRule="atLeast"/>
    </w:pPr>
    <w:rPr>
      <w:rFonts w:ascii="Calibri" w:eastAsia="Times New Roman" w:hAnsi="Calibri" w:cs="Calibri"/>
      <w:lang w:eastAsia="en-AU"/>
    </w:rPr>
  </w:style>
  <w:style w:type="character" w:customStyle="1" w:styleId="BodyTextChar">
    <w:name w:val="Body Text Char"/>
    <w:basedOn w:val="DefaultParagraphFont"/>
    <w:link w:val="BodyText0"/>
    <w:rsid w:val="00C14A1C"/>
    <w:rPr>
      <w:rFonts w:ascii="Calibri" w:eastAsia="Times New Roman" w:hAnsi="Calibri" w:cs="Calibri"/>
      <w:lang w:eastAsia="en-AU"/>
    </w:rPr>
  </w:style>
  <w:style w:type="paragraph" w:customStyle="1" w:styleId="StyleBulletPointRed">
    <w:name w:val="Style Bullet Point + Red"/>
    <w:basedOn w:val="Normal"/>
    <w:rsid w:val="00C14A1C"/>
    <w:pPr>
      <w:tabs>
        <w:tab w:val="num" w:pos="1080"/>
        <w:tab w:val="left" w:pos="1701"/>
      </w:tabs>
      <w:ind w:left="1080" w:hanging="720"/>
      <w:jc w:val="both"/>
    </w:pPr>
    <w:rPr>
      <w:rFonts w:ascii="Times New Roman" w:eastAsia="Times New Roman" w:hAnsi="Times New Roman" w:cs="Times New Roman"/>
      <w:b/>
      <w:color w:val="FF0000"/>
      <w:szCs w:val="24"/>
      <w:lang w:eastAsia="en-AU"/>
    </w:rPr>
  </w:style>
  <w:style w:type="paragraph" w:customStyle="1" w:styleId="MRAGHeading1">
    <w:name w:val="MRAG Heading 1"/>
    <w:basedOn w:val="Normal"/>
    <w:next w:val="Normal"/>
    <w:qFormat/>
    <w:rsid w:val="00C80480"/>
    <w:pPr>
      <w:numPr>
        <w:numId w:val="2"/>
      </w:numPr>
      <w:spacing w:before="400" w:after="240"/>
      <w:jc w:val="both"/>
    </w:pPr>
    <w:rPr>
      <w:rFonts w:ascii="Arial" w:hAnsi="Arial" w:cs="Arial"/>
      <w:b/>
      <w:color w:val="0054A4"/>
      <w:sz w:val="26"/>
      <w:szCs w:val="24"/>
    </w:rPr>
  </w:style>
  <w:style w:type="paragraph" w:customStyle="1" w:styleId="MRAGHeading4">
    <w:name w:val="MRAG Heading 4"/>
    <w:basedOn w:val="Heading4"/>
    <w:next w:val="Normal"/>
    <w:link w:val="MRAGHeading4Char"/>
    <w:qFormat/>
    <w:rsid w:val="00C80480"/>
    <w:pPr>
      <w:spacing w:before="200" w:after="120"/>
      <w:ind w:left="284"/>
      <w:jc w:val="both"/>
    </w:pPr>
    <w:rPr>
      <w:rFonts w:ascii="Arial Narrow" w:hAnsi="Arial Narrow" w:cs="Arial"/>
      <w:b/>
      <w:bCs/>
      <w:color w:val="5B9BD5" w:themeColor="accent1"/>
    </w:rPr>
  </w:style>
  <w:style w:type="character" w:customStyle="1" w:styleId="MRAGHeading4Char">
    <w:name w:val="MRAG Heading 4 Char"/>
    <w:basedOn w:val="DefaultParagraphFont"/>
    <w:link w:val="MRAGHeading4"/>
    <w:rsid w:val="00C80480"/>
    <w:rPr>
      <w:rFonts w:ascii="Arial Narrow" w:eastAsiaTheme="majorEastAsia" w:hAnsi="Arial Narrow" w:cs="Arial"/>
      <w:b/>
      <w:bCs/>
      <w:i/>
      <w:iCs/>
      <w:color w:val="5B9BD5" w:themeColor="accent1"/>
    </w:rPr>
  </w:style>
  <w:style w:type="table" w:styleId="LightList-Accent1">
    <w:name w:val="Light List Accent 1"/>
    <w:basedOn w:val="TableNormal"/>
    <w:uiPriority w:val="61"/>
    <w:rsid w:val="008F258A"/>
    <w:pPr>
      <w:spacing w:after="0" w:line="240" w:lineRule="auto"/>
    </w:pPr>
    <w:rPr>
      <w:rFonts w:ascii="Arial" w:eastAsia="Times New Roman" w:hAnsi="Arial" w:cs="Times New Roman"/>
      <w:sz w:val="20"/>
      <w:szCs w:val="20"/>
      <w:lang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
    <w:name w:val="_Body"/>
    <w:qFormat/>
    <w:rsid w:val="008F258A"/>
    <w:pPr>
      <w:spacing w:after="113" w:line="240" w:lineRule="atLeast"/>
    </w:pPr>
    <w:rPr>
      <w:rFonts w:ascii="Arial" w:eastAsia="Times New Roman" w:hAnsi="Arial" w:cs="Arial"/>
      <w:sz w:val="18"/>
      <w:szCs w:val="24"/>
    </w:rPr>
  </w:style>
  <w:style w:type="character" w:styleId="UnresolvedMention">
    <w:name w:val="Unresolved Mention"/>
    <w:basedOn w:val="DefaultParagraphFont"/>
    <w:uiPriority w:val="99"/>
    <w:semiHidden/>
    <w:unhideWhenUsed/>
    <w:rsid w:val="001E4006"/>
    <w:rPr>
      <w:color w:val="605E5C"/>
      <w:shd w:val="clear" w:color="auto" w:fill="E1DFDD"/>
    </w:rPr>
  </w:style>
  <w:style w:type="character" w:customStyle="1" w:styleId="s1">
    <w:name w:val="s1"/>
    <w:basedOn w:val="DefaultParagraphFont"/>
    <w:rsid w:val="00D11ECE"/>
  </w:style>
  <w:style w:type="character" w:styleId="SubtleEmphasis">
    <w:name w:val="Subtle Emphasis"/>
    <w:basedOn w:val="DefaultParagraphFont"/>
    <w:uiPriority w:val="19"/>
    <w:qFormat/>
    <w:rsid w:val="00D11ECE"/>
    <w:rPr>
      <w:b/>
      <w:i/>
      <w:iCs/>
    </w:rPr>
  </w:style>
  <w:style w:type="paragraph" w:customStyle="1" w:styleId="MRAGDocSubHeading">
    <w:name w:val="MRAG Doc SubHeading"/>
    <w:basedOn w:val="Normal"/>
    <w:qFormat/>
    <w:rsid w:val="00D11ECE"/>
    <w:pPr>
      <w:spacing w:before="60" w:after="60"/>
      <w:jc w:val="right"/>
    </w:pPr>
    <w:rPr>
      <w:color w:val="F2F2F2" w:themeColor="background1" w:themeShade="F2"/>
      <w:sz w:val="30"/>
    </w:rPr>
  </w:style>
  <w:style w:type="paragraph" w:customStyle="1" w:styleId="to-top">
    <w:name w:val="to-top"/>
    <w:basedOn w:val="Normal"/>
    <w:rsid w:val="00D11EC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x-sent">
    <w:name w:val="ex-sent"/>
    <w:basedOn w:val="DefaultParagraphFont"/>
    <w:rsid w:val="00D11ECE"/>
  </w:style>
  <w:style w:type="character" w:customStyle="1" w:styleId="mwtwi">
    <w:name w:val="mw_t_wi"/>
    <w:basedOn w:val="DefaultParagraphFont"/>
    <w:rsid w:val="00D11ECE"/>
  </w:style>
  <w:style w:type="paragraph" w:customStyle="1" w:styleId="xmsonormal">
    <w:name w:val="x_msonormal"/>
    <w:basedOn w:val="Normal"/>
    <w:rsid w:val="00D11ECE"/>
    <w:pPr>
      <w:spacing w:before="0" w:after="0"/>
    </w:pPr>
    <w:rPr>
      <w:rFonts w:ascii="Calibri" w:hAnsi="Calibri" w:cs="Times New Roman"/>
      <w:lang w:eastAsia="en-AU"/>
    </w:rPr>
  </w:style>
  <w:style w:type="character" w:styleId="SubtleReference">
    <w:name w:val="Subtle Reference"/>
    <w:basedOn w:val="DefaultParagraphFont"/>
    <w:uiPriority w:val="31"/>
    <w:qFormat/>
    <w:rsid w:val="00D11ECE"/>
    <w:rPr>
      <w:smallCaps/>
      <w:color w:val="5A5A5A" w:themeColor="text1" w:themeTint="A5"/>
    </w:rPr>
  </w:style>
  <w:style w:type="paragraph" w:styleId="IntenseQuote">
    <w:name w:val="Intense Quote"/>
    <w:basedOn w:val="Normal"/>
    <w:next w:val="Normal"/>
    <w:link w:val="IntenseQuoteChar"/>
    <w:uiPriority w:val="30"/>
    <w:qFormat/>
    <w:rsid w:val="00D11EC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11ECE"/>
    <w:rPr>
      <w:i/>
      <w:iCs/>
      <w:color w:val="5B9BD5" w:themeColor="accent1"/>
    </w:rPr>
  </w:style>
  <w:style w:type="character" w:customStyle="1" w:styleId="StandardPrinciple1Char">
    <w:name w:val="Standard Principle 1 Char"/>
    <w:basedOn w:val="DefaultParagraphFont"/>
    <w:link w:val="StandardPrinciple1"/>
    <w:locked/>
    <w:rsid w:val="00D11ECE"/>
    <w:rPr>
      <w:rFonts w:asciiTheme="majorHAnsi" w:eastAsiaTheme="majorEastAsia" w:hAnsiTheme="majorHAnsi" w:cstheme="majorBidi"/>
      <w:color w:val="2E74B5" w:themeColor="accent1" w:themeShade="BF"/>
      <w:sz w:val="28"/>
      <w:szCs w:val="32"/>
    </w:rPr>
  </w:style>
  <w:style w:type="paragraph" w:customStyle="1" w:styleId="StandardPrinciple1">
    <w:name w:val="Standard Principle 1"/>
    <w:basedOn w:val="Heading1"/>
    <w:next w:val="StandardPrinciple2"/>
    <w:link w:val="StandardPrinciple1Char"/>
    <w:qFormat/>
    <w:rsid w:val="00D11ECE"/>
    <w:pPr>
      <w:numPr>
        <w:numId w:val="3"/>
      </w:numPr>
      <w:spacing w:after="0" w:line="256" w:lineRule="auto"/>
    </w:pPr>
    <w:rPr>
      <w:sz w:val="28"/>
    </w:rPr>
  </w:style>
  <w:style w:type="paragraph" w:customStyle="1" w:styleId="StandardPrinciple2">
    <w:name w:val="Standard Principle 2"/>
    <w:basedOn w:val="ListParagraph"/>
    <w:link w:val="StandardPrinciple2Char"/>
    <w:qFormat/>
    <w:rsid w:val="00D11ECE"/>
    <w:pPr>
      <w:numPr>
        <w:ilvl w:val="1"/>
        <w:numId w:val="3"/>
      </w:numPr>
      <w:contextualSpacing w:val="0"/>
    </w:pPr>
  </w:style>
  <w:style w:type="character" w:customStyle="1" w:styleId="StandardPrinciple2Char">
    <w:name w:val="Standard Principle 2 Char"/>
    <w:basedOn w:val="DefaultParagraphFont"/>
    <w:link w:val="StandardPrinciple2"/>
    <w:locked/>
    <w:rsid w:val="00D11ECE"/>
  </w:style>
  <w:style w:type="character" w:customStyle="1" w:styleId="StandardPrinciple3Char">
    <w:name w:val="Standard Principle 3 Char"/>
    <w:basedOn w:val="DefaultParagraphFont"/>
    <w:link w:val="StandardPrinciple3"/>
    <w:locked/>
    <w:rsid w:val="00D11ECE"/>
  </w:style>
  <w:style w:type="paragraph" w:customStyle="1" w:styleId="StandardPrinciple3">
    <w:name w:val="Standard Principle 3"/>
    <w:basedOn w:val="ListParagraph"/>
    <w:link w:val="StandardPrinciple3Char"/>
    <w:qFormat/>
    <w:rsid w:val="00D11ECE"/>
    <w:pPr>
      <w:numPr>
        <w:ilvl w:val="2"/>
        <w:numId w:val="3"/>
      </w:numPr>
      <w:contextualSpacing w:val="0"/>
    </w:pPr>
  </w:style>
  <w:style w:type="paragraph" w:customStyle="1" w:styleId="StandardPrinciple4">
    <w:name w:val="Standard Principle 4"/>
    <w:basedOn w:val="StandardPrinciple3"/>
    <w:link w:val="StandardPrinciple4Char"/>
    <w:qFormat/>
    <w:rsid w:val="00D11ECE"/>
    <w:pPr>
      <w:numPr>
        <w:ilvl w:val="3"/>
      </w:numPr>
    </w:pPr>
  </w:style>
  <w:style w:type="character" w:customStyle="1" w:styleId="StandardPrinciple4Char">
    <w:name w:val="Standard Principle 4 Char"/>
    <w:basedOn w:val="StandardPrinciple3Char"/>
    <w:link w:val="StandardPrinciple4"/>
    <w:locked/>
    <w:rsid w:val="00D11ECE"/>
  </w:style>
  <w:style w:type="paragraph" w:customStyle="1" w:styleId="TableCaption">
    <w:name w:val="Table Caption"/>
    <w:next w:val="Caption"/>
    <w:qFormat/>
    <w:rsid w:val="006415C4"/>
    <w:rPr>
      <w:i/>
      <w:color w:val="44546A" w:themeColor="text2"/>
      <w:sz w:val="18"/>
    </w:rPr>
  </w:style>
  <w:style w:type="paragraph" w:customStyle="1" w:styleId="SourceCode">
    <w:name w:val="Source Code"/>
    <w:basedOn w:val="Normal"/>
    <w:rsid w:val="00D11ECE"/>
    <w:pPr>
      <w:shd w:val="clear" w:color="auto" w:fill="F8F8F8"/>
      <w:wordWrap w:val="0"/>
    </w:pPr>
  </w:style>
  <w:style w:type="character" w:customStyle="1" w:styleId="KeywordTok">
    <w:name w:val="KeywordTok"/>
    <w:rsid w:val="00D11ECE"/>
    <w:rPr>
      <w:b/>
      <w:color w:val="204A87"/>
      <w:shd w:val="clear" w:color="auto" w:fill="F8F8F8"/>
    </w:rPr>
  </w:style>
  <w:style w:type="character" w:customStyle="1" w:styleId="DataTypeTok">
    <w:name w:val="DataTypeTok"/>
    <w:rsid w:val="00D11ECE"/>
    <w:rPr>
      <w:color w:val="204A87"/>
      <w:shd w:val="clear" w:color="auto" w:fill="F8F8F8"/>
    </w:rPr>
  </w:style>
  <w:style w:type="character" w:customStyle="1" w:styleId="DecValTok">
    <w:name w:val="DecValTok"/>
    <w:rsid w:val="00D11ECE"/>
    <w:rPr>
      <w:color w:val="0000CF"/>
      <w:shd w:val="clear" w:color="auto" w:fill="F8F8F8"/>
    </w:rPr>
  </w:style>
  <w:style w:type="character" w:customStyle="1" w:styleId="BaseNTok">
    <w:name w:val="BaseNTok"/>
    <w:rsid w:val="00D11ECE"/>
    <w:rPr>
      <w:color w:val="0000CF"/>
      <w:shd w:val="clear" w:color="auto" w:fill="F8F8F8"/>
    </w:rPr>
  </w:style>
  <w:style w:type="character" w:customStyle="1" w:styleId="FloatTok">
    <w:name w:val="FloatTok"/>
    <w:rsid w:val="00D11ECE"/>
    <w:rPr>
      <w:color w:val="0000CF"/>
      <w:shd w:val="clear" w:color="auto" w:fill="F8F8F8"/>
    </w:rPr>
  </w:style>
  <w:style w:type="character" w:customStyle="1" w:styleId="ConstantTok">
    <w:name w:val="ConstantTok"/>
    <w:rsid w:val="00D11ECE"/>
    <w:rPr>
      <w:color w:val="000000"/>
      <w:shd w:val="clear" w:color="auto" w:fill="F8F8F8"/>
    </w:rPr>
  </w:style>
  <w:style w:type="character" w:customStyle="1" w:styleId="CharTok">
    <w:name w:val="CharTok"/>
    <w:rsid w:val="00D11ECE"/>
    <w:rPr>
      <w:color w:val="4E9A06"/>
      <w:shd w:val="clear" w:color="auto" w:fill="F8F8F8"/>
    </w:rPr>
  </w:style>
  <w:style w:type="character" w:customStyle="1" w:styleId="SpecialCharTok">
    <w:name w:val="SpecialCharTok"/>
    <w:rsid w:val="00D11ECE"/>
    <w:rPr>
      <w:color w:val="000000"/>
      <w:shd w:val="clear" w:color="auto" w:fill="F8F8F8"/>
    </w:rPr>
  </w:style>
  <w:style w:type="character" w:customStyle="1" w:styleId="StringTok">
    <w:name w:val="StringTok"/>
    <w:rsid w:val="00D11ECE"/>
    <w:rPr>
      <w:color w:val="4E9A06"/>
      <w:shd w:val="clear" w:color="auto" w:fill="F8F8F8"/>
    </w:rPr>
  </w:style>
  <w:style w:type="character" w:customStyle="1" w:styleId="VerbatimStringTok">
    <w:name w:val="VerbatimStringTok"/>
    <w:rsid w:val="00D11ECE"/>
    <w:rPr>
      <w:color w:val="4E9A06"/>
      <w:shd w:val="clear" w:color="auto" w:fill="F8F8F8"/>
    </w:rPr>
  </w:style>
  <w:style w:type="character" w:customStyle="1" w:styleId="SpecialStringTok">
    <w:name w:val="SpecialStringTok"/>
    <w:rsid w:val="00D11ECE"/>
    <w:rPr>
      <w:color w:val="4E9A06"/>
      <w:shd w:val="clear" w:color="auto" w:fill="F8F8F8"/>
    </w:rPr>
  </w:style>
  <w:style w:type="character" w:customStyle="1" w:styleId="ImportTok">
    <w:name w:val="ImportTok"/>
    <w:rsid w:val="00D11ECE"/>
    <w:rPr>
      <w:shd w:val="clear" w:color="auto" w:fill="F8F8F8"/>
    </w:rPr>
  </w:style>
  <w:style w:type="character" w:customStyle="1" w:styleId="CommentTok">
    <w:name w:val="CommentTok"/>
    <w:rsid w:val="00D11ECE"/>
    <w:rPr>
      <w:i/>
      <w:color w:val="8F5902"/>
      <w:shd w:val="clear" w:color="auto" w:fill="F8F8F8"/>
    </w:rPr>
  </w:style>
  <w:style w:type="character" w:customStyle="1" w:styleId="DocumentationTok">
    <w:name w:val="DocumentationTok"/>
    <w:rsid w:val="00D11ECE"/>
    <w:rPr>
      <w:b/>
      <w:i/>
      <w:color w:val="8F5902"/>
      <w:shd w:val="clear" w:color="auto" w:fill="F8F8F8"/>
    </w:rPr>
  </w:style>
  <w:style w:type="character" w:customStyle="1" w:styleId="AnnotationTok">
    <w:name w:val="AnnotationTok"/>
    <w:rsid w:val="00D11ECE"/>
    <w:rPr>
      <w:b/>
      <w:i/>
      <w:color w:val="8F5902"/>
      <w:shd w:val="clear" w:color="auto" w:fill="F8F8F8"/>
    </w:rPr>
  </w:style>
  <w:style w:type="character" w:customStyle="1" w:styleId="CommentVarTok">
    <w:name w:val="CommentVarTok"/>
    <w:rsid w:val="00D11ECE"/>
    <w:rPr>
      <w:b/>
      <w:i/>
      <w:color w:val="8F5902"/>
      <w:shd w:val="clear" w:color="auto" w:fill="F8F8F8"/>
    </w:rPr>
  </w:style>
  <w:style w:type="character" w:customStyle="1" w:styleId="OtherTok">
    <w:name w:val="OtherTok"/>
    <w:rsid w:val="00D11ECE"/>
    <w:rPr>
      <w:color w:val="8F5902"/>
      <w:shd w:val="clear" w:color="auto" w:fill="F8F8F8"/>
    </w:rPr>
  </w:style>
  <w:style w:type="character" w:customStyle="1" w:styleId="FunctionTok">
    <w:name w:val="FunctionTok"/>
    <w:rsid w:val="00D11ECE"/>
    <w:rPr>
      <w:color w:val="000000"/>
      <w:shd w:val="clear" w:color="auto" w:fill="F8F8F8"/>
    </w:rPr>
  </w:style>
  <w:style w:type="character" w:customStyle="1" w:styleId="VariableTok">
    <w:name w:val="VariableTok"/>
    <w:rsid w:val="00D11ECE"/>
    <w:rPr>
      <w:color w:val="000000"/>
      <w:shd w:val="clear" w:color="auto" w:fill="F8F8F8"/>
    </w:rPr>
  </w:style>
  <w:style w:type="character" w:customStyle="1" w:styleId="ControlFlowTok">
    <w:name w:val="ControlFlowTok"/>
    <w:rsid w:val="00D11ECE"/>
    <w:rPr>
      <w:b/>
      <w:color w:val="204A87"/>
      <w:shd w:val="clear" w:color="auto" w:fill="F8F8F8"/>
    </w:rPr>
  </w:style>
  <w:style w:type="character" w:customStyle="1" w:styleId="OperatorTok">
    <w:name w:val="OperatorTok"/>
    <w:rsid w:val="00D11ECE"/>
    <w:rPr>
      <w:b/>
      <w:color w:val="CE5C00"/>
      <w:shd w:val="clear" w:color="auto" w:fill="F8F8F8"/>
    </w:rPr>
  </w:style>
  <w:style w:type="character" w:customStyle="1" w:styleId="BuiltInTok">
    <w:name w:val="BuiltInTok"/>
    <w:rsid w:val="00D11ECE"/>
    <w:rPr>
      <w:shd w:val="clear" w:color="auto" w:fill="F8F8F8"/>
    </w:rPr>
  </w:style>
  <w:style w:type="character" w:customStyle="1" w:styleId="ExtensionTok">
    <w:name w:val="ExtensionTok"/>
    <w:rsid w:val="00D11ECE"/>
    <w:rPr>
      <w:shd w:val="clear" w:color="auto" w:fill="F8F8F8"/>
    </w:rPr>
  </w:style>
  <w:style w:type="character" w:customStyle="1" w:styleId="PreprocessorTok">
    <w:name w:val="PreprocessorTok"/>
    <w:rsid w:val="00D11ECE"/>
    <w:rPr>
      <w:i/>
      <w:color w:val="8F5902"/>
      <w:shd w:val="clear" w:color="auto" w:fill="F8F8F8"/>
    </w:rPr>
  </w:style>
  <w:style w:type="character" w:customStyle="1" w:styleId="AttributeTok">
    <w:name w:val="AttributeTok"/>
    <w:rsid w:val="00D11ECE"/>
    <w:rPr>
      <w:color w:val="C4A000"/>
      <w:shd w:val="clear" w:color="auto" w:fill="F8F8F8"/>
    </w:rPr>
  </w:style>
  <w:style w:type="character" w:customStyle="1" w:styleId="RegionMarkerTok">
    <w:name w:val="RegionMarkerTok"/>
    <w:rsid w:val="00D11ECE"/>
    <w:rPr>
      <w:shd w:val="clear" w:color="auto" w:fill="F8F8F8"/>
    </w:rPr>
  </w:style>
  <w:style w:type="character" w:customStyle="1" w:styleId="InformationTok">
    <w:name w:val="InformationTok"/>
    <w:rsid w:val="00D11ECE"/>
    <w:rPr>
      <w:b/>
      <w:i/>
      <w:color w:val="8F5902"/>
      <w:shd w:val="clear" w:color="auto" w:fill="F8F8F8"/>
    </w:rPr>
  </w:style>
  <w:style w:type="character" w:customStyle="1" w:styleId="WarningTok">
    <w:name w:val="WarningTok"/>
    <w:rsid w:val="00D11ECE"/>
    <w:rPr>
      <w:b/>
      <w:i/>
      <w:color w:val="8F5902"/>
      <w:shd w:val="clear" w:color="auto" w:fill="F8F8F8"/>
    </w:rPr>
  </w:style>
  <w:style w:type="character" w:customStyle="1" w:styleId="AlertTok">
    <w:name w:val="AlertTok"/>
    <w:rsid w:val="00D11ECE"/>
    <w:rPr>
      <w:color w:val="EF2929"/>
      <w:shd w:val="clear" w:color="auto" w:fill="F8F8F8"/>
    </w:rPr>
  </w:style>
  <w:style w:type="character" w:customStyle="1" w:styleId="ErrorTok">
    <w:name w:val="ErrorTok"/>
    <w:rsid w:val="00D11ECE"/>
    <w:rPr>
      <w:b/>
      <w:color w:val="A40000"/>
      <w:shd w:val="clear" w:color="auto" w:fill="F8F8F8"/>
    </w:rPr>
  </w:style>
  <w:style w:type="character" w:customStyle="1" w:styleId="NormalTok">
    <w:name w:val="NormalTok"/>
    <w:rsid w:val="00D11ECE"/>
    <w:rPr>
      <w:shd w:val="clear" w:color="auto" w:fill="F8F8F8"/>
    </w:rPr>
  </w:style>
  <w:style w:type="character" w:customStyle="1" w:styleId="Mention1">
    <w:name w:val="Mention1"/>
    <w:basedOn w:val="DefaultParagraphFont"/>
    <w:uiPriority w:val="99"/>
    <w:semiHidden/>
    <w:unhideWhenUsed/>
    <w:rsid w:val="00C70DC4"/>
    <w:rPr>
      <w:color w:val="2B579A"/>
      <w:shd w:val="clear" w:color="auto" w:fill="E6E6E6"/>
    </w:rPr>
  </w:style>
  <w:style w:type="table" w:customStyle="1" w:styleId="TableGrid2">
    <w:name w:val="Table Grid2"/>
    <w:basedOn w:val="TableNormal"/>
    <w:next w:val="TableGrid"/>
    <w:uiPriority w:val="39"/>
    <w:rsid w:val="00C70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70DC4"/>
  </w:style>
  <w:style w:type="character" w:styleId="PlaceholderText">
    <w:name w:val="Placeholder Text"/>
    <w:basedOn w:val="DefaultParagraphFont"/>
    <w:uiPriority w:val="99"/>
    <w:semiHidden/>
    <w:rsid w:val="003045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27781">
      <w:bodyDiv w:val="1"/>
      <w:marLeft w:val="0"/>
      <w:marRight w:val="0"/>
      <w:marTop w:val="0"/>
      <w:marBottom w:val="0"/>
      <w:divBdr>
        <w:top w:val="none" w:sz="0" w:space="0" w:color="auto"/>
        <w:left w:val="none" w:sz="0" w:space="0" w:color="auto"/>
        <w:bottom w:val="none" w:sz="0" w:space="0" w:color="auto"/>
        <w:right w:val="none" w:sz="0" w:space="0" w:color="auto"/>
      </w:divBdr>
    </w:div>
    <w:div w:id="114175932">
      <w:bodyDiv w:val="1"/>
      <w:marLeft w:val="0"/>
      <w:marRight w:val="0"/>
      <w:marTop w:val="0"/>
      <w:marBottom w:val="0"/>
      <w:divBdr>
        <w:top w:val="none" w:sz="0" w:space="0" w:color="auto"/>
        <w:left w:val="none" w:sz="0" w:space="0" w:color="auto"/>
        <w:bottom w:val="none" w:sz="0" w:space="0" w:color="auto"/>
        <w:right w:val="none" w:sz="0" w:space="0" w:color="auto"/>
      </w:divBdr>
    </w:div>
    <w:div w:id="145443484">
      <w:bodyDiv w:val="1"/>
      <w:marLeft w:val="0"/>
      <w:marRight w:val="0"/>
      <w:marTop w:val="0"/>
      <w:marBottom w:val="0"/>
      <w:divBdr>
        <w:top w:val="none" w:sz="0" w:space="0" w:color="auto"/>
        <w:left w:val="none" w:sz="0" w:space="0" w:color="auto"/>
        <w:bottom w:val="none" w:sz="0" w:space="0" w:color="auto"/>
        <w:right w:val="none" w:sz="0" w:space="0" w:color="auto"/>
      </w:divBdr>
    </w:div>
    <w:div w:id="157310712">
      <w:bodyDiv w:val="1"/>
      <w:marLeft w:val="0"/>
      <w:marRight w:val="0"/>
      <w:marTop w:val="0"/>
      <w:marBottom w:val="0"/>
      <w:divBdr>
        <w:top w:val="none" w:sz="0" w:space="0" w:color="auto"/>
        <w:left w:val="none" w:sz="0" w:space="0" w:color="auto"/>
        <w:bottom w:val="none" w:sz="0" w:space="0" w:color="auto"/>
        <w:right w:val="none" w:sz="0" w:space="0" w:color="auto"/>
      </w:divBdr>
    </w:div>
    <w:div w:id="211425467">
      <w:bodyDiv w:val="1"/>
      <w:marLeft w:val="0"/>
      <w:marRight w:val="0"/>
      <w:marTop w:val="0"/>
      <w:marBottom w:val="0"/>
      <w:divBdr>
        <w:top w:val="none" w:sz="0" w:space="0" w:color="auto"/>
        <w:left w:val="none" w:sz="0" w:space="0" w:color="auto"/>
        <w:bottom w:val="none" w:sz="0" w:space="0" w:color="auto"/>
        <w:right w:val="none" w:sz="0" w:space="0" w:color="auto"/>
      </w:divBdr>
    </w:div>
    <w:div w:id="215706463">
      <w:marLeft w:val="0"/>
      <w:marRight w:val="0"/>
      <w:marTop w:val="0"/>
      <w:marBottom w:val="0"/>
      <w:divBdr>
        <w:top w:val="none" w:sz="0" w:space="0" w:color="auto"/>
        <w:left w:val="none" w:sz="0" w:space="0" w:color="auto"/>
        <w:bottom w:val="none" w:sz="0" w:space="0" w:color="auto"/>
        <w:right w:val="none" w:sz="0" w:space="0" w:color="auto"/>
      </w:divBdr>
      <w:divsChild>
        <w:div w:id="126511285">
          <w:marLeft w:val="0"/>
          <w:marRight w:val="0"/>
          <w:marTop w:val="0"/>
          <w:marBottom w:val="0"/>
          <w:divBdr>
            <w:top w:val="none" w:sz="0" w:space="0" w:color="auto"/>
            <w:left w:val="none" w:sz="0" w:space="0" w:color="auto"/>
            <w:bottom w:val="none" w:sz="0" w:space="0" w:color="auto"/>
            <w:right w:val="none" w:sz="0" w:space="0" w:color="auto"/>
          </w:divBdr>
        </w:div>
      </w:divsChild>
    </w:div>
    <w:div w:id="256867529">
      <w:bodyDiv w:val="1"/>
      <w:marLeft w:val="0"/>
      <w:marRight w:val="0"/>
      <w:marTop w:val="0"/>
      <w:marBottom w:val="0"/>
      <w:divBdr>
        <w:top w:val="none" w:sz="0" w:space="0" w:color="auto"/>
        <w:left w:val="none" w:sz="0" w:space="0" w:color="auto"/>
        <w:bottom w:val="none" w:sz="0" w:space="0" w:color="auto"/>
        <w:right w:val="none" w:sz="0" w:space="0" w:color="auto"/>
      </w:divBdr>
    </w:div>
    <w:div w:id="259220705">
      <w:bodyDiv w:val="1"/>
      <w:marLeft w:val="0"/>
      <w:marRight w:val="0"/>
      <w:marTop w:val="0"/>
      <w:marBottom w:val="0"/>
      <w:divBdr>
        <w:top w:val="none" w:sz="0" w:space="0" w:color="auto"/>
        <w:left w:val="none" w:sz="0" w:space="0" w:color="auto"/>
        <w:bottom w:val="none" w:sz="0" w:space="0" w:color="auto"/>
        <w:right w:val="none" w:sz="0" w:space="0" w:color="auto"/>
      </w:divBdr>
    </w:div>
    <w:div w:id="272826652">
      <w:bodyDiv w:val="1"/>
      <w:marLeft w:val="0"/>
      <w:marRight w:val="0"/>
      <w:marTop w:val="0"/>
      <w:marBottom w:val="0"/>
      <w:divBdr>
        <w:top w:val="none" w:sz="0" w:space="0" w:color="auto"/>
        <w:left w:val="none" w:sz="0" w:space="0" w:color="auto"/>
        <w:bottom w:val="none" w:sz="0" w:space="0" w:color="auto"/>
        <w:right w:val="none" w:sz="0" w:space="0" w:color="auto"/>
      </w:divBdr>
    </w:div>
    <w:div w:id="278075132">
      <w:bodyDiv w:val="1"/>
      <w:marLeft w:val="0"/>
      <w:marRight w:val="0"/>
      <w:marTop w:val="0"/>
      <w:marBottom w:val="0"/>
      <w:divBdr>
        <w:top w:val="none" w:sz="0" w:space="0" w:color="auto"/>
        <w:left w:val="none" w:sz="0" w:space="0" w:color="auto"/>
        <w:bottom w:val="none" w:sz="0" w:space="0" w:color="auto"/>
        <w:right w:val="none" w:sz="0" w:space="0" w:color="auto"/>
      </w:divBdr>
    </w:div>
    <w:div w:id="292450051">
      <w:bodyDiv w:val="1"/>
      <w:marLeft w:val="0"/>
      <w:marRight w:val="0"/>
      <w:marTop w:val="0"/>
      <w:marBottom w:val="0"/>
      <w:divBdr>
        <w:top w:val="none" w:sz="0" w:space="0" w:color="auto"/>
        <w:left w:val="none" w:sz="0" w:space="0" w:color="auto"/>
        <w:bottom w:val="none" w:sz="0" w:space="0" w:color="auto"/>
        <w:right w:val="none" w:sz="0" w:space="0" w:color="auto"/>
      </w:divBdr>
    </w:div>
    <w:div w:id="314771231">
      <w:bodyDiv w:val="1"/>
      <w:marLeft w:val="0"/>
      <w:marRight w:val="0"/>
      <w:marTop w:val="0"/>
      <w:marBottom w:val="0"/>
      <w:divBdr>
        <w:top w:val="none" w:sz="0" w:space="0" w:color="auto"/>
        <w:left w:val="none" w:sz="0" w:space="0" w:color="auto"/>
        <w:bottom w:val="none" w:sz="0" w:space="0" w:color="auto"/>
        <w:right w:val="none" w:sz="0" w:space="0" w:color="auto"/>
      </w:divBdr>
    </w:div>
    <w:div w:id="323364049">
      <w:marLeft w:val="0"/>
      <w:marRight w:val="0"/>
      <w:marTop w:val="0"/>
      <w:marBottom w:val="0"/>
      <w:divBdr>
        <w:top w:val="none" w:sz="0" w:space="0" w:color="auto"/>
        <w:left w:val="none" w:sz="0" w:space="0" w:color="auto"/>
        <w:bottom w:val="none" w:sz="0" w:space="0" w:color="auto"/>
        <w:right w:val="none" w:sz="0" w:space="0" w:color="auto"/>
      </w:divBdr>
      <w:divsChild>
        <w:div w:id="745882686">
          <w:marLeft w:val="0"/>
          <w:marRight w:val="0"/>
          <w:marTop w:val="0"/>
          <w:marBottom w:val="0"/>
          <w:divBdr>
            <w:top w:val="none" w:sz="0" w:space="0" w:color="auto"/>
            <w:left w:val="none" w:sz="0" w:space="0" w:color="auto"/>
            <w:bottom w:val="none" w:sz="0" w:space="0" w:color="auto"/>
            <w:right w:val="none" w:sz="0" w:space="0" w:color="auto"/>
          </w:divBdr>
        </w:div>
      </w:divsChild>
    </w:div>
    <w:div w:id="326446726">
      <w:bodyDiv w:val="1"/>
      <w:marLeft w:val="0"/>
      <w:marRight w:val="0"/>
      <w:marTop w:val="0"/>
      <w:marBottom w:val="0"/>
      <w:divBdr>
        <w:top w:val="none" w:sz="0" w:space="0" w:color="auto"/>
        <w:left w:val="none" w:sz="0" w:space="0" w:color="auto"/>
        <w:bottom w:val="none" w:sz="0" w:space="0" w:color="auto"/>
        <w:right w:val="none" w:sz="0" w:space="0" w:color="auto"/>
      </w:divBdr>
    </w:div>
    <w:div w:id="347104354">
      <w:marLeft w:val="0"/>
      <w:marRight w:val="0"/>
      <w:marTop w:val="0"/>
      <w:marBottom w:val="0"/>
      <w:divBdr>
        <w:top w:val="none" w:sz="0" w:space="0" w:color="auto"/>
        <w:left w:val="none" w:sz="0" w:space="0" w:color="auto"/>
        <w:bottom w:val="none" w:sz="0" w:space="0" w:color="auto"/>
        <w:right w:val="none" w:sz="0" w:space="0" w:color="auto"/>
      </w:divBdr>
      <w:divsChild>
        <w:div w:id="765417629">
          <w:marLeft w:val="0"/>
          <w:marRight w:val="0"/>
          <w:marTop w:val="0"/>
          <w:marBottom w:val="0"/>
          <w:divBdr>
            <w:top w:val="none" w:sz="0" w:space="0" w:color="auto"/>
            <w:left w:val="none" w:sz="0" w:space="0" w:color="auto"/>
            <w:bottom w:val="none" w:sz="0" w:space="0" w:color="auto"/>
            <w:right w:val="none" w:sz="0" w:space="0" w:color="auto"/>
          </w:divBdr>
        </w:div>
      </w:divsChild>
    </w:div>
    <w:div w:id="347411805">
      <w:bodyDiv w:val="1"/>
      <w:marLeft w:val="0"/>
      <w:marRight w:val="0"/>
      <w:marTop w:val="0"/>
      <w:marBottom w:val="0"/>
      <w:divBdr>
        <w:top w:val="none" w:sz="0" w:space="0" w:color="auto"/>
        <w:left w:val="none" w:sz="0" w:space="0" w:color="auto"/>
        <w:bottom w:val="none" w:sz="0" w:space="0" w:color="auto"/>
        <w:right w:val="none" w:sz="0" w:space="0" w:color="auto"/>
      </w:divBdr>
    </w:div>
    <w:div w:id="400909538">
      <w:bodyDiv w:val="1"/>
      <w:marLeft w:val="0"/>
      <w:marRight w:val="0"/>
      <w:marTop w:val="0"/>
      <w:marBottom w:val="0"/>
      <w:divBdr>
        <w:top w:val="none" w:sz="0" w:space="0" w:color="auto"/>
        <w:left w:val="none" w:sz="0" w:space="0" w:color="auto"/>
        <w:bottom w:val="none" w:sz="0" w:space="0" w:color="auto"/>
        <w:right w:val="none" w:sz="0" w:space="0" w:color="auto"/>
      </w:divBdr>
    </w:div>
    <w:div w:id="421342378">
      <w:marLeft w:val="0"/>
      <w:marRight w:val="0"/>
      <w:marTop w:val="0"/>
      <w:marBottom w:val="0"/>
      <w:divBdr>
        <w:top w:val="none" w:sz="0" w:space="0" w:color="auto"/>
        <w:left w:val="none" w:sz="0" w:space="0" w:color="auto"/>
        <w:bottom w:val="none" w:sz="0" w:space="0" w:color="auto"/>
        <w:right w:val="none" w:sz="0" w:space="0" w:color="auto"/>
      </w:divBdr>
      <w:divsChild>
        <w:div w:id="1584490307">
          <w:marLeft w:val="0"/>
          <w:marRight w:val="0"/>
          <w:marTop w:val="0"/>
          <w:marBottom w:val="0"/>
          <w:divBdr>
            <w:top w:val="none" w:sz="0" w:space="0" w:color="auto"/>
            <w:left w:val="none" w:sz="0" w:space="0" w:color="auto"/>
            <w:bottom w:val="none" w:sz="0" w:space="0" w:color="auto"/>
            <w:right w:val="none" w:sz="0" w:space="0" w:color="auto"/>
          </w:divBdr>
        </w:div>
      </w:divsChild>
    </w:div>
    <w:div w:id="471407735">
      <w:bodyDiv w:val="1"/>
      <w:marLeft w:val="0"/>
      <w:marRight w:val="0"/>
      <w:marTop w:val="0"/>
      <w:marBottom w:val="0"/>
      <w:divBdr>
        <w:top w:val="none" w:sz="0" w:space="0" w:color="auto"/>
        <w:left w:val="none" w:sz="0" w:space="0" w:color="auto"/>
        <w:bottom w:val="none" w:sz="0" w:space="0" w:color="auto"/>
        <w:right w:val="none" w:sz="0" w:space="0" w:color="auto"/>
      </w:divBdr>
      <w:divsChild>
        <w:div w:id="90467680">
          <w:marLeft w:val="1166"/>
          <w:marRight w:val="0"/>
          <w:marTop w:val="77"/>
          <w:marBottom w:val="0"/>
          <w:divBdr>
            <w:top w:val="none" w:sz="0" w:space="0" w:color="auto"/>
            <w:left w:val="none" w:sz="0" w:space="0" w:color="auto"/>
            <w:bottom w:val="none" w:sz="0" w:space="0" w:color="auto"/>
            <w:right w:val="none" w:sz="0" w:space="0" w:color="auto"/>
          </w:divBdr>
        </w:div>
        <w:div w:id="605775447">
          <w:marLeft w:val="1166"/>
          <w:marRight w:val="0"/>
          <w:marTop w:val="77"/>
          <w:marBottom w:val="0"/>
          <w:divBdr>
            <w:top w:val="none" w:sz="0" w:space="0" w:color="auto"/>
            <w:left w:val="none" w:sz="0" w:space="0" w:color="auto"/>
            <w:bottom w:val="none" w:sz="0" w:space="0" w:color="auto"/>
            <w:right w:val="none" w:sz="0" w:space="0" w:color="auto"/>
          </w:divBdr>
        </w:div>
        <w:div w:id="1306934126">
          <w:marLeft w:val="1166"/>
          <w:marRight w:val="0"/>
          <w:marTop w:val="77"/>
          <w:marBottom w:val="0"/>
          <w:divBdr>
            <w:top w:val="none" w:sz="0" w:space="0" w:color="auto"/>
            <w:left w:val="none" w:sz="0" w:space="0" w:color="auto"/>
            <w:bottom w:val="none" w:sz="0" w:space="0" w:color="auto"/>
            <w:right w:val="none" w:sz="0" w:space="0" w:color="auto"/>
          </w:divBdr>
        </w:div>
        <w:div w:id="1349407332">
          <w:marLeft w:val="1166"/>
          <w:marRight w:val="0"/>
          <w:marTop w:val="77"/>
          <w:marBottom w:val="0"/>
          <w:divBdr>
            <w:top w:val="none" w:sz="0" w:space="0" w:color="auto"/>
            <w:left w:val="none" w:sz="0" w:space="0" w:color="auto"/>
            <w:bottom w:val="none" w:sz="0" w:space="0" w:color="auto"/>
            <w:right w:val="none" w:sz="0" w:space="0" w:color="auto"/>
          </w:divBdr>
        </w:div>
        <w:div w:id="1557202016">
          <w:marLeft w:val="1166"/>
          <w:marRight w:val="0"/>
          <w:marTop w:val="77"/>
          <w:marBottom w:val="0"/>
          <w:divBdr>
            <w:top w:val="none" w:sz="0" w:space="0" w:color="auto"/>
            <w:left w:val="none" w:sz="0" w:space="0" w:color="auto"/>
            <w:bottom w:val="none" w:sz="0" w:space="0" w:color="auto"/>
            <w:right w:val="none" w:sz="0" w:space="0" w:color="auto"/>
          </w:divBdr>
        </w:div>
        <w:div w:id="1594586127">
          <w:marLeft w:val="1166"/>
          <w:marRight w:val="0"/>
          <w:marTop w:val="77"/>
          <w:marBottom w:val="0"/>
          <w:divBdr>
            <w:top w:val="none" w:sz="0" w:space="0" w:color="auto"/>
            <w:left w:val="none" w:sz="0" w:space="0" w:color="auto"/>
            <w:bottom w:val="none" w:sz="0" w:space="0" w:color="auto"/>
            <w:right w:val="none" w:sz="0" w:space="0" w:color="auto"/>
          </w:divBdr>
        </w:div>
        <w:div w:id="2110277319">
          <w:marLeft w:val="1166"/>
          <w:marRight w:val="0"/>
          <w:marTop w:val="77"/>
          <w:marBottom w:val="0"/>
          <w:divBdr>
            <w:top w:val="none" w:sz="0" w:space="0" w:color="auto"/>
            <w:left w:val="none" w:sz="0" w:space="0" w:color="auto"/>
            <w:bottom w:val="none" w:sz="0" w:space="0" w:color="auto"/>
            <w:right w:val="none" w:sz="0" w:space="0" w:color="auto"/>
          </w:divBdr>
        </w:div>
      </w:divsChild>
    </w:div>
    <w:div w:id="503133342">
      <w:marLeft w:val="0"/>
      <w:marRight w:val="0"/>
      <w:marTop w:val="0"/>
      <w:marBottom w:val="0"/>
      <w:divBdr>
        <w:top w:val="none" w:sz="0" w:space="0" w:color="auto"/>
        <w:left w:val="none" w:sz="0" w:space="0" w:color="auto"/>
        <w:bottom w:val="none" w:sz="0" w:space="0" w:color="auto"/>
        <w:right w:val="none" w:sz="0" w:space="0" w:color="auto"/>
      </w:divBdr>
      <w:divsChild>
        <w:div w:id="639968376">
          <w:marLeft w:val="0"/>
          <w:marRight w:val="0"/>
          <w:marTop w:val="0"/>
          <w:marBottom w:val="0"/>
          <w:divBdr>
            <w:top w:val="none" w:sz="0" w:space="0" w:color="auto"/>
            <w:left w:val="none" w:sz="0" w:space="0" w:color="auto"/>
            <w:bottom w:val="none" w:sz="0" w:space="0" w:color="auto"/>
            <w:right w:val="none" w:sz="0" w:space="0" w:color="auto"/>
          </w:divBdr>
        </w:div>
      </w:divsChild>
    </w:div>
    <w:div w:id="503208506">
      <w:bodyDiv w:val="1"/>
      <w:marLeft w:val="0"/>
      <w:marRight w:val="0"/>
      <w:marTop w:val="0"/>
      <w:marBottom w:val="0"/>
      <w:divBdr>
        <w:top w:val="none" w:sz="0" w:space="0" w:color="auto"/>
        <w:left w:val="none" w:sz="0" w:space="0" w:color="auto"/>
        <w:bottom w:val="none" w:sz="0" w:space="0" w:color="auto"/>
        <w:right w:val="none" w:sz="0" w:space="0" w:color="auto"/>
      </w:divBdr>
    </w:div>
    <w:div w:id="529294391">
      <w:bodyDiv w:val="1"/>
      <w:marLeft w:val="0"/>
      <w:marRight w:val="0"/>
      <w:marTop w:val="0"/>
      <w:marBottom w:val="0"/>
      <w:divBdr>
        <w:top w:val="none" w:sz="0" w:space="0" w:color="auto"/>
        <w:left w:val="none" w:sz="0" w:space="0" w:color="auto"/>
        <w:bottom w:val="none" w:sz="0" w:space="0" w:color="auto"/>
        <w:right w:val="none" w:sz="0" w:space="0" w:color="auto"/>
      </w:divBdr>
      <w:divsChild>
        <w:div w:id="116611493">
          <w:marLeft w:val="1800"/>
          <w:marRight w:val="0"/>
          <w:marTop w:val="0"/>
          <w:marBottom w:val="150"/>
          <w:divBdr>
            <w:top w:val="none" w:sz="0" w:space="0" w:color="auto"/>
            <w:left w:val="none" w:sz="0" w:space="0" w:color="auto"/>
            <w:bottom w:val="none" w:sz="0" w:space="0" w:color="auto"/>
            <w:right w:val="none" w:sz="0" w:space="0" w:color="auto"/>
          </w:divBdr>
        </w:div>
        <w:div w:id="1332834759">
          <w:marLeft w:val="1800"/>
          <w:marRight w:val="0"/>
          <w:marTop w:val="225"/>
          <w:marBottom w:val="0"/>
          <w:divBdr>
            <w:top w:val="none" w:sz="0" w:space="0" w:color="auto"/>
            <w:left w:val="none" w:sz="0" w:space="0" w:color="auto"/>
            <w:bottom w:val="none" w:sz="0" w:space="0" w:color="auto"/>
            <w:right w:val="none" w:sz="0" w:space="0" w:color="auto"/>
          </w:divBdr>
        </w:div>
      </w:divsChild>
    </w:div>
    <w:div w:id="533426242">
      <w:bodyDiv w:val="1"/>
      <w:marLeft w:val="0"/>
      <w:marRight w:val="0"/>
      <w:marTop w:val="0"/>
      <w:marBottom w:val="0"/>
      <w:divBdr>
        <w:top w:val="none" w:sz="0" w:space="0" w:color="auto"/>
        <w:left w:val="none" w:sz="0" w:space="0" w:color="auto"/>
        <w:bottom w:val="none" w:sz="0" w:space="0" w:color="auto"/>
        <w:right w:val="none" w:sz="0" w:space="0" w:color="auto"/>
      </w:divBdr>
    </w:div>
    <w:div w:id="544875802">
      <w:bodyDiv w:val="1"/>
      <w:marLeft w:val="0"/>
      <w:marRight w:val="0"/>
      <w:marTop w:val="0"/>
      <w:marBottom w:val="0"/>
      <w:divBdr>
        <w:top w:val="none" w:sz="0" w:space="0" w:color="auto"/>
        <w:left w:val="none" w:sz="0" w:space="0" w:color="auto"/>
        <w:bottom w:val="none" w:sz="0" w:space="0" w:color="auto"/>
        <w:right w:val="none" w:sz="0" w:space="0" w:color="auto"/>
      </w:divBdr>
    </w:div>
    <w:div w:id="577135495">
      <w:bodyDiv w:val="1"/>
      <w:marLeft w:val="0"/>
      <w:marRight w:val="0"/>
      <w:marTop w:val="0"/>
      <w:marBottom w:val="0"/>
      <w:divBdr>
        <w:top w:val="none" w:sz="0" w:space="0" w:color="auto"/>
        <w:left w:val="none" w:sz="0" w:space="0" w:color="auto"/>
        <w:bottom w:val="none" w:sz="0" w:space="0" w:color="auto"/>
        <w:right w:val="none" w:sz="0" w:space="0" w:color="auto"/>
      </w:divBdr>
    </w:div>
    <w:div w:id="608121866">
      <w:bodyDiv w:val="1"/>
      <w:marLeft w:val="0"/>
      <w:marRight w:val="0"/>
      <w:marTop w:val="0"/>
      <w:marBottom w:val="0"/>
      <w:divBdr>
        <w:top w:val="none" w:sz="0" w:space="0" w:color="auto"/>
        <w:left w:val="none" w:sz="0" w:space="0" w:color="auto"/>
        <w:bottom w:val="none" w:sz="0" w:space="0" w:color="auto"/>
        <w:right w:val="none" w:sz="0" w:space="0" w:color="auto"/>
      </w:divBdr>
      <w:divsChild>
        <w:div w:id="61221757">
          <w:marLeft w:val="1166"/>
          <w:marRight w:val="0"/>
          <w:marTop w:val="82"/>
          <w:marBottom w:val="0"/>
          <w:divBdr>
            <w:top w:val="none" w:sz="0" w:space="0" w:color="auto"/>
            <w:left w:val="none" w:sz="0" w:space="0" w:color="auto"/>
            <w:bottom w:val="none" w:sz="0" w:space="0" w:color="auto"/>
            <w:right w:val="none" w:sz="0" w:space="0" w:color="auto"/>
          </w:divBdr>
        </w:div>
        <w:div w:id="74086467">
          <w:marLeft w:val="1166"/>
          <w:marRight w:val="0"/>
          <w:marTop w:val="82"/>
          <w:marBottom w:val="0"/>
          <w:divBdr>
            <w:top w:val="none" w:sz="0" w:space="0" w:color="auto"/>
            <w:left w:val="none" w:sz="0" w:space="0" w:color="auto"/>
            <w:bottom w:val="none" w:sz="0" w:space="0" w:color="auto"/>
            <w:right w:val="none" w:sz="0" w:space="0" w:color="auto"/>
          </w:divBdr>
        </w:div>
        <w:div w:id="85005994">
          <w:marLeft w:val="1166"/>
          <w:marRight w:val="0"/>
          <w:marTop w:val="82"/>
          <w:marBottom w:val="0"/>
          <w:divBdr>
            <w:top w:val="none" w:sz="0" w:space="0" w:color="auto"/>
            <w:left w:val="none" w:sz="0" w:space="0" w:color="auto"/>
            <w:bottom w:val="none" w:sz="0" w:space="0" w:color="auto"/>
            <w:right w:val="none" w:sz="0" w:space="0" w:color="auto"/>
          </w:divBdr>
        </w:div>
        <w:div w:id="258804215">
          <w:marLeft w:val="1166"/>
          <w:marRight w:val="0"/>
          <w:marTop w:val="82"/>
          <w:marBottom w:val="0"/>
          <w:divBdr>
            <w:top w:val="none" w:sz="0" w:space="0" w:color="auto"/>
            <w:left w:val="none" w:sz="0" w:space="0" w:color="auto"/>
            <w:bottom w:val="none" w:sz="0" w:space="0" w:color="auto"/>
            <w:right w:val="none" w:sz="0" w:space="0" w:color="auto"/>
          </w:divBdr>
        </w:div>
        <w:div w:id="334721781">
          <w:marLeft w:val="1166"/>
          <w:marRight w:val="0"/>
          <w:marTop w:val="82"/>
          <w:marBottom w:val="0"/>
          <w:divBdr>
            <w:top w:val="none" w:sz="0" w:space="0" w:color="auto"/>
            <w:left w:val="none" w:sz="0" w:space="0" w:color="auto"/>
            <w:bottom w:val="none" w:sz="0" w:space="0" w:color="auto"/>
            <w:right w:val="none" w:sz="0" w:space="0" w:color="auto"/>
          </w:divBdr>
        </w:div>
        <w:div w:id="1303774049">
          <w:marLeft w:val="1166"/>
          <w:marRight w:val="0"/>
          <w:marTop w:val="82"/>
          <w:marBottom w:val="0"/>
          <w:divBdr>
            <w:top w:val="none" w:sz="0" w:space="0" w:color="auto"/>
            <w:left w:val="none" w:sz="0" w:space="0" w:color="auto"/>
            <w:bottom w:val="none" w:sz="0" w:space="0" w:color="auto"/>
            <w:right w:val="none" w:sz="0" w:space="0" w:color="auto"/>
          </w:divBdr>
        </w:div>
      </w:divsChild>
    </w:div>
    <w:div w:id="654337066">
      <w:marLeft w:val="0"/>
      <w:marRight w:val="0"/>
      <w:marTop w:val="0"/>
      <w:marBottom w:val="0"/>
      <w:divBdr>
        <w:top w:val="none" w:sz="0" w:space="0" w:color="auto"/>
        <w:left w:val="none" w:sz="0" w:space="0" w:color="auto"/>
        <w:bottom w:val="none" w:sz="0" w:space="0" w:color="auto"/>
        <w:right w:val="none" w:sz="0" w:space="0" w:color="auto"/>
      </w:divBdr>
      <w:divsChild>
        <w:div w:id="1596329159">
          <w:marLeft w:val="0"/>
          <w:marRight w:val="0"/>
          <w:marTop w:val="0"/>
          <w:marBottom w:val="0"/>
          <w:divBdr>
            <w:top w:val="none" w:sz="0" w:space="0" w:color="auto"/>
            <w:left w:val="none" w:sz="0" w:space="0" w:color="auto"/>
            <w:bottom w:val="none" w:sz="0" w:space="0" w:color="auto"/>
            <w:right w:val="none" w:sz="0" w:space="0" w:color="auto"/>
          </w:divBdr>
        </w:div>
      </w:divsChild>
    </w:div>
    <w:div w:id="665131212">
      <w:bodyDiv w:val="1"/>
      <w:marLeft w:val="0"/>
      <w:marRight w:val="0"/>
      <w:marTop w:val="0"/>
      <w:marBottom w:val="0"/>
      <w:divBdr>
        <w:top w:val="none" w:sz="0" w:space="0" w:color="auto"/>
        <w:left w:val="none" w:sz="0" w:space="0" w:color="auto"/>
        <w:bottom w:val="none" w:sz="0" w:space="0" w:color="auto"/>
        <w:right w:val="none" w:sz="0" w:space="0" w:color="auto"/>
      </w:divBdr>
      <w:divsChild>
        <w:div w:id="377246813">
          <w:marLeft w:val="0"/>
          <w:marRight w:val="0"/>
          <w:marTop w:val="0"/>
          <w:marBottom w:val="0"/>
          <w:divBdr>
            <w:top w:val="none" w:sz="0" w:space="0" w:color="auto"/>
            <w:left w:val="none" w:sz="0" w:space="0" w:color="auto"/>
            <w:bottom w:val="none" w:sz="0" w:space="0" w:color="auto"/>
            <w:right w:val="none" w:sz="0" w:space="0" w:color="auto"/>
          </w:divBdr>
          <w:divsChild>
            <w:div w:id="5351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1189">
      <w:bodyDiv w:val="1"/>
      <w:marLeft w:val="0"/>
      <w:marRight w:val="0"/>
      <w:marTop w:val="0"/>
      <w:marBottom w:val="0"/>
      <w:divBdr>
        <w:top w:val="none" w:sz="0" w:space="0" w:color="auto"/>
        <w:left w:val="none" w:sz="0" w:space="0" w:color="auto"/>
        <w:bottom w:val="none" w:sz="0" w:space="0" w:color="auto"/>
        <w:right w:val="none" w:sz="0" w:space="0" w:color="auto"/>
      </w:divBdr>
    </w:div>
    <w:div w:id="738285269">
      <w:bodyDiv w:val="1"/>
      <w:marLeft w:val="0"/>
      <w:marRight w:val="0"/>
      <w:marTop w:val="0"/>
      <w:marBottom w:val="0"/>
      <w:divBdr>
        <w:top w:val="none" w:sz="0" w:space="0" w:color="auto"/>
        <w:left w:val="none" w:sz="0" w:space="0" w:color="auto"/>
        <w:bottom w:val="none" w:sz="0" w:space="0" w:color="auto"/>
        <w:right w:val="none" w:sz="0" w:space="0" w:color="auto"/>
      </w:divBdr>
    </w:div>
    <w:div w:id="750547486">
      <w:marLeft w:val="0"/>
      <w:marRight w:val="0"/>
      <w:marTop w:val="0"/>
      <w:marBottom w:val="0"/>
      <w:divBdr>
        <w:top w:val="none" w:sz="0" w:space="0" w:color="auto"/>
        <w:left w:val="none" w:sz="0" w:space="0" w:color="auto"/>
        <w:bottom w:val="none" w:sz="0" w:space="0" w:color="auto"/>
        <w:right w:val="none" w:sz="0" w:space="0" w:color="auto"/>
      </w:divBdr>
      <w:divsChild>
        <w:div w:id="1032222279">
          <w:marLeft w:val="0"/>
          <w:marRight w:val="0"/>
          <w:marTop w:val="0"/>
          <w:marBottom w:val="0"/>
          <w:divBdr>
            <w:top w:val="none" w:sz="0" w:space="0" w:color="auto"/>
            <w:left w:val="none" w:sz="0" w:space="0" w:color="auto"/>
            <w:bottom w:val="none" w:sz="0" w:space="0" w:color="auto"/>
            <w:right w:val="none" w:sz="0" w:space="0" w:color="auto"/>
          </w:divBdr>
        </w:div>
      </w:divsChild>
    </w:div>
    <w:div w:id="773094122">
      <w:bodyDiv w:val="1"/>
      <w:marLeft w:val="0"/>
      <w:marRight w:val="0"/>
      <w:marTop w:val="0"/>
      <w:marBottom w:val="0"/>
      <w:divBdr>
        <w:top w:val="none" w:sz="0" w:space="0" w:color="auto"/>
        <w:left w:val="none" w:sz="0" w:space="0" w:color="auto"/>
        <w:bottom w:val="none" w:sz="0" w:space="0" w:color="auto"/>
        <w:right w:val="none" w:sz="0" w:space="0" w:color="auto"/>
      </w:divBdr>
    </w:div>
    <w:div w:id="842087604">
      <w:bodyDiv w:val="1"/>
      <w:marLeft w:val="0"/>
      <w:marRight w:val="0"/>
      <w:marTop w:val="0"/>
      <w:marBottom w:val="0"/>
      <w:divBdr>
        <w:top w:val="none" w:sz="0" w:space="0" w:color="auto"/>
        <w:left w:val="none" w:sz="0" w:space="0" w:color="auto"/>
        <w:bottom w:val="none" w:sz="0" w:space="0" w:color="auto"/>
        <w:right w:val="none" w:sz="0" w:space="0" w:color="auto"/>
      </w:divBdr>
    </w:div>
    <w:div w:id="845945674">
      <w:bodyDiv w:val="1"/>
      <w:marLeft w:val="0"/>
      <w:marRight w:val="0"/>
      <w:marTop w:val="0"/>
      <w:marBottom w:val="0"/>
      <w:divBdr>
        <w:top w:val="none" w:sz="0" w:space="0" w:color="auto"/>
        <w:left w:val="none" w:sz="0" w:space="0" w:color="auto"/>
        <w:bottom w:val="none" w:sz="0" w:space="0" w:color="auto"/>
        <w:right w:val="none" w:sz="0" w:space="0" w:color="auto"/>
      </w:divBdr>
    </w:div>
    <w:div w:id="860313677">
      <w:bodyDiv w:val="1"/>
      <w:marLeft w:val="0"/>
      <w:marRight w:val="0"/>
      <w:marTop w:val="0"/>
      <w:marBottom w:val="0"/>
      <w:divBdr>
        <w:top w:val="none" w:sz="0" w:space="0" w:color="auto"/>
        <w:left w:val="none" w:sz="0" w:space="0" w:color="auto"/>
        <w:bottom w:val="none" w:sz="0" w:space="0" w:color="auto"/>
        <w:right w:val="none" w:sz="0" w:space="0" w:color="auto"/>
      </w:divBdr>
      <w:divsChild>
        <w:div w:id="191966185">
          <w:marLeft w:val="1166"/>
          <w:marRight w:val="0"/>
          <w:marTop w:val="82"/>
          <w:marBottom w:val="0"/>
          <w:divBdr>
            <w:top w:val="none" w:sz="0" w:space="0" w:color="auto"/>
            <w:left w:val="none" w:sz="0" w:space="0" w:color="auto"/>
            <w:bottom w:val="none" w:sz="0" w:space="0" w:color="auto"/>
            <w:right w:val="none" w:sz="0" w:space="0" w:color="auto"/>
          </w:divBdr>
        </w:div>
        <w:div w:id="206652288">
          <w:marLeft w:val="1166"/>
          <w:marRight w:val="0"/>
          <w:marTop w:val="82"/>
          <w:marBottom w:val="0"/>
          <w:divBdr>
            <w:top w:val="none" w:sz="0" w:space="0" w:color="auto"/>
            <w:left w:val="none" w:sz="0" w:space="0" w:color="auto"/>
            <w:bottom w:val="none" w:sz="0" w:space="0" w:color="auto"/>
            <w:right w:val="none" w:sz="0" w:space="0" w:color="auto"/>
          </w:divBdr>
        </w:div>
        <w:div w:id="212277177">
          <w:marLeft w:val="1166"/>
          <w:marRight w:val="0"/>
          <w:marTop w:val="82"/>
          <w:marBottom w:val="0"/>
          <w:divBdr>
            <w:top w:val="none" w:sz="0" w:space="0" w:color="auto"/>
            <w:left w:val="none" w:sz="0" w:space="0" w:color="auto"/>
            <w:bottom w:val="none" w:sz="0" w:space="0" w:color="auto"/>
            <w:right w:val="none" w:sz="0" w:space="0" w:color="auto"/>
          </w:divBdr>
        </w:div>
        <w:div w:id="362554452">
          <w:marLeft w:val="1166"/>
          <w:marRight w:val="0"/>
          <w:marTop w:val="82"/>
          <w:marBottom w:val="0"/>
          <w:divBdr>
            <w:top w:val="none" w:sz="0" w:space="0" w:color="auto"/>
            <w:left w:val="none" w:sz="0" w:space="0" w:color="auto"/>
            <w:bottom w:val="none" w:sz="0" w:space="0" w:color="auto"/>
            <w:right w:val="none" w:sz="0" w:space="0" w:color="auto"/>
          </w:divBdr>
        </w:div>
        <w:div w:id="776407315">
          <w:marLeft w:val="1166"/>
          <w:marRight w:val="0"/>
          <w:marTop w:val="82"/>
          <w:marBottom w:val="0"/>
          <w:divBdr>
            <w:top w:val="none" w:sz="0" w:space="0" w:color="auto"/>
            <w:left w:val="none" w:sz="0" w:space="0" w:color="auto"/>
            <w:bottom w:val="none" w:sz="0" w:space="0" w:color="auto"/>
            <w:right w:val="none" w:sz="0" w:space="0" w:color="auto"/>
          </w:divBdr>
        </w:div>
        <w:div w:id="1105612979">
          <w:marLeft w:val="1166"/>
          <w:marRight w:val="0"/>
          <w:marTop w:val="82"/>
          <w:marBottom w:val="0"/>
          <w:divBdr>
            <w:top w:val="none" w:sz="0" w:space="0" w:color="auto"/>
            <w:left w:val="none" w:sz="0" w:space="0" w:color="auto"/>
            <w:bottom w:val="none" w:sz="0" w:space="0" w:color="auto"/>
            <w:right w:val="none" w:sz="0" w:space="0" w:color="auto"/>
          </w:divBdr>
        </w:div>
        <w:div w:id="1490244876">
          <w:marLeft w:val="1166"/>
          <w:marRight w:val="0"/>
          <w:marTop w:val="82"/>
          <w:marBottom w:val="0"/>
          <w:divBdr>
            <w:top w:val="none" w:sz="0" w:space="0" w:color="auto"/>
            <w:left w:val="none" w:sz="0" w:space="0" w:color="auto"/>
            <w:bottom w:val="none" w:sz="0" w:space="0" w:color="auto"/>
            <w:right w:val="none" w:sz="0" w:space="0" w:color="auto"/>
          </w:divBdr>
        </w:div>
      </w:divsChild>
    </w:div>
    <w:div w:id="873233785">
      <w:marLeft w:val="0"/>
      <w:marRight w:val="0"/>
      <w:marTop w:val="0"/>
      <w:marBottom w:val="0"/>
      <w:divBdr>
        <w:top w:val="none" w:sz="0" w:space="0" w:color="auto"/>
        <w:left w:val="none" w:sz="0" w:space="0" w:color="auto"/>
        <w:bottom w:val="none" w:sz="0" w:space="0" w:color="auto"/>
        <w:right w:val="none" w:sz="0" w:space="0" w:color="auto"/>
      </w:divBdr>
      <w:divsChild>
        <w:div w:id="1653439274">
          <w:marLeft w:val="0"/>
          <w:marRight w:val="0"/>
          <w:marTop w:val="0"/>
          <w:marBottom w:val="0"/>
          <w:divBdr>
            <w:top w:val="none" w:sz="0" w:space="0" w:color="auto"/>
            <w:left w:val="none" w:sz="0" w:space="0" w:color="auto"/>
            <w:bottom w:val="none" w:sz="0" w:space="0" w:color="auto"/>
            <w:right w:val="none" w:sz="0" w:space="0" w:color="auto"/>
          </w:divBdr>
        </w:div>
      </w:divsChild>
    </w:div>
    <w:div w:id="885528286">
      <w:bodyDiv w:val="1"/>
      <w:marLeft w:val="0"/>
      <w:marRight w:val="0"/>
      <w:marTop w:val="0"/>
      <w:marBottom w:val="0"/>
      <w:divBdr>
        <w:top w:val="none" w:sz="0" w:space="0" w:color="auto"/>
        <w:left w:val="none" w:sz="0" w:space="0" w:color="auto"/>
        <w:bottom w:val="none" w:sz="0" w:space="0" w:color="auto"/>
        <w:right w:val="none" w:sz="0" w:space="0" w:color="auto"/>
      </w:divBdr>
    </w:div>
    <w:div w:id="894193594">
      <w:bodyDiv w:val="1"/>
      <w:marLeft w:val="0"/>
      <w:marRight w:val="0"/>
      <w:marTop w:val="0"/>
      <w:marBottom w:val="0"/>
      <w:divBdr>
        <w:top w:val="none" w:sz="0" w:space="0" w:color="auto"/>
        <w:left w:val="none" w:sz="0" w:space="0" w:color="auto"/>
        <w:bottom w:val="none" w:sz="0" w:space="0" w:color="auto"/>
        <w:right w:val="none" w:sz="0" w:space="0" w:color="auto"/>
      </w:divBdr>
    </w:div>
    <w:div w:id="940533996">
      <w:marLeft w:val="0"/>
      <w:marRight w:val="0"/>
      <w:marTop w:val="0"/>
      <w:marBottom w:val="0"/>
      <w:divBdr>
        <w:top w:val="none" w:sz="0" w:space="0" w:color="auto"/>
        <w:left w:val="none" w:sz="0" w:space="0" w:color="auto"/>
        <w:bottom w:val="none" w:sz="0" w:space="0" w:color="auto"/>
        <w:right w:val="none" w:sz="0" w:space="0" w:color="auto"/>
      </w:divBdr>
      <w:divsChild>
        <w:div w:id="410352663">
          <w:marLeft w:val="0"/>
          <w:marRight w:val="0"/>
          <w:marTop w:val="0"/>
          <w:marBottom w:val="0"/>
          <w:divBdr>
            <w:top w:val="none" w:sz="0" w:space="0" w:color="auto"/>
            <w:left w:val="none" w:sz="0" w:space="0" w:color="auto"/>
            <w:bottom w:val="none" w:sz="0" w:space="0" w:color="auto"/>
            <w:right w:val="none" w:sz="0" w:space="0" w:color="auto"/>
          </w:divBdr>
        </w:div>
      </w:divsChild>
    </w:div>
    <w:div w:id="943613571">
      <w:bodyDiv w:val="1"/>
      <w:marLeft w:val="0"/>
      <w:marRight w:val="0"/>
      <w:marTop w:val="0"/>
      <w:marBottom w:val="0"/>
      <w:divBdr>
        <w:top w:val="none" w:sz="0" w:space="0" w:color="auto"/>
        <w:left w:val="none" w:sz="0" w:space="0" w:color="auto"/>
        <w:bottom w:val="none" w:sz="0" w:space="0" w:color="auto"/>
        <w:right w:val="none" w:sz="0" w:space="0" w:color="auto"/>
      </w:divBdr>
    </w:div>
    <w:div w:id="954671657">
      <w:bodyDiv w:val="1"/>
      <w:marLeft w:val="0"/>
      <w:marRight w:val="0"/>
      <w:marTop w:val="0"/>
      <w:marBottom w:val="0"/>
      <w:divBdr>
        <w:top w:val="none" w:sz="0" w:space="0" w:color="auto"/>
        <w:left w:val="none" w:sz="0" w:space="0" w:color="auto"/>
        <w:bottom w:val="none" w:sz="0" w:space="0" w:color="auto"/>
        <w:right w:val="none" w:sz="0" w:space="0" w:color="auto"/>
      </w:divBdr>
      <w:divsChild>
        <w:div w:id="641273812">
          <w:marLeft w:val="1166"/>
          <w:marRight w:val="0"/>
          <w:marTop w:val="82"/>
          <w:marBottom w:val="0"/>
          <w:divBdr>
            <w:top w:val="none" w:sz="0" w:space="0" w:color="auto"/>
            <w:left w:val="none" w:sz="0" w:space="0" w:color="auto"/>
            <w:bottom w:val="none" w:sz="0" w:space="0" w:color="auto"/>
            <w:right w:val="none" w:sz="0" w:space="0" w:color="auto"/>
          </w:divBdr>
        </w:div>
        <w:div w:id="697244727">
          <w:marLeft w:val="1166"/>
          <w:marRight w:val="0"/>
          <w:marTop w:val="82"/>
          <w:marBottom w:val="0"/>
          <w:divBdr>
            <w:top w:val="none" w:sz="0" w:space="0" w:color="auto"/>
            <w:left w:val="none" w:sz="0" w:space="0" w:color="auto"/>
            <w:bottom w:val="none" w:sz="0" w:space="0" w:color="auto"/>
            <w:right w:val="none" w:sz="0" w:space="0" w:color="auto"/>
          </w:divBdr>
        </w:div>
        <w:div w:id="1236402206">
          <w:marLeft w:val="1166"/>
          <w:marRight w:val="0"/>
          <w:marTop w:val="82"/>
          <w:marBottom w:val="0"/>
          <w:divBdr>
            <w:top w:val="none" w:sz="0" w:space="0" w:color="auto"/>
            <w:left w:val="none" w:sz="0" w:space="0" w:color="auto"/>
            <w:bottom w:val="none" w:sz="0" w:space="0" w:color="auto"/>
            <w:right w:val="none" w:sz="0" w:space="0" w:color="auto"/>
          </w:divBdr>
        </w:div>
        <w:div w:id="1652782443">
          <w:marLeft w:val="1166"/>
          <w:marRight w:val="0"/>
          <w:marTop w:val="82"/>
          <w:marBottom w:val="0"/>
          <w:divBdr>
            <w:top w:val="none" w:sz="0" w:space="0" w:color="auto"/>
            <w:left w:val="none" w:sz="0" w:space="0" w:color="auto"/>
            <w:bottom w:val="none" w:sz="0" w:space="0" w:color="auto"/>
            <w:right w:val="none" w:sz="0" w:space="0" w:color="auto"/>
          </w:divBdr>
        </w:div>
        <w:div w:id="1670594022">
          <w:marLeft w:val="1166"/>
          <w:marRight w:val="0"/>
          <w:marTop w:val="82"/>
          <w:marBottom w:val="0"/>
          <w:divBdr>
            <w:top w:val="none" w:sz="0" w:space="0" w:color="auto"/>
            <w:left w:val="none" w:sz="0" w:space="0" w:color="auto"/>
            <w:bottom w:val="none" w:sz="0" w:space="0" w:color="auto"/>
            <w:right w:val="none" w:sz="0" w:space="0" w:color="auto"/>
          </w:divBdr>
        </w:div>
        <w:div w:id="1927959705">
          <w:marLeft w:val="1166"/>
          <w:marRight w:val="0"/>
          <w:marTop w:val="82"/>
          <w:marBottom w:val="0"/>
          <w:divBdr>
            <w:top w:val="none" w:sz="0" w:space="0" w:color="auto"/>
            <w:left w:val="none" w:sz="0" w:space="0" w:color="auto"/>
            <w:bottom w:val="none" w:sz="0" w:space="0" w:color="auto"/>
            <w:right w:val="none" w:sz="0" w:space="0" w:color="auto"/>
          </w:divBdr>
        </w:div>
        <w:div w:id="1982877978">
          <w:marLeft w:val="1166"/>
          <w:marRight w:val="0"/>
          <w:marTop w:val="82"/>
          <w:marBottom w:val="0"/>
          <w:divBdr>
            <w:top w:val="none" w:sz="0" w:space="0" w:color="auto"/>
            <w:left w:val="none" w:sz="0" w:space="0" w:color="auto"/>
            <w:bottom w:val="none" w:sz="0" w:space="0" w:color="auto"/>
            <w:right w:val="none" w:sz="0" w:space="0" w:color="auto"/>
          </w:divBdr>
        </w:div>
        <w:div w:id="2037005347">
          <w:marLeft w:val="1166"/>
          <w:marRight w:val="0"/>
          <w:marTop w:val="82"/>
          <w:marBottom w:val="0"/>
          <w:divBdr>
            <w:top w:val="none" w:sz="0" w:space="0" w:color="auto"/>
            <w:left w:val="none" w:sz="0" w:space="0" w:color="auto"/>
            <w:bottom w:val="none" w:sz="0" w:space="0" w:color="auto"/>
            <w:right w:val="none" w:sz="0" w:space="0" w:color="auto"/>
          </w:divBdr>
        </w:div>
      </w:divsChild>
    </w:div>
    <w:div w:id="956831405">
      <w:bodyDiv w:val="1"/>
      <w:marLeft w:val="0"/>
      <w:marRight w:val="0"/>
      <w:marTop w:val="0"/>
      <w:marBottom w:val="0"/>
      <w:divBdr>
        <w:top w:val="none" w:sz="0" w:space="0" w:color="auto"/>
        <w:left w:val="none" w:sz="0" w:space="0" w:color="auto"/>
        <w:bottom w:val="none" w:sz="0" w:space="0" w:color="auto"/>
        <w:right w:val="none" w:sz="0" w:space="0" w:color="auto"/>
      </w:divBdr>
    </w:div>
    <w:div w:id="961569835">
      <w:bodyDiv w:val="1"/>
      <w:marLeft w:val="0"/>
      <w:marRight w:val="0"/>
      <w:marTop w:val="0"/>
      <w:marBottom w:val="0"/>
      <w:divBdr>
        <w:top w:val="none" w:sz="0" w:space="0" w:color="auto"/>
        <w:left w:val="none" w:sz="0" w:space="0" w:color="auto"/>
        <w:bottom w:val="none" w:sz="0" w:space="0" w:color="auto"/>
        <w:right w:val="none" w:sz="0" w:space="0" w:color="auto"/>
      </w:divBdr>
      <w:divsChild>
        <w:div w:id="465196252">
          <w:marLeft w:val="1166"/>
          <w:marRight w:val="0"/>
          <w:marTop w:val="82"/>
          <w:marBottom w:val="0"/>
          <w:divBdr>
            <w:top w:val="none" w:sz="0" w:space="0" w:color="auto"/>
            <w:left w:val="none" w:sz="0" w:space="0" w:color="auto"/>
            <w:bottom w:val="none" w:sz="0" w:space="0" w:color="auto"/>
            <w:right w:val="none" w:sz="0" w:space="0" w:color="auto"/>
          </w:divBdr>
        </w:div>
        <w:div w:id="974917194">
          <w:marLeft w:val="1166"/>
          <w:marRight w:val="0"/>
          <w:marTop w:val="82"/>
          <w:marBottom w:val="0"/>
          <w:divBdr>
            <w:top w:val="none" w:sz="0" w:space="0" w:color="auto"/>
            <w:left w:val="none" w:sz="0" w:space="0" w:color="auto"/>
            <w:bottom w:val="none" w:sz="0" w:space="0" w:color="auto"/>
            <w:right w:val="none" w:sz="0" w:space="0" w:color="auto"/>
          </w:divBdr>
        </w:div>
        <w:div w:id="1292437819">
          <w:marLeft w:val="1166"/>
          <w:marRight w:val="0"/>
          <w:marTop w:val="82"/>
          <w:marBottom w:val="0"/>
          <w:divBdr>
            <w:top w:val="none" w:sz="0" w:space="0" w:color="auto"/>
            <w:left w:val="none" w:sz="0" w:space="0" w:color="auto"/>
            <w:bottom w:val="none" w:sz="0" w:space="0" w:color="auto"/>
            <w:right w:val="none" w:sz="0" w:space="0" w:color="auto"/>
          </w:divBdr>
        </w:div>
        <w:div w:id="1544250394">
          <w:marLeft w:val="1166"/>
          <w:marRight w:val="0"/>
          <w:marTop w:val="82"/>
          <w:marBottom w:val="0"/>
          <w:divBdr>
            <w:top w:val="none" w:sz="0" w:space="0" w:color="auto"/>
            <w:left w:val="none" w:sz="0" w:space="0" w:color="auto"/>
            <w:bottom w:val="none" w:sz="0" w:space="0" w:color="auto"/>
            <w:right w:val="none" w:sz="0" w:space="0" w:color="auto"/>
          </w:divBdr>
        </w:div>
        <w:div w:id="1618640566">
          <w:marLeft w:val="1166"/>
          <w:marRight w:val="0"/>
          <w:marTop w:val="82"/>
          <w:marBottom w:val="0"/>
          <w:divBdr>
            <w:top w:val="none" w:sz="0" w:space="0" w:color="auto"/>
            <w:left w:val="none" w:sz="0" w:space="0" w:color="auto"/>
            <w:bottom w:val="none" w:sz="0" w:space="0" w:color="auto"/>
            <w:right w:val="none" w:sz="0" w:space="0" w:color="auto"/>
          </w:divBdr>
        </w:div>
        <w:div w:id="1932084060">
          <w:marLeft w:val="1166"/>
          <w:marRight w:val="0"/>
          <w:marTop w:val="82"/>
          <w:marBottom w:val="0"/>
          <w:divBdr>
            <w:top w:val="none" w:sz="0" w:space="0" w:color="auto"/>
            <w:left w:val="none" w:sz="0" w:space="0" w:color="auto"/>
            <w:bottom w:val="none" w:sz="0" w:space="0" w:color="auto"/>
            <w:right w:val="none" w:sz="0" w:space="0" w:color="auto"/>
          </w:divBdr>
        </w:div>
        <w:div w:id="1955673502">
          <w:marLeft w:val="1166"/>
          <w:marRight w:val="0"/>
          <w:marTop w:val="82"/>
          <w:marBottom w:val="0"/>
          <w:divBdr>
            <w:top w:val="none" w:sz="0" w:space="0" w:color="auto"/>
            <w:left w:val="none" w:sz="0" w:space="0" w:color="auto"/>
            <w:bottom w:val="none" w:sz="0" w:space="0" w:color="auto"/>
            <w:right w:val="none" w:sz="0" w:space="0" w:color="auto"/>
          </w:divBdr>
        </w:div>
        <w:div w:id="1968969981">
          <w:marLeft w:val="1166"/>
          <w:marRight w:val="0"/>
          <w:marTop w:val="82"/>
          <w:marBottom w:val="0"/>
          <w:divBdr>
            <w:top w:val="none" w:sz="0" w:space="0" w:color="auto"/>
            <w:left w:val="none" w:sz="0" w:space="0" w:color="auto"/>
            <w:bottom w:val="none" w:sz="0" w:space="0" w:color="auto"/>
            <w:right w:val="none" w:sz="0" w:space="0" w:color="auto"/>
          </w:divBdr>
        </w:div>
        <w:div w:id="2004697902">
          <w:marLeft w:val="1166"/>
          <w:marRight w:val="0"/>
          <w:marTop w:val="82"/>
          <w:marBottom w:val="0"/>
          <w:divBdr>
            <w:top w:val="none" w:sz="0" w:space="0" w:color="auto"/>
            <w:left w:val="none" w:sz="0" w:space="0" w:color="auto"/>
            <w:bottom w:val="none" w:sz="0" w:space="0" w:color="auto"/>
            <w:right w:val="none" w:sz="0" w:space="0" w:color="auto"/>
          </w:divBdr>
        </w:div>
      </w:divsChild>
    </w:div>
    <w:div w:id="1078746794">
      <w:bodyDiv w:val="1"/>
      <w:marLeft w:val="0"/>
      <w:marRight w:val="0"/>
      <w:marTop w:val="0"/>
      <w:marBottom w:val="0"/>
      <w:divBdr>
        <w:top w:val="none" w:sz="0" w:space="0" w:color="auto"/>
        <w:left w:val="none" w:sz="0" w:space="0" w:color="auto"/>
        <w:bottom w:val="none" w:sz="0" w:space="0" w:color="auto"/>
        <w:right w:val="none" w:sz="0" w:space="0" w:color="auto"/>
      </w:divBdr>
    </w:div>
    <w:div w:id="1085682896">
      <w:bodyDiv w:val="1"/>
      <w:marLeft w:val="0"/>
      <w:marRight w:val="0"/>
      <w:marTop w:val="0"/>
      <w:marBottom w:val="0"/>
      <w:divBdr>
        <w:top w:val="none" w:sz="0" w:space="0" w:color="auto"/>
        <w:left w:val="none" w:sz="0" w:space="0" w:color="auto"/>
        <w:bottom w:val="none" w:sz="0" w:space="0" w:color="auto"/>
        <w:right w:val="none" w:sz="0" w:space="0" w:color="auto"/>
      </w:divBdr>
    </w:div>
    <w:div w:id="1113015963">
      <w:bodyDiv w:val="1"/>
      <w:marLeft w:val="0"/>
      <w:marRight w:val="0"/>
      <w:marTop w:val="0"/>
      <w:marBottom w:val="0"/>
      <w:divBdr>
        <w:top w:val="none" w:sz="0" w:space="0" w:color="auto"/>
        <w:left w:val="none" w:sz="0" w:space="0" w:color="auto"/>
        <w:bottom w:val="none" w:sz="0" w:space="0" w:color="auto"/>
        <w:right w:val="none" w:sz="0" w:space="0" w:color="auto"/>
      </w:divBdr>
    </w:div>
    <w:div w:id="1344473360">
      <w:marLeft w:val="0"/>
      <w:marRight w:val="0"/>
      <w:marTop w:val="0"/>
      <w:marBottom w:val="0"/>
      <w:divBdr>
        <w:top w:val="none" w:sz="0" w:space="0" w:color="auto"/>
        <w:left w:val="none" w:sz="0" w:space="0" w:color="auto"/>
        <w:bottom w:val="none" w:sz="0" w:space="0" w:color="auto"/>
        <w:right w:val="none" w:sz="0" w:space="0" w:color="auto"/>
      </w:divBdr>
      <w:divsChild>
        <w:div w:id="518086678">
          <w:marLeft w:val="0"/>
          <w:marRight w:val="0"/>
          <w:marTop w:val="0"/>
          <w:marBottom w:val="0"/>
          <w:divBdr>
            <w:top w:val="none" w:sz="0" w:space="0" w:color="auto"/>
            <w:left w:val="none" w:sz="0" w:space="0" w:color="auto"/>
            <w:bottom w:val="none" w:sz="0" w:space="0" w:color="auto"/>
            <w:right w:val="none" w:sz="0" w:space="0" w:color="auto"/>
          </w:divBdr>
        </w:div>
      </w:divsChild>
    </w:div>
    <w:div w:id="1419785246">
      <w:bodyDiv w:val="1"/>
      <w:marLeft w:val="0"/>
      <w:marRight w:val="0"/>
      <w:marTop w:val="0"/>
      <w:marBottom w:val="0"/>
      <w:divBdr>
        <w:top w:val="none" w:sz="0" w:space="0" w:color="auto"/>
        <w:left w:val="none" w:sz="0" w:space="0" w:color="auto"/>
        <w:bottom w:val="none" w:sz="0" w:space="0" w:color="auto"/>
        <w:right w:val="none" w:sz="0" w:space="0" w:color="auto"/>
      </w:divBdr>
    </w:div>
    <w:div w:id="1444154822">
      <w:bodyDiv w:val="1"/>
      <w:marLeft w:val="0"/>
      <w:marRight w:val="0"/>
      <w:marTop w:val="0"/>
      <w:marBottom w:val="0"/>
      <w:divBdr>
        <w:top w:val="none" w:sz="0" w:space="0" w:color="auto"/>
        <w:left w:val="none" w:sz="0" w:space="0" w:color="auto"/>
        <w:bottom w:val="none" w:sz="0" w:space="0" w:color="auto"/>
        <w:right w:val="none" w:sz="0" w:space="0" w:color="auto"/>
      </w:divBdr>
    </w:div>
    <w:div w:id="1458374118">
      <w:bodyDiv w:val="1"/>
      <w:marLeft w:val="0"/>
      <w:marRight w:val="0"/>
      <w:marTop w:val="0"/>
      <w:marBottom w:val="0"/>
      <w:divBdr>
        <w:top w:val="none" w:sz="0" w:space="0" w:color="auto"/>
        <w:left w:val="none" w:sz="0" w:space="0" w:color="auto"/>
        <w:bottom w:val="none" w:sz="0" w:space="0" w:color="auto"/>
        <w:right w:val="none" w:sz="0" w:space="0" w:color="auto"/>
      </w:divBdr>
    </w:div>
    <w:div w:id="1467313389">
      <w:bodyDiv w:val="1"/>
      <w:marLeft w:val="0"/>
      <w:marRight w:val="0"/>
      <w:marTop w:val="0"/>
      <w:marBottom w:val="0"/>
      <w:divBdr>
        <w:top w:val="none" w:sz="0" w:space="0" w:color="auto"/>
        <w:left w:val="none" w:sz="0" w:space="0" w:color="auto"/>
        <w:bottom w:val="none" w:sz="0" w:space="0" w:color="auto"/>
        <w:right w:val="none" w:sz="0" w:space="0" w:color="auto"/>
      </w:divBdr>
    </w:div>
    <w:div w:id="1502624380">
      <w:marLeft w:val="0"/>
      <w:marRight w:val="0"/>
      <w:marTop w:val="0"/>
      <w:marBottom w:val="0"/>
      <w:divBdr>
        <w:top w:val="none" w:sz="0" w:space="0" w:color="auto"/>
        <w:left w:val="none" w:sz="0" w:space="0" w:color="auto"/>
        <w:bottom w:val="none" w:sz="0" w:space="0" w:color="auto"/>
        <w:right w:val="none" w:sz="0" w:space="0" w:color="auto"/>
      </w:divBdr>
      <w:divsChild>
        <w:div w:id="1082024642">
          <w:marLeft w:val="0"/>
          <w:marRight w:val="0"/>
          <w:marTop w:val="0"/>
          <w:marBottom w:val="0"/>
          <w:divBdr>
            <w:top w:val="none" w:sz="0" w:space="0" w:color="auto"/>
            <w:left w:val="none" w:sz="0" w:space="0" w:color="auto"/>
            <w:bottom w:val="none" w:sz="0" w:space="0" w:color="auto"/>
            <w:right w:val="none" w:sz="0" w:space="0" w:color="auto"/>
          </w:divBdr>
        </w:div>
      </w:divsChild>
    </w:div>
    <w:div w:id="1527864076">
      <w:marLeft w:val="0"/>
      <w:marRight w:val="0"/>
      <w:marTop w:val="0"/>
      <w:marBottom w:val="0"/>
      <w:divBdr>
        <w:top w:val="none" w:sz="0" w:space="0" w:color="auto"/>
        <w:left w:val="none" w:sz="0" w:space="0" w:color="auto"/>
        <w:bottom w:val="none" w:sz="0" w:space="0" w:color="auto"/>
        <w:right w:val="none" w:sz="0" w:space="0" w:color="auto"/>
      </w:divBdr>
      <w:divsChild>
        <w:div w:id="2098137191">
          <w:marLeft w:val="0"/>
          <w:marRight w:val="0"/>
          <w:marTop w:val="0"/>
          <w:marBottom w:val="0"/>
          <w:divBdr>
            <w:top w:val="none" w:sz="0" w:space="0" w:color="auto"/>
            <w:left w:val="none" w:sz="0" w:space="0" w:color="auto"/>
            <w:bottom w:val="none" w:sz="0" w:space="0" w:color="auto"/>
            <w:right w:val="none" w:sz="0" w:space="0" w:color="auto"/>
          </w:divBdr>
        </w:div>
      </w:divsChild>
    </w:div>
    <w:div w:id="1530802762">
      <w:bodyDiv w:val="1"/>
      <w:marLeft w:val="0"/>
      <w:marRight w:val="0"/>
      <w:marTop w:val="0"/>
      <w:marBottom w:val="0"/>
      <w:divBdr>
        <w:top w:val="none" w:sz="0" w:space="0" w:color="auto"/>
        <w:left w:val="none" w:sz="0" w:space="0" w:color="auto"/>
        <w:bottom w:val="none" w:sz="0" w:space="0" w:color="auto"/>
        <w:right w:val="none" w:sz="0" w:space="0" w:color="auto"/>
      </w:divBdr>
    </w:div>
    <w:div w:id="1563712512">
      <w:bodyDiv w:val="1"/>
      <w:marLeft w:val="0"/>
      <w:marRight w:val="0"/>
      <w:marTop w:val="0"/>
      <w:marBottom w:val="0"/>
      <w:divBdr>
        <w:top w:val="none" w:sz="0" w:space="0" w:color="auto"/>
        <w:left w:val="none" w:sz="0" w:space="0" w:color="auto"/>
        <w:bottom w:val="none" w:sz="0" w:space="0" w:color="auto"/>
        <w:right w:val="none" w:sz="0" w:space="0" w:color="auto"/>
      </w:divBdr>
    </w:div>
    <w:div w:id="1576932100">
      <w:marLeft w:val="0"/>
      <w:marRight w:val="0"/>
      <w:marTop w:val="0"/>
      <w:marBottom w:val="0"/>
      <w:divBdr>
        <w:top w:val="none" w:sz="0" w:space="0" w:color="auto"/>
        <w:left w:val="none" w:sz="0" w:space="0" w:color="auto"/>
        <w:bottom w:val="none" w:sz="0" w:space="0" w:color="auto"/>
        <w:right w:val="none" w:sz="0" w:space="0" w:color="auto"/>
      </w:divBdr>
      <w:divsChild>
        <w:div w:id="889537353">
          <w:marLeft w:val="0"/>
          <w:marRight w:val="0"/>
          <w:marTop w:val="0"/>
          <w:marBottom w:val="0"/>
          <w:divBdr>
            <w:top w:val="none" w:sz="0" w:space="0" w:color="auto"/>
            <w:left w:val="none" w:sz="0" w:space="0" w:color="auto"/>
            <w:bottom w:val="none" w:sz="0" w:space="0" w:color="auto"/>
            <w:right w:val="none" w:sz="0" w:space="0" w:color="auto"/>
          </w:divBdr>
        </w:div>
      </w:divsChild>
    </w:div>
    <w:div w:id="1580208139">
      <w:marLeft w:val="0"/>
      <w:marRight w:val="0"/>
      <w:marTop w:val="0"/>
      <w:marBottom w:val="0"/>
      <w:divBdr>
        <w:top w:val="none" w:sz="0" w:space="0" w:color="auto"/>
        <w:left w:val="none" w:sz="0" w:space="0" w:color="auto"/>
        <w:bottom w:val="none" w:sz="0" w:space="0" w:color="auto"/>
        <w:right w:val="none" w:sz="0" w:space="0" w:color="auto"/>
      </w:divBdr>
      <w:divsChild>
        <w:div w:id="1223247549">
          <w:marLeft w:val="0"/>
          <w:marRight w:val="0"/>
          <w:marTop w:val="0"/>
          <w:marBottom w:val="0"/>
          <w:divBdr>
            <w:top w:val="none" w:sz="0" w:space="0" w:color="auto"/>
            <w:left w:val="none" w:sz="0" w:space="0" w:color="auto"/>
            <w:bottom w:val="none" w:sz="0" w:space="0" w:color="auto"/>
            <w:right w:val="none" w:sz="0" w:space="0" w:color="auto"/>
          </w:divBdr>
        </w:div>
      </w:divsChild>
    </w:div>
    <w:div w:id="1592660262">
      <w:bodyDiv w:val="1"/>
      <w:marLeft w:val="0"/>
      <w:marRight w:val="0"/>
      <w:marTop w:val="0"/>
      <w:marBottom w:val="0"/>
      <w:divBdr>
        <w:top w:val="none" w:sz="0" w:space="0" w:color="auto"/>
        <w:left w:val="none" w:sz="0" w:space="0" w:color="auto"/>
        <w:bottom w:val="none" w:sz="0" w:space="0" w:color="auto"/>
        <w:right w:val="none" w:sz="0" w:space="0" w:color="auto"/>
      </w:divBdr>
    </w:div>
    <w:div w:id="1606228066">
      <w:bodyDiv w:val="1"/>
      <w:marLeft w:val="0"/>
      <w:marRight w:val="0"/>
      <w:marTop w:val="0"/>
      <w:marBottom w:val="0"/>
      <w:divBdr>
        <w:top w:val="none" w:sz="0" w:space="0" w:color="auto"/>
        <w:left w:val="none" w:sz="0" w:space="0" w:color="auto"/>
        <w:bottom w:val="none" w:sz="0" w:space="0" w:color="auto"/>
        <w:right w:val="none" w:sz="0" w:space="0" w:color="auto"/>
      </w:divBdr>
    </w:div>
    <w:div w:id="1629360315">
      <w:bodyDiv w:val="1"/>
      <w:marLeft w:val="0"/>
      <w:marRight w:val="0"/>
      <w:marTop w:val="0"/>
      <w:marBottom w:val="0"/>
      <w:divBdr>
        <w:top w:val="none" w:sz="0" w:space="0" w:color="auto"/>
        <w:left w:val="none" w:sz="0" w:space="0" w:color="auto"/>
        <w:bottom w:val="none" w:sz="0" w:space="0" w:color="auto"/>
        <w:right w:val="none" w:sz="0" w:space="0" w:color="auto"/>
      </w:divBdr>
    </w:div>
    <w:div w:id="1636761881">
      <w:bodyDiv w:val="1"/>
      <w:marLeft w:val="0"/>
      <w:marRight w:val="0"/>
      <w:marTop w:val="0"/>
      <w:marBottom w:val="0"/>
      <w:divBdr>
        <w:top w:val="none" w:sz="0" w:space="0" w:color="auto"/>
        <w:left w:val="none" w:sz="0" w:space="0" w:color="auto"/>
        <w:bottom w:val="none" w:sz="0" w:space="0" w:color="auto"/>
        <w:right w:val="none" w:sz="0" w:space="0" w:color="auto"/>
      </w:divBdr>
    </w:div>
    <w:div w:id="1656639418">
      <w:bodyDiv w:val="1"/>
      <w:marLeft w:val="0"/>
      <w:marRight w:val="0"/>
      <w:marTop w:val="0"/>
      <w:marBottom w:val="0"/>
      <w:divBdr>
        <w:top w:val="none" w:sz="0" w:space="0" w:color="auto"/>
        <w:left w:val="none" w:sz="0" w:space="0" w:color="auto"/>
        <w:bottom w:val="none" w:sz="0" w:space="0" w:color="auto"/>
        <w:right w:val="none" w:sz="0" w:space="0" w:color="auto"/>
      </w:divBdr>
    </w:div>
    <w:div w:id="1659067186">
      <w:marLeft w:val="0"/>
      <w:marRight w:val="0"/>
      <w:marTop w:val="0"/>
      <w:marBottom w:val="0"/>
      <w:divBdr>
        <w:top w:val="none" w:sz="0" w:space="0" w:color="auto"/>
        <w:left w:val="none" w:sz="0" w:space="0" w:color="auto"/>
        <w:bottom w:val="none" w:sz="0" w:space="0" w:color="auto"/>
        <w:right w:val="none" w:sz="0" w:space="0" w:color="auto"/>
      </w:divBdr>
      <w:divsChild>
        <w:div w:id="283540801">
          <w:marLeft w:val="0"/>
          <w:marRight w:val="0"/>
          <w:marTop w:val="0"/>
          <w:marBottom w:val="0"/>
          <w:divBdr>
            <w:top w:val="none" w:sz="0" w:space="0" w:color="auto"/>
            <w:left w:val="none" w:sz="0" w:space="0" w:color="auto"/>
            <w:bottom w:val="none" w:sz="0" w:space="0" w:color="auto"/>
            <w:right w:val="none" w:sz="0" w:space="0" w:color="auto"/>
          </w:divBdr>
        </w:div>
      </w:divsChild>
    </w:div>
    <w:div w:id="1685328326">
      <w:bodyDiv w:val="1"/>
      <w:marLeft w:val="0"/>
      <w:marRight w:val="0"/>
      <w:marTop w:val="0"/>
      <w:marBottom w:val="0"/>
      <w:divBdr>
        <w:top w:val="none" w:sz="0" w:space="0" w:color="auto"/>
        <w:left w:val="none" w:sz="0" w:space="0" w:color="auto"/>
        <w:bottom w:val="none" w:sz="0" w:space="0" w:color="auto"/>
        <w:right w:val="none" w:sz="0" w:space="0" w:color="auto"/>
      </w:divBdr>
    </w:div>
    <w:div w:id="1697972470">
      <w:bodyDiv w:val="1"/>
      <w:marLeft w:val="0"/>
      <w:marRight w:val="0"/>
      <w:marTop w:val="0"/>
      <w:marBottom w:val="0"/>
      <w:divBdr>
        <w:top w:val="none" w:sz="0" w:space="0" w:color="auto"/>
        <w:left w:val="none" w:sz="0" w:space="0" w:color="auto"/>
        <w:bottom w:val="none" w:sz="0" w:space="0" w:color="auto"/>
        <w:right w:val="none" w:sz="0" w:space="0" w:color="auto"/>
      </w:divBdr>
    </w:div>
    <w:div w:id="1717966225">
      <w:marLeft w:val="0"/>
      <w:marRight w:val="0"/>
      <w:marTop w:val="0"/>
      <w:marBottom w:val="0"/>
      <w:divBdr>
        <w:top w:val="none" w:sz="0" w:space="0" w:color="auto"/>
        <w:left w:val="none" w:sz="0" w:space="0" w:color="auto"/>
        <w:bottom w:val="none" w:sz="0" w:space="0" w:color="auto"/>
        <w:right w:val="none" w:sz="0" w:space="0" w:color="auto"/>
      </w:divBdr>
      <w:divsChild>
        <w:div w:id="1609853905">
          <w:marLeft w:val="0"/>
          <w:marRight w:val="0"/>
          <w:marTop w:val="0"/>
          <w:marBottom w:val="0"/>
          <w:divBdr>
            <w:top w:val="none" w:sz="0" w:space="0" w:color="auto"/>
            <w:left w:val="none" w:sz="0" w:space="0" w:color="auto"/>
            <w:bottom w:val="none" w:sz="0" w:space="0" w:color="auto"/>
            <w:right w:val="none" w:sz="0" w:space="0" w:color="auto"/>
          </w:divBdr>
        </w:div>
      </w:divsChild>
    </w:div>
    <w:div w:id="1752198864">
      <w:bodyDiv w:val="1"/>
      <w:marLeft w:val="0"/>
      <w:marRight w:val="0"/>
      <w:marTop w:val="0"/>
      <w:marBottom w:val="0"/>
      <w:divBdr>
        <w:top w:val="none" w:sz="0" w:space="0" w:color="auto"/>
        <w:left w:val="none" w:sz="0" w:space="0" w:color="auto"/>
        <w:bottom w:val="none" w:sz="0" w:space="0" w:color="auto"/>
        <w:right w:val="none" w:sz="0" w:space="0" w:color="auto"/>
      </w:divBdr>
      <w:divsChild>
        <w:div w:id="1359819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335131">
      <w:bodyDiv w:val="1"/>
      <w:marLeft w:val="0"/>
      <w:marRight w:val="0"/>
      <w:marTop w:val="0"/>
      <w:marBottom w:val="0"/>
      <w:divBdr>
        <w:top w:val="none" w:sz="0" w:space="0" w:color="auto"/>
        <w:left w:val="none" w:sz="0" w:space="0" w:color="auto"/>
        <w:bottom w:val="none" w:sz="0" w:space="0" w:color="auto"/>
        <w:right w:val="none" w:sz="0" w:space="0" w:color="auto"/>
      </w:divBdr>
    </w:div>
    <w:div w:id="1766730204">
      <w:bodyDiv w:val="1"/>
      <w:marLeft w:val="0"/>
      <w:marRight w:val="0"/>
      <w:marTop w:val="0"/>
      <w:marBottom w:val="0"/>
      <w:divBdr>
        <w:top w:val="none" w:sz="0" w:space="0" w:color="auto"/>
        <w:left w:val="none" w:sz="0" w:space="0" w:color="auto"/>
        <w:bottom w:val="none" w:sz="0" w:space="0" w:color="auto"/>
        <w:right w:val="none" w:sz="0" w:space="0" w:color="auto"/>
      </w:divBdr>
    </w:div>
    <w:div w:id="1781100381">
      <w:marLeft w:val="0"/>
      <w:marRight w:val="0"/>
      <w:marTop w:val="0"/>
      <w:marBottom w:val="0"/>
      <w:divBdr>
        <w:top w:val="none" w:sz="0" w:space="0" w:color="auto"/>
        <w:left w:val="none" w:sz="0" w:space="0" w:color="auto"/>
        <w:bottom w:val="none" w:sz="0" w:space="0" w:color="auto"/>
        <w:right w:val="none" w:sz="0" w:space="0" w:color="auto"/>
      </w:divBdr>
      <w:divsChild>
        <w:div w:id="872425614">
          <w:marLeft w:val="0"/>
          <w:marRight w:val="0"/>
          <w:marTop w:val="0"/>
          <w:marBottom w:val="0"/>
          <w:divBdr>
            <w:top w:val="none" w:sz="0" w:space="0" w:color="auto"/>
            <w:left w:val="none" w:sz="0" w:space="0" w:color="auto"/>
            <w:bottom w:val="none" w:sz="0" w:space="0" w:color="auto"/>
            <w:right w:val="none" w:sz="0" w:space="0" w:color="auto"/>
          </w:divBdr>
        </w:div>
      </w:divsChild>
    </w:div>
    <w:div w:id="1819763577">
      <w:marLeft w:val="0"/>
      <w:marRight w:val="0"/>
      <w:marTop w:val="0"/>
      <w:marBottom w:val="0"/>
      <w:divBdr>
        <w:top w:val="none" w:sz="0" w:space="0" w:color="auto"/>
        <w:left w:val="none" w:sz="0" w:space="0" w:color="auto"/>
        <w:bottom w:val="none" w:sz="0" w:space="0" w:color="auto"/>
        <w:right w:val="none" w:sz="0" w:space="0" w:color="auto"/>
      </w:divBdr>
      <w:divsChild>
        <w:div w:id="92822003">
          <w:marLeft w:val="0"/>
          <w:marRight w:val="0"/>
          <w:marTop w:val="0"/>
          <w:marBottom w:val="0"/>
          <w:divBdr>
            <w:top w:val="none" w:sz="0" w:space="0" w:color="auto"/>
            <w:left w:val="none" w:sz="0" w:space="0" w:color="auto"/>
            <w:bottom w:val="none" w:sz="0" w:space="0" w:color="auto"/>
            <w:right w:val="none" w:sz="0" w:space="0" w:color="auto"/>
          </w:divBdr>
        </w:div>
      </w:divsChild>
    </w:div>
    <w:div w:id="1833914250">
      <w:marLeft w:val="0"/>
      <w:marRight w:val="0"/>
      <w:marTop w:val="0"/>
      <w:marBottom w:val="0"/>
      <w:divBdr>
        <w:top w:val="none" w:sz="0" w:space="0" w:color="auto"/>
        <w:left w:val="none" w:sz="0" w:space="0" w:color="auto"/>
        <w:bottom w:val="none" w:sz="0" w:space="0" w:color="auto"/>
        <w:right w:val="none" w:sz="0" w:space="0" w:color="auto"/>
      </w:divBdr>
      <w:divsChild>
        <w:div w:id="1025593676">
          <w:marLeft w:val="0"/>
          <w:marRight w:val="0"/>
          <w:marTop w:val="0"/>
          <w:marBottom w:val="0"/>
          <w:divBdr>
            <w:top w:val="none" w:sz="0" w:space="0" w:color="auto"/>
            <w:left w:val="none" w:sz="0" w:space="0" w:color="auto"/>
            <w:bottom w:val="none" w:sz="0" w:space="0" w:color="auto"/>
            <w:right w:val="none" w:sz="0" w:space="0" w:color="auto"/>
          </w:divBdr>
        </w:div>
      </w:divsChild>
    </w:div>
    <w:div w:id="1845053057">
      <w:bodyDiv w:val="1"/>
      <w:marLeft w:val="0"/>
      <w:marRight w:val="0"/>
      <w:marTop w:val="0"/>
      <w:marBottom w:val="0"/>
      <w:divBdr>
        <w:top w:val="none" w:sz="0" w:space="0" w:color="auto"/>
        <w:left w:val="none" w:sz="0" w:space="0" w:color="auto"/>
        <w:bottom w:val="none" w:sz="0" w:space="0" w:color="auto"/>
        <w:right w:val="none" w:sz="0" w:space="0" w:color="auto"/>
      </w:divBdr>
    </w:div>
    <w:div w:id="1850680158">
      <w:marLeft w:val="0"/>
      <w:marRight w:val="0"/>
      <w:marTop w:val="0"/>
      <w:marBottom w:val="0"/>
      <w:divBdr>
        <w:top w:val="none" w:sz="0" w:space="0" w:color="auto"/>
        <w:left w:val="none" w:sz="0" w:space="0" w:color="auto"/>
        <w:bottom w:val="none" w:sz="0" w:space="0" w:color="auto"/>
        <w:right w:val="none" w:sz="0" w:space="0" w:color="auto"/>
      </w:divBdr>
      <w:divsChild>
        <w:div w:id="260841717">
          <w:marLeft w:val="0"/>
          <w:marRight w:val="0"/>
          <w:marTop w:val="0"/>
          <w:marBottom w:val="0"/>
          <w:divBdr>
            <w:top w:val="none" w:sz="0" w:space="0" w:color="auto"/>
            <w:left w:val="none" w:sz="0" w:space="0" w:color="auto"/>
            <w:bottom w:val="none" w:sz="0" w:space="0" w:color="auto"/>
            <w:right w:val="none" w:sz="0" w:space="0" w:color="auto"/>
          </w:divBdr>
        </w:div>
      </w:divsChild>
    </w:div>
    <w:div w:id="1878080724">
      <w:bodyDiv w:val="1"/>
      <w:marLeft w:val="0"/>
      <w:marRight w:val="0"/>
      <w:marTop w:val="0"/>
      <w:marBottom w:val="0"/>
      <w:divBdr>
        <w:top w:val="none" w:sz="0" w:space="0" w:color="auto"/>
        <w:left w:val="none" w:sz="0" w:space="0" w:color="auto"/>
        <w:bottom w:val="none" w:sz="0" w:space="0" w:color="auto"/>
        <w:right w:val="none" w:sz="0" w:space="0" w:color="auto"/>
      </w:divBdr>
    </w:div>
    <w:div w:id="1918057345">
      <w:marLeft w:val="0"/>
      <w:marRight w:val="0"/>
      <w:marTop w:val="0"/>
      <w:marBottom w:val="0"/>
      <w:divBdr>
        <w:top w:val="none" w:sz="0" w:space="0" w:color="auto"/>
        <w:left w:val="none" w:sz="0" w:space="0" w:color="auto"/>
        <w:bottom w:val="none" w:sz="0" w:space="0" w:color="auto"/>
        <w:right w:val="none" w:sz="0" w:space="0" w:color="auto"/>
      </w:divBdr>
      <w:divsChild>
        <w:div w:id="1116756948">
          <w:marLeft w:val="0"/>
          <w:marRight w:val="0"/>
          <w:marTop w:val="0"/>
          <w:marBottom w:val="0"/>
          <w:divBdr>
            <w:top w:val="none" w:sz="0" w:space="0" w:color="auto"/>
            <w:left w:val="none" w:sz="0" w:space="0" w:color="auto"/>
            <w:bottom w:val="none" w:sz="0" w:space="0" w:color="auto"/>
            <w:right w:val="none" w:sz="0" w:space="0" w:color="auto"/>
          </w:divBdr>
        </w:div>
      </w:divsChild>
    </w:div>
    <w:div w:id="1918443524">
      <w:bodyDiv w:val="1"/>
      <w:marLeft w:val="0"/>
      <w:marRight w:val="0"/>
      <w:marTop w:val="0"/>
      <w:marBottom w:val="0"/>
      <w:divBdr>
        <w:top w:val="none" w:sz="0" w:space="0" w:color="auto"/>
        <w:left w:val="none" w:sz="0" w:space="0" w:color="auto"/>
        <w:bottom w:val="none" w:sz="0" w:space="0" w:color="auto"/>
        <w:right w:val="none" w:sz="0" w:space="0" w:color="auto"/>
      </w:divBdr>
    </w:div>
    <w:div w:id="1922988140">
      <w:bodyDiv w:val="1"/>
      <w:marLeft w:val="0"/>
      <w:marRight w:val="0"/>
      <w:marTop w:val="0"/>
      <w:marBottom w:val="0"/>
      <w:divBdr>
        <w:top w:val="none" w:sz="0" w:space="0" w:color="auto"/>
        <w:left w:val="none" w:sz="0" w:space="0" w:color="auto"/>
        <w:bottom w:val="none" w:sz="0" w:space="0" w:color="auto"/>
        <w:right w:val="none" w:sz="0" w:space="0" w:color="auto"/>
      </w:divBdr>
    </w:div>
    <w:div w:id="1923054466">
      <w:bodyDiv w:val="1"/>
      <w:marLeft w:val="0"/>
      <w:marRight w:val="0"/>
      <w:marTop w:val="0"/>
      <w:marBottom w:val="0"/>
      <w:divBdr>
        <w:top w:val="none" w:sz="0" w:space="0" w:color="auto"/>
        <w:left w:val="none" w:sz="0" w:space="0" w:color="auto"/>
        <w:bottom w:val="none" w:sz="0" w:space="0" w:color="auto"/>
        <w:right w:val="none" w:sz="0" w:space="0" w:color="auto"/>
      </w:divBdr>
    </w:div>
    <w:div w:id="1945259245">
      <w:bodyDiv w:val="1"/>
      <w:marLeft w:val="0"/>
      <w:marRight w:val="0"/>
      <w:marTop w:val="0"/>
      <w:marBottom w:val="0"/>
      <w:divBdr>
        <w:top w:val="none" w:sz="0" w:space="0" w:color="auto"/>
        <w:left w:val="none" w:sz="0" w:space="0" w:color="auto"/>
        <w:bottom w:val="none" w:sz="0" w:space="0" w:color="auto"/>
        <w:right w:val="none" w:sz="0" w:space="0" w:color="auto"/>
      </w:divBdr>
    </w:div>
    <w:div w:id="2012489199">
      <w:marLeft w:val="0"/>
      <w:marRight w:val="0"/>
      <w:marTop w:val="0"/>
      <w:marBottom w:val="0"/>
      <w:divBdr>
        <w:top w:val="none" w:sz="0" w:space="0" w:color="auto"/>
        <w:left w:val="none" w:sz="0" w:space="0" w:color="auto"/>
        <w:bottom w:val="none" w:sz="0" w:space="0" w:color="auto"/>
        <w:right w:val="none" w:sz="0" w:space="0" w:color="auto"/>
      </w:divBdr>
      <w:divsChild>
        <w:div w:id="1263151310">
          <w:marLeft w:val="0"/>
          <w:marRight w:val="0"/>
          <w:marTop w:val="0"/>
          <w:marBottom w:val="0"/>
          <w:divBdr>
            <w:top w:val="none" w:sz="0" w:space="0" w:color="auto"/>
            <w:left w:val="none" w:sz="0" w:space="0" w:color="auto"/>
            <w:bottom w:val="none" w:sz="0" w:space="0" w:color="auto"/>
            <w:right w:val="none" w:sz="0" w:space="0" w:color="auto"/>
          </w:divBdr>
        </w:div>
      </w:divsChild>
    </w:div>
    <w:div w:id="2112317389">
      <w:marLeft w:val="0"/>
      <w:marRight w:val="0"/>
      <w:marTop w:val="0"/>
      <w:marBottom w:val="0"/>
      <w:divBdr>
        <w:top w:val="none" w:sz="0" w:space="0" w:color="auto"/>
        <w:left w:val="none" w:sz="0" w:space="0" w:color="auto"/>
        <w:bottom w:val="none" w:sz="0" w:space="0" w:color="auto"/>
        <w:right w:val="none" w:sz="0" w:space="0" w:color="auto"/>
      </w:divBdr>
      <w:divsChild>
        <w:div w:id="1621641184">
          <w:marLeft w:val="0"/>
          <w:marRight w:val="0"/>
          <w:marTop w:val="0"/>
          <w:marBottom w:val="0"/>
          <w:divBdr>
            <w:top w:val="none" w:sz="0" w:space="0" w:color="auto"/>
            <w:left w:val="none" w:sz="0" w:space="0" w:color="auto"/>
            <w:bottom w:val="none" w:sz="0" w:space="0" w:color="auto"/>
            <w:right w:val="none" w:sz="0" w:space="0" w:color="auto"/>
          </w:divBdr>
        </w:div>
      </w:divsChild>
    </w:div>
    <w:div w:id="2112580206">
      <w:bodyDiv w:val="1"/>
      <w:marLeft w:val="0"/>
      <w:marRight w:val="0"/>
      <w:marTop w:val="0"/>
      <w:marBottom w:val="0"/>
      <w:divBdr>
        <w:top w:val="none" w:sz="0" w:space="0" w:color="auto"/>
        <w:left w:val="none" w:sz="0" w:space="0" w:color="auto"/>
        <w:bottom w:val="none" w:sz="0" w:space="0" w:color="auto"/>
        <w:right w:val="none" w:sz="0" w:space="0" w:color="auto"/>
      </w:divBdr>
    </w:div>
    <w:div w:id="2120293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tiff"/><Relationship Id="rId21" Type="http://schemas.openxmlformats.org/officeDocument/2006/relationships/image" Target="media/image5.e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07" Type="http://schemas.openxmlformats.org/officeDocument/2006/relationships/image" Target="media/image91.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emf"/><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4.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emf"/><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image" Target="media/image87.png"/><Relationship Id="rId108" Type="http://schemas.openxmlformats.org/officeDocument/2006/relationships/image" Target="media/image92.png"/><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172610-25bb-46a1-b16f-66bb4eaf823a">
      <Value>2</Value>
      <Value>1</Value>
    </TaxCatchAll>
    <lcf76f155ced4ddcb4097134ff3c332f xmlns="695a8670-8810-4d9d-b8f3-c67e634357a6">
      <Terms xmlns="http://schemas.microsoft.com/office/infopath/2007/PartnerControls"/>
    </lcf76f155ced4ddcb4097134ff3c332f>
    <f3ed7f362db545f782d865836adbb2f0 xmlns="72567383-1e26-4692-bdad-5f5be69e1590">
      <Terms xmlns="http://schemas.microsoft.com/office/infopath/2007/PartnerControls"/>
    </f3ed7f362db545f782d865836adbb2f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30" ma:contentTypeDescription="DEDJTR Document" ma:contentTypeScope="" ma:versionID="58a44160b38cb72d77811c70d796f608">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a2d03d07c68158d10820445c4eed206f"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1AD32-12B5-4D52-9F20-3B97A17EE31B}">
  <ds:schemaRefs>
    <ds:schemaRef ds:uri="http://schemas.microsoft.com/office/2006/metadata/properties"/>
    <ds:schemaRef ds:uri="http://schemas.microsoft.com/office/infopath/2007/PartnerControls"/>
    <ds:schemaRef ds:uri="7c172610-25bb-46a1-b16f-66bb4eaf823a"/>
    <ds:schemaRef ds:uri="695a8670-8810-4d9d-b8f3-c67e634357a6"/>
    <ds:schemaRef ds:uri="72567383-1e26-4692-bdad-5f5be69e1590"/>
  </ds:schemaRefs>
</ds:datastoreItem>
</file>

<file path=customXml/itemProps2.xml><?xml version="1.0" encoding="utf-8"?>
<ds:datastoreItem xmlns:ds="http://schemas.openxmlformats.org/officeDocument/2006/customXml" ds:itemID="{C079C2DC-0DE4-450D-A019-2AE8A2B4F369}">
  <ds:schemaRefs>
    <ds:schemaRef ds:uri="http://schemas.openxmlformats.org/officeDocument/2006/bibliography"/>
  </ds:schemaRefs>
</ds:datastoreItem>
</file>

<file path=customXml/itemProps3.xml><?xml version="1.0" encoding="utf-8"?>
<ds:datastoreItem xmlns:ds="http://schemas.openxmlformats.org/officeDocument/2006/customXml" ds:itemID="{97C70719-7156-4E3A-B970-284ABD678BC7}">
  <ds:schemaRefs>
    <ds:schemaRef ds:uri="http://schemas.microsoft.com/sharepoint/v3/contenttype/forms"/>
  </ds:schemaRefs>
</ds:datastoreItem>
</file>

<file path=customXml/itemProps4.xml><?xml version="1.0" encoding="utf-8"?>
<ds:datastoreItem xmlns:ds="http://schemas.openxmlformats.org/officeDocument/2006/customXml" ds:itemID="{AE90302F-4871-490F-84AC-A87A32406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23714</Words>
  <Characters>135173</Characters>
  <Application>Microsoft Office Word</Application>
  <DocSecurity>4</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158570</CharactersWithSpaces>
  <SharedDoc>false</SharedDoc>
  <HLinks>
    <vt:vector size="684" baseType="variant">
      <vt:variant>
        <vt:i4>1245242</vt:i4>
      </vt:variant>
      <vt:variant>
        <vt:i4>686</vt:i4>
      </vt:variant>
      <vt:variant>
        <vt:i4>0</vt:i4>
      </vt:variant>
      <vt:variant>
        <vt:i4>5</vt:i4>
      </vt:variant>
      <vt:variant>
        <vt:lpwstr/>
      </vt:variant>
      <vt:variant>
        <vt:lpwstr>_Toc182219879</vt:lpwstr>
      </vt:variant>
      <vt:variant>
        <vt:i4>1245242</vt:i4>
      </vt:variant>
      <vt:variant>
        <vt:i4>680</vt:i4>
      </vt:variant>
      <vt:variant>
        <vt:i4>0</vt:i4>
      </vt:variant>
      <vt:variant>
        <vt:i4>5</vt:i4>
      </vt:variant>
      <vt:variant>
        <vt:lpwstr/>
      </vt:variant>
      <vt:variant>
        <vt:lpwstr>_Toc182219878</vt:lpwstr>
      </vt:variant>
      <vt:variant>
        <vt:i4>1245242</vt:i4>
      </vt:variant>
      <vt:variant>
        <vt:i4>674</vt:i4>
      </vt:variant>
      <vt:variant>
        <vt:i4>0</vt:i4>
      </vt:variant>
      <vt:variant>
        <vt:i4>5</vt:i4>
      </vt:variant>
      <vt:variant>
        <vt:lpwstr/>
      </vt:variant>
      <vt:variant>
        <vt:lpwstr>_Toc182219877</vt:lpwstr>
      </vt:variant>
      <vt:variant>
        <vt:i4>1245242</vt:i4>
      </vt:variant>
      <vt:variant>
        <vt:i4>668</vt:i4>
      </vt:variant>
      <vt:variant>
        <vt:i4>0</vt:i4>
      </vt:variant>
      <vt:variant>
        <vt:i4>5</vt:i4>
      </vt:variant>
      <vt:variant>
        <vt:lpwstr/>
      </vt:variant>
      <vt:variant>
        <vt:lpwstr>_Toc182219876</vt:lpwstr>
      </vt:variant>
      <vt:variant>
        <vt:i4>1245242</vt:i4>
      </vt:variant>
      <vt:variant>
        <vt:i4>662</vt:i4>
      </vt:variant>
      <vt:variant>
        <vt:i4>0</vt:i4>
      </vt:variant>
      <vt:variant>
        <vt:i4>5</vt:i4>
      </vt:variant>
      <vt:variant>
        <vt:lpwstr/>
      </vt:variant>
      <vt:variant>
        <vt:lpwstr>_Toc182219875</vt:lpwstr>
      </vt:variant>
      <vt:variant>
        <vt:i4>1245242</vt:i4>
      </vt:variant>
      <vt:variant>
        <vt:i4>656</vt:i4>
      </vt:variant>
      <vt:variant>
        <vt:i4>0</vt:i4>
      </vt:variant>
      <vt:variant>
        <vt:i4>5</vt:i4>
      </vt:variant>
      <vt:variant>
        <vt:lpwstr/>
      </vt:variant>
      <vt:variant>
        <vt:lpwstr>_Toc182219874</vt:lpwstr>
      </vt:variant>
      <vt:variant>
        <vt:i4>1245242</vt:i4>
      </vt:variant>
      <vt:variant>
        <vt:i4>650</vt:i4>
      </vt:variant>
      <vt:variant>
        <vt:i4>0</vt:i4>
      </vt:variant>
      <vt:variant>
        <vt:i4>5</vt:i4>
      </vt:variant>
      <vt:variant>
        <vt:lpwstr/>
      </vt:variant>
      <vt:variant>
        <vt:lpwstr>_Toc182219873</vt:lpwstr>
      </vt:variant>
      <vt:variant>
        <vt:i4>1245242</vt:i4>
      </vt:variant>
      <vt:variant>
        <vt:i4>644</vt:i4>
      </vt:variant>
      <vt:variant>
        <vt:i4>0</vt:i4>
      </vt:variant>
      <vt:variant>
        <vt:i4>5</vt:i4>
      </vt:variant>
      <vt:variant>
        <vt:lpwstr/>
      </vt:variant>
      <vt:variant>
        <vt:lpwstr>_Toc182219872</vt:lpwstr>
      </vt:variant>
      <vt:variant>
        <vt:i4>1245242</vt:i4>
      </vt:variant>
      <vt:variant>
        <vt:i4>638</vt:i4>
      </vt:variant>
      <vt:variant>
        <vt:i4>0</vt:i4>
      </vt:variant>
      <vt:variant>
        <vt:i4>5</vt:i4>
      </vt:variant>
      <vt:variant>
        <vt:lpwstr/>
      </vt:variant>
      <vt:variant>
        <vt:lpwstr>_Toc182219871</vt:lpwstr>
      </vt:variant>
      <vt:variant>
        <vt:i4>1245242</vt:i4>
      </vt:variant>
      <vt:variant>
        <vt:i4>632</vt:i4>
      </vt:variant>
      <vt:variant>
        <vt:i4>0</vt:i4>
      </vt:variant>
      <vt:variant>
        <vt:i4>5</vt:i4>
      </vt:variant>
      <vt:variant>
        <vt:lpwstr/>
      </vt:variant>
      <vt:variant>
        <vt:lpwstr>_Toc182219870</vt:lpwstr>
      </vt:variant>
      <vt:variant>
        <vt:i4>1179706</vt:i4>
      </vt:variant>
      <vt:variant>
        <vt:i4>626</vt:i4>
      </vt:variant>
      <vt:variant>
        <vt:i4>0</vt:i4>
      </vt:variant>
      <vt:variant>
        <vt:i4>5</vt:i4>
      </vt:variant>
      <vt:variant>
        <vt:lpwstr/>
      </vt:variant>
      <vt:variant>
        <vt:lpwstr>_Toc182219869</vt:lpwstr>
      </vt:variant>
      <vt:variant>
        <vt:i4>1179706</vt:i4>
      </vt:variant>
      <vt:variant>
        <vt:i4>620</vt:i4>
      </vt:variant>
      <vt:variant>
        <vt:i4>0</vt:i4>
      </vt:variant>
      <vt:variant>
        <vt:i4>5</vt:i4>
      </vt:variant>
      <vt:variant>
        <vt:lpwstr/>
      </vt:variant>
      <vt:variant>
        <vt:lpwstr>_Toc182219868</vt:lpwstr>
      </vt:variant>
      <vt:variant>
        <vt:i4>1179706</vt:i4>
      </vt:variant>
      <vt:variant>
        <vt:i4>614</vt:i4>
      </vt:variant>
      <vt:variant>
        <vt:i4>0</vt:i4>
      </vt:variant>
      <vt:variant>
        <vt:i4>5</vt:i4>
      </vt:variant>
      <vt:variant>
        <vt:lpwstr/>
      </vt:variant>
      <vt:variant>
        <vt:lpwstr>_Toc182219867</vt:lpwstr>
      </vt:variant>
      <vt:variant>
        <vt:i4>1179706</vt:i4>
      </vt:variant>
      <vt:variant>
        <vt:i4>608</vt:i4>
      </vt:variant>
      <vt:variant>
        <vt:i4>0</vt:i4>
      </vt:variant>
      <vt:variant>
        <vt:i4>5</vt:i4>
      </vt:variant>
      <vt:variant>
        <vt:lpwstr/>
      </vt:variant>
      <vt:variant>
        <vt:lpwstr>_Toc182219866</vt:lpwstr>
      </vt:variant>
      <vt:variant>
        <vt:i4>1179706</vt:i4>
      </vt:variant>
      <vt:variant>
        <vt:i4>602</vt:i4>
      </vt:variant>
      <vt:variant>
        <vt:i4>0</vt:i4>
      </vt:variant>
      <vt:variant>
        <vt:i4>5</vt:i4>
      </vt:variant>
      <vt:variant>
        <vt:lpwstr/>
      </vt:variant>
      <vt:variant>
        <vt:lpwstr>_Toc182219865</vt:lpwstr>
      </vt:variant>
      <vt:variant>
        <vt:i4>1179706</vt:i4>
      </vt:variant>
      <vt:variant>
        <vt:i4>596</vt:i4>
      </vt:variant>
      <vt:variant>
        <vt:i4>0</vt:i4>
      </vt:variant>
      <vt:variant>
        <vt:i4>5</vt:i4>
      </vt:variant>
      <vt:variant>
        <vt:lpwstr/>
      </vt:variant>
      <vt:variant>
        <vt:lpwstr>_Toc182219864</vt:lpwstr>
      </vt:variant>
      <vt:variant>
        <vt:i4>1179706</vt:i4>
      </vt:variant>
      <vt:variant>
        <vt:i4>590</vt:i4>
      </vt:variant>
      <vt:variant>
        <vt:i4>0</vt:i4>
      </vt:variant>
      <vt:variant>
        <vt:i4>5</vt:i4>
      </vt:variant>
      <vt:variant>
        <vt:lpwstr/>
      </vt:variant>
      <vt:variant>
        <vt:lpwstr>_Toc182219863</vt:lpwstr>
      </vt:variant>
      <vt:variant>
        <vt:i4>1179706</vt:i4>
      </vt:variant>
      <vt:variant>
        <vt:i4>584</vt:i4>
      </vt:variant>
      <vt:variant>
        <vt:i4>0</vt:i4>
      </vt:variant>
      <vt:variant>
        <vt:i4>5</vt:i4>
      </vt:variant>
      <vt:variant>
        <vt:lpwstr/>
      </vt:variant>
      <vt:variant>
        <vt:lpwstr>_Toc182219862</vt:lpwstr>
      </vt:variant>
      <vt:variant>
        <vt:i4>1179706</vt:i4>
      </vt:variant>
      <vt:variant>
        <vt:i4>578</vt:i4>
      </vt:variant>
      <vt:variant>
        <vt:i4>0</vt:i4>
      </vt:variant>
      <vt:variant>
        <vt:i4>5</vt:i4>
      </vt:variant>
      <vt:variant>
        <vt:lpwstr/>
      </vt:variant>
      <vt:variant>
        <vt:lpwstr>_Toc182219861</vt:lpwstr>
      </vt:variant>
      <vt:variant>
        <vt:i4>1507386</vt:i4>
      </vt:variant>
      <vt:variant>
        <vt:i4>569</vt:i4>
      </vt:variant>
      <vt:variant>
        <vt:i4>0</vt:i4>
      </vt:variant>
      <vt:variant>
        <vt:i4>5</vt:i4>
      </vt:variant>
      <vt:variant>
        <vt:lpwstr/>
      </vt:variant>
      <vt:variant>
        <vt:lpwstr>_Toc182219837</vt:lpwstr>
      </vt:variant>
      <vt:variant>
        <vt:i4>1507386</vt:i4>
      </vt:variant>
      <vt:variant>
        <vt:i4>563</vt:i4>
      </vt:variant>
      <vt:variant>
        <vt:i4>0</vt:i4>
      </vt:variant>
      <vt:variant>
        <vt:i4>5</vt:i4>
      </vt:variant>
      <vt:variant>
        <vt:lpwstr/>
      </vt:variant>
      <vt:variant>
        <vt:lpwstr>_Toc182219836</vt:lpwstr>
      </vt:variant>
      <vt:variant>
        <vt:i4>1507386</vt:i4>
      </vt:variant>
      <vt:variant>
        <vt:i4>557</vt:i4>
      </vt:variant>
      <vt:variant>
        <vt:i4>0</vt:i4>
      </vt:variant>
      <vt:variant>
        <vt:i4>5</vt:i4>
      </vt:variant>
      <vt:variant>
        <vt:lpwstr/>
      </vt:variant>
      <vt:variant>
        <vt:lpwstr>_Toc182219835</vt:lpwstr>
      </vt:variant>
      <vt:variant>
        <vt:i4>1507386</vt:i4>
      </vt:variant>
      <vt:variant>
        <vt:i4>551</vt:i4>
      </vt:variant>
      <vt:variant>
        <vt:i4>0</vt:i4>
      </vt:variant>
      <vt:variant>
        <vt:i4>5</vt:i4>
      </vt:variant>
      <vt:variant>
        <vt:lpwstr/>
      </vt:variant>
      <vt:variant>
        <vt:lpwstr>_Toc182219834</vt:lpwstr>
      </vt:variant>
      <vt:variant>
        <vt:i4>1507386</vt:i4>
      </vt:variant>
      <vt:variant>
        <vt:i4>545</vt:i4>
      </vt:variant>
      <vt:variant>
        <vt:i4>0</vt:i4>
      </vt:variant>
      <vt:variant>
        <vt:i4>5</vt:i4>
      </vt:variant>
      <vt:variant>
        <vt:lpwstr/>
      </vt:variant>
      <vt:variant>
        <vt:lpwstr>_Toc182219833</vt:lpwstr>
      </vt:variant>
      <vt:variant>
        <vt:i4>1507386</vt:i4>
      </vt:variant>
      <vt:variant>
        <vt:i4>539</vt:i4>
      </vt:variant>
      <vt:variant>
        <vt:i4>0</vt:i4>
      </vt:variant>
      <vt:variant>
        <vt:i4>5</vt:i4>
      </vt:variant>
      <vt:variant>
        <vt:lpwstr/>
      </vt:variant>
      <vt:variant>
        <vt:lpwstr>_Toc182219832</vt:lpwstr>
      </vt:variant>
      <vt:variant>
        <vt:i4>1507386</vt:i4>
      </vt:variant>
      <vt:variant>
        <vt:i4>533</vt:i4>
      </vt:variant>
      <vt:variant>
        <vt:i4>0</vt:i4>
      </vt:variant>
      <vt:variant>
        <vt:i4>5</vt:i4>
      </vt:variant>
      <vt:variant>
        <vt:lpwstr/>
      </vt:variant>
      <vt:variant>
        <vt:lpwstr>_Toc182219831</vt:lpwstr>
      </vt:variant>
      <vt:variant>
        <vt:i4>1507386</vt:i4>
      </vt:variant>
      <vt:variant>
        <vt:i4>527</vt:i4>
      </vt:variant>
      <vt:variant>
        <vt:i4>0</vt:i4>
      </vt:variant>
      <vt:variant>
        <vt:i4>5</vt:i4>
      </vt:variant>
      <vt:variant>
        <vt:lpwstr/>
      </vt:variant>
      <vt:variant>
        <vt:lpwstr>_Toc182219830</vt:lpwstr>
      </vt:variant>
      <vt:variant>
        <vt:i4>1441850</vt:i4>
      </vt:variant>
      <vt:variant>
        <vt:i4>521</vt:i4>
      </vt:variant>
      <vt:variant>
        <vt:i4>0</vt:i4>
      </vt:variant>
      <vt:variant>
        <vt:i4>5</vt:i4>
      </vt:variant>
      <vt:variant>
        <vt:lpwstr/>
      </vt:variant>
      <vt:variant>
        <vt:lpwstr>_Toc182219829</vt:lpwstr>
      </vt:variant>
      <vt:variant>
        <vt:i4>1441850</vt:i4>
      </vt:variant>
      <vt:variant>
        <vt:i4>515</vt:i4>
      </vt:variant>
      <vt:variant>
        <vt:i4>0</vt:i4>
      </vt:variant>
      <vt:variant>
        <vt:i4>5</vt:i4>
      </vt:variant>
      <vt:variant>
        <vt:lpwstr/>
      </vt:variant>
      <vt:variant>
        <vt:lpwstr>_Toc182219828</vt:lpwstr>
      </vt:variant>
      <vt:variant>
        <vt:i4>1441850</vt:i4>
      </vt:variant>
      <vt:variant>
        <vt:i4>509</vt:i4>
      </vt:variant>
      <vt:variant>
        <vt:i4>0</vt:i4>
      </vt:variant>
      <vt:variant>
        <vt:i4>5</vt:i4>
      </vt:variant>
      <vt:variant>
        <vt:lpwstr/>
      </vt:variant>
      <vt:variant>
        <vt:lpwstr>_Toc182219827</vt:lpwstr>
      </vt:variant>
      <vt:variant>
        <vt:i4>1441850</vt:i4>
      </vt:variant>
      <vt:variant>
        <vt:i4>503</vt:i4>
      </vt:variant>
      <vt:variant>
        <vt:i4>0</vt:i4>
      </vt:variant>
      <vt:variant>
        <vt:i4>5</vt:i4>
      </vt:variant>
      <vt:variant>
        <vt:lpwstr/>
      </vt:variant>
      <vt:variant>
        <vt:lpwstr>_Toc182219826</vt:lpwstr>
      </vt:variant>
      <vt:variant>
        <vt:i4>1441850</vt:i4>
      </vt:variant>
      <vt:variant>
        <vt:i4>497</vt:i4>
      </vt:variant>
      <vt:variant>
        <vt:i4>0</vt:i4>
      </vt:variant>
      <vt:variant>
        <vt:i4>5</vt:i4>
      </vt:variant>
      <vt:variant>
        <vt:lpwstr/>
      </vt:variant>
      <vt:variant>
        <vt:lpwstr>_Toc182219825</vt:lpwstr>
      </vt:variant>
      <vt:variant>
        <vt:i4>1441850</vt:i4>
      </vt:variant>
      <vt:variant>
        <vt:i4>491</vt:i4>
      </vt:variant>
      <vt:variant>
        <vt:i4>0</vt:i4>
      </vt:variant>
      <vt:variant>
        <vt:i4>5</vt:i4>
      </vt:variant>
      <vt:variant>
        <vt:lpwstr/>
      </vt:variant>
      <vt:variant>
        <vt:lpwstr>_Toc182219824</vt:lpwstr>
      </vt:variant>
      <vt:variant>
        <vt:i4>1441850</vt:i4>
      </vt:variant>
      <vt:variant>
        <vt:i4>485</vt:i4>
      </vt:variant>
      <vt:variant>
        <vt:i4>0</vt:i4>
      </vt:variant>
      <vt:variant>
        <vt:i4>5</vt:i4>
      </vt:variant>
      <vt:variant>
        <vt:lpwstr/>
      </vt:variant>
      <vt:variant>
        <vt:lpwstr>_Toc182219823</vt:lpwstr>
      </vt:variant>
      <vt:variant>
        <vt:i4>1441850</vt:i4>
      </vt:variant>
      <vt:variant>
        <vt:i4>479</vt:i4>
      </vt:variant>
      <vt:variant>
        <vt:i4>0</vt:i4>
      </vt:variant>
      <vt:variant>
        <vt:i4>5</vt:i4>
      </vt:variant>
      <vt:variant>
        <vt:lpwstr/>
      </vt:variant>
      <vt:variant>
        <vt:lpwstr>_Toc182219822</vt:lpwstr>
      </vt:variant>
      <vt:variant>
        <vt:i4>1441850</vt:i4>
      </vt:variant>
      <vt:variant>
        <vt:i4>473</vt:i4>
      </vt:variant>
      <vt:variant>
        <vt:i4>0</vt:i4>
      </vt:variant>
      <vt:variant>
        <vt:i4>5</vt:i4>
      </vt:variant>
      <vt:variant>
        <vt:lpwstr/>
      </vt:variant>
      <vt:variant>
        <vt:lpwstr>_Toc182219821</vt:lpwstr>
      </vt:variant>
      <vt:variant>
        <vt:i4>1441850</vt:i4>
      </vt:variant>
      <vt:variant>
        <vt:i4>467</vt:i4>
      </vt:variant>
      <vt:variant>
        <vt:i4>0</vt:i4>
      </vt:variant>
      <vt:variant>
        <vt:i4>5</vt:i4>
      </vt:variant>
      <vt:variant>
        <vt:lpwstr/>
      </vt:variant>
      <vt:variant>
        <vt:lpwstr>_Toc182219820</vt:lpwstr>
      </vt:variant>
      <vt:variant>
        <vt:i4>1376314</vt:i4>
      </vt:variant>
      <vt:variant>
        <vt:i4>461</vt:i4>
      </vt:variant>
      <vt:variant>
        <vt:i4>0</vt:i4>
      </vt:variant>
      <vt:variant>
        <vt:i4>5</vt:i4>
      </vt:variant>
      <vt:variant>
        <vt:lpwstr/>
      </vt:variant>
      <vt:variant>
        <vt:lpwstr>_Toc182219819</vt:lpwstr>
      </vt:variant>
      <vt:variant>
        <vt:i4>1376314</vt:i4>
      </vt:variant>
      <vt:variant>
        <vt:i4>455</vt:i4>
      </vt:variant>
      <vt:variant>
        <vt:i4>0</vt:i4>
      </vt:variant>
      <vt:variant>
        <vt:i4>5</vt:i4>
      </vt:variant>
      <vt:variant>
        <vt:lpwstr/>
      </vt:variant>
      <vt:variant>
        <vt:lpwstr>_Toc182219818</vt:lpwstr>
      </vt:variant>
      <vt:variant>
        <vt:i4>1376314</vt:i4>
      </vt:variant>
      <vt:variant>
        <vt:i4>449</vt:i4>
      </vt:variant>
      <vt:variant>
        <vt:i4>0</vt:i4>
      </vt:variant>
      <vt:variant>
        <vt:i4>5</vt:i4>
      </vt:variant>
      <vt:variant>
        <vt:lpwstr/>
      </vt:variant>
      <vt:variant>
        <vt:lpwstr>_Toc182219817</vt:lpwstr>
      </vt:variant>
      <vt:variant>
        <vt:i4>1376314</vt:i4>
      </vt:variant>
      <vt:variant>
        <vt:i4>443</vt:i4>
      </vt:variant>
      <vt:variant>
        <vt:i4>0</vt:i4>
      </vt:variant>
      <vt:variant>
        <vt:i4>5</vt:i4>
      </vt:variant>
      <vt:variant>
        <vt:lpwstr/>
      </vt:variant>
      <vt:variant>
        <vt:lpwstr>_Toc182219816</vt:lpwstr>
      </vt:variant>
      <vt:variant>
        <vt:i4>1376314</vt:i4>
      </vt:variant>
      <vt:variant>
        <vt:i4>437</vt:i4>
      </vt:variant>
      <vt:variant>
        <vt:i4>0</vt:i4>
      </vt:variant>
      <vt:variant>
        <vt:i4>5</vt:i4>
      </vt:variant>
      <vt:variant>
        <vt:lpwstr/>
      </vt:variant>
      <vt:variant>
        <vt:lpwstr>_Toc182219815</vt:lpwstr>
      </vt:variant>
      <vt:variant>
        <vt:i4>1376314</vt:i4>
      </vt:variant>
      <vt:variant>
        <vt:i4>431</vt:i4>
      </vt:variant>
      <vt:variant>
        <vt:i4>0</vt:i4>
      </vt:variant>
      <vt:variant>
        <vt:i4>5</vt:i4>
      </vt:variant>
      <vt:variant>
        <vt:lpwstr/>
      </vt:variant>
      <vt:variant>
        <vt:lpwstr>_Toc182219814</vt:lpwstr>
      </vt:variant>
      <vt:variant>
        <vt:i4>1376314</vt:i4>
      </vt:variant>
      <vt:variant>
        <vt:i4>425</vt:i4>
      </vt:variant>
      <vt:variant>
        <vt:i4>0</vt:i4>
      </vt:variant>
      <vt:variant>
        <vt:i4>5</vt:i4>
      </vt:variant>
      <vt:variant>
        <vt:lpwstr/>
      </vt:variant>
      <vt:variant>
        <vt:lpwstr>_Toc182219813</vt:lpwstr>
      </vt:variant>
      <vt:variant>
        <vt:i4>1376314</vt:i4>
      </vt:variant>
      <vt:variant>
        <vt:i4>419</vt:i4>
      </vt:variant>
      <vt:variant>
        <vt:i4>0</vt:i4>
      </vt:variant>
      <vt:variant>
        <vt:i4>5</vt:i4>
      </vt:variant>
      <vt:variant>
        <vt:lpwstr/>
      </vt:variant>
      <vt:variant>
        <vt:lpwstr>_Toc182219812</vt:lpwstr>
      </vt:variant>
      <vt:variant>
        <vt:i4>1376314</vt:i4>
      </vt:variant>
      <vt:variant>
        <vt:i4>413</vt:i4>
      </vt:variant>
      <vt:variant>
        <vt:i4>0</vt:i4>
      </vt:variant>
      <vt:variant>
        <vt:i4>5</vt:i4>
      </vt:variant>
      <vt:variant>
        <vt:lpwstr/>
      </vt:variant>
      <vt:variant>
        <vt:lpwstr>_Toc182219811</vt:lpwstr>
      </vt:variant>
      <vt:variant>
        <vt:i4>1376314</vt:i4>
      </vt:variant>
      <vt:variant>
        <vt:i4>407</vt:i4>
      </vt:variant>
      <vt:variant>
        <vt:i4>0</vt:i4>
      </vt:variant>
      <vt:variant>
        <vt:i4>5</vt:i4>
      </vt:variant>
      <vt:variant>
        <vt:lpwstr/>
      </vt:variant>
      <vt:variant>
        <vt:lpwstr>_Toc182219810</vt:lpwstr>
      </vt:variant>
      <vt:variant>
        <vt:i4>1310778</vt:i4>
      </vt:variant>
      <vt:variant>
        <vt:i4>401</vt:i4>
      </vt:variant>
      <vt:variant>
        <vt:i4>0</vt:i4>
      </vt:variant>
      <vt:variant>
        <vt:i4>5</vt:i4>
      </vt:variant>
      <vt:variant>
        <vt:lpwstr/>
      </vt:variant>
      <vt:variant>
        <vt:lpwstr>_Toc182219809</vt:lpwstr>
      </vt:variant>
      <vt:variant>
        <vt:i4>1310778</vt:i4>
      </vt:variant>
      <vt:variant>
        <vt:i4>395</vt:i4>
      </vt:variant>
      <vt:variant>
        <vt:i4>0</vt:i4>
      </vt:variant>
      <vt:variant>
        <vt:i4>5</vt:i4>
      </vt:variant>
      <vt:variant>
        <vt:lpwstr/>
      </vt:variant>
      <vt:variant>
        <vt:lpwstr>_Toc182219808</vt:lpwstr>
      </vt:variant>
      <vt:variant>
        <vt:i4>1310778</vt:i4>
      </vt:variant>
      <vt:variant>
        <vt:i4>389</vt:i4>
      </vt:variant>
      <vt:variant>
        <vt:i4>0</vt:i4>
      </vt:variant>
      <vt:variant>
        <vt:i4>5</vt:i4>
      </vt:variant>
      <vt:variant>
        <vt:lpwstr/>
      </vt:variant>
      <vt:variant>
        <vt:lpwstr>_Toc182219807</vt:lpwstr>
      </vt:variant>
      <vt:variant>
        <vt:i4>1310778</vt:i4>
      </vt:variant>
      <vt:variant>
        <vt:i4>383</vt:i4>
      </vt:variant>
      <vt:variant>
        <vt:i4>0</vt:i4>
      </vt:variant>
      <vt:variant>
        <vt:i4>5</vt:i4>
      </vt:variant>
      <vt:variant>
        <vt:lpwstr/>
      </vt:variant>
      <vt:variant>
        <vt:lpwstr>_Toc182219806</vt:lpwstr>
      </vt:variant>
      <vt:variant>
        <vt:i4>1310778</vt:i4>
      </vt:variant>
      <vt:variant>
        <vt:i4>377</vt:i4>
      </vt:variant>
      <vt:variant>
        <vt:i4>0</vt:i4>
      </vt:variant>
      <vt:variant>
        <vt:i4>5</vt:i4>
      </vt:variant>
      <vt:variant>
        <vt:lpwstr/>
      </vt:variant>
      <vt:variant>
        <vt:lpwstr>_Toc182219805</vt:lpwstr>
      </vt:variant>
      <vt:variant>
        <vt:i4>1310778</vt:i4>
      </vt:variant>
      <vt:variant>
        <vt:i4>371</vt:i4>
      </vt:variant>
      <vt:variant>
        <vt:i4>0</vt:i4>
      </vt:variant>
      <vt:variant>
        <vt:i4>5</vt:i4>
      </vt:variant>
      <vt:variant>
        <vt:lpwstr/>
      </vt:variant>
      <vt:variant>
        <vt:lpwstr>_Toc182219804</vt:lpwstr>
      </vt:variant>
      <vt:variant>
        <vt:i4>1310778</vt:i4>
      </vt:variant>
      <vt:variant>
        <vt:i4>365</vt:i4>
      </vt:variant>
      <vt:variant>
        <vt:i4>0</vt:i4>
      </vt:variant>
      <vt:variant>
        <vt:i4>5</vt:i4>
      </vt:variant>
      <vt:variant>
        <vt:lpwstr/>
      </vt:variant>
      <vt:variant>
        <vt:lpwstr>_Toc182219803</vt:lpwstr>
      </vt:variant>
      <vt:variant>
        <vt:i4>1310778</vt:i4>
      </vt:variant>
      <vt:variant>
        <vt:i4>359</vt:i4>
      </vt:variant>
      <vt:variant>
        <vt:i4>0</vt:i4>
      </vt:variant>
      <vt:variant>
        <vt:i4>5</vt:i4>
      </vt:variant>
      <vt:variant>
        <vt:lpwstr/>
      </vt:variant>
      <vt:variant>
        <vt:lpwstr>_Toc182219802</vt:lpwstr>
      </vt:variant>
      <vt:variant>
        <vt:i4>1507387</vt:i4>
      </vt:variant>
      <vt:variant>
        <vt:i4>350</vt:i4>
      </vt:variant>
      <vt:variant>
        <vt:i4>0</vt:i4>
      </vt:variant>
      <vt:variant>
        <vt:i4>5</vt:i4>
      </vt:variant>
      <vt:variant>
        <vt:lpwstr/>
      </vt:variant>
      <vt:variant>
        <vt:lpwstr>_Toc182219938</vt:lpwstr>
      </vt:variant>
      <vt:variant>
        <vt:i4>1507387</vt:i4>
      </vt:variant>
      <vt:variant>
        <vt:i4>344</vt:i4>
      </vt:variant>
      <vt:variant>
        <vt:i4>0</vt:i4>
      </vt:variant>
      <vt:variant>
        <vt:i4>5</vt:i4>
      </vt:variant>
      <vt:variant>
        <vt:lpwstr/>
      </vt:variant>
      <vt:variant>
        <vt:lpwstr>_Toc182219937</vt:lpwstr>
      </vt:variant>
      <vt:variant>
        <vt:i4>1507387</vt:i4>
      </vt:variant>
      <vt:variant>
        <vt:i4>338</vt:i4>
      </vt:variant>
      <vt:variant>
        <vt:i4>0</vt:i4>
      </vt:variant>
      <vt:variant>
        <vt:i4>5</vt:i4>
      </vt:variant>
      <vt:variant>
        <vt:lpwstr/>
      </vt:variant>
      <vt:variant>
        <vt:lpwstr>_Toc182219936</vt:lpwstr>
      </vt:variant>
      <vt:variant>
        <vt:i4>1507387</vt:i4>
      </vt:variant>
      <vt:variant>
        <vt:i4>332</vt:i4>
      </vt:variant>
      <vt:variant>
        <vt:i4>0</vt:i4>
      </vt:variant>
      <vt:variant>
        <vt:i4>5</vt:i4>
      </vt:variant>
      <vt:variant>
        <vt:lpwstr/>
      </vt:variant>
      <vt:variant>
        <vt:lpwstr>_Toc182219935</vt:lpwstr>
      </vt:variant>
      <vt:variant>
        <vt:i4>1507387</vt:i4>
      </vt:variant>
      <vt:variant>
        <vt:i4>326</vt:i4>
      </vt:variant>
      <vt:variant>
        <vt:i4>0</vt:i4>
      </vt:variant>
      <vt:variant>
        <vt:i4>5</vt:i4>
      </vt:variant>
      <vt:variant>
        <vt:lpwstr/>
      </vt:variant>
      <vt:variant>
        <vt:lpwstr>_Toc182219934</vt:lpwstr>
      </vt:variant>
      <vt:variant>
        <vt:i4>1507387</vt:i4>
      </vt:variant>
      <vt:variant>
        <vt:i4>320</vt:i4>
      </vt:variant>
      <vt:variant>
        <vt:i4>0</vt:i4>
      </vt:variant>
      <vt:variant>
        <vt:i4>5</vt:i4>
      </vt:variant>
      <vt:variant>
        <vt:lpwstr/>
      </vt:variant>
      <vt:variant>
        <vt:lpwstr>_Toc182219933</vt:lpwstr>
      </vt:variant>
      <vt:variant>
        <vt:i4>1507387</vt:i4>
      </vt:variant>
      <vt:variant>
        <vt:i4>314</vt:i4>
      </vt:variant>
      <vt:variant>
        <vt:i4>0</vt:i4>
      </vt:variant>
      <vt:variant>
        <vt:i4>5</vt:i4>
      </vt:variant>
      <vt:variant>
        <vt:lpwstr/>
      </vt:variant>
      <vt:variant>
        <vt:lpwstr>_Toc182219932</vt:lpwstr>
      </vt:variant>
      <vt:variant>
        <vt:i4>1507387</vt:i4>
      </vt:variant>
      <vt:variant>
        <vt:i4>308</vt:i4>
      </vt:variant>
      <vt:variant>
        <vt:i4>0</vt:i4>
      </vt:variant>
      <vt:variant>
        <vt:i4>5</vt:i4>
      </vt:variant>
      <vt:variant>
        <vt:lpwstr/>
      </vt:variant>
      <vt:variant>
        <vt:lpwstr>_Toc182219931</vt:lpwstr>
      </vt:variant>
      <vt:variant>
        <vt:i4>1507387</vt:i4>
      </vt:variant>
      <vt:variant>
        <vt:i4>302</vt:i4>
      </vt:variant>
      <vt:variant>
        <vt:i4>0</vt:i4>
      </vt:variant>
      <vt:variant>
        <vt:i4>5</vt:i4>
      </vt:variant>
      <vt:variant>
        <vt:lpwstr/>
      </vt:variant>
      <vt:variant>
        <vt:lpwstr>_Toc182219930</vt:lpwstr>
      </vt:variant>
      <vt:variant>
        <vt:i4>1441851</vt:i4>
      </vt:variant>
      <vt:variant>
        <vt:i4>296</vt:i4>
      </vt:variant>
      <vt:variant>
        <vt:i4>0</vt:i4>
      </vt:variant>
      <vt:variant>
        <vt:i4>5</vt:i4>
      </vt:variant>
      <vt:variant>
        <vt:lpwstr/>
      </vt:variant>
      <vt:variant>
        <vt:lpwstr>_Toc182219929</vt:lpwstr>
      </vt:variant>
      <vt:variant>
        <vt:i4>1441851</vt:i4>
      </vt:variant>
      <vt:variant>
        <vt:i4>290</vt:i4>
      </vt:variant>
      <vt:variant>
        <vt:i4>0</vt:i4>
      </vt:variant>
      <vt:variant>
        <vt:i4>5</vt:i4>
      </vt:variant>
      <vt:variant>
        <vt:lpwstr/>
      </vt:variant>
      <vt:variant>
        <vt:lpwstr>_Toc182219928</vt:lpwstr>
      </vt:variant>
      <vt:variant>
        <vt:i4>1441851</vt:i4>
      </vt:variant>
      <vt:variant>
        <vt:i4>284</vt:i4>
      </vt:variant>
      <vt:variant>
        <vt:i4>0</vt:i4>
      </vt:variant>
      <vt:variant>
        <vt:i4>5</vt:i4>
      </vt:variant>
      <vt:variant>
        <vt:lpwstr/>
      </vt:variant>
      <vt:variant>
        <vt:lpwstr>_Toc182219927</vt:lpwstr>
      </vt:variant>
      <vt:variant>
        <vt:i4>1441851</vt:i4>
      </vt:variant>
      <vt:variant>
        <vt:i4>278</vt:i4>
      </vt:variant>
      <vt:variant>
        <vt:i4>0</vt:i4>
      </vt:variant>
      <vt:variant>
        <vt:i4>5</vt:i4>
      </vt:variant>
      <vt:variant>
        <vt:lpwstr/>
      </vt:variant>
      <vt:variant>
        <vt:lpwstr>_Toc182219926</vt:lpwstr>
      </vt:variant>
      <vt:variant>
        <vt:i4>1441851</vt:i4>
      </vt:variant>
      <vt:variant>
        <vt:i4>272</vt:i4>
      </vt:variant>
      <vt:variant>
        <vt:i4>0</vt:i4>
      </vt:variant>
      <vt:variant>
        <vt:i4>5</vt:i4>
      </vt:variant>
      <vt:variant>
        <vt:lpwstr/>
      </vt:variant>
      <vt:variant>
        <vt:lpwstr>_Toc182219925</vt:lpwstr>
      </vt:variant>
      <vt:variant>
        <vt:i4>1441851</vt:i4>
      </vt:variant>
      <vt:variant>
        <vt:i4>266</vt:i4>
      </vt:variant>
      <vt:variant>
        <vt:i4>0</vt:i4>
      </vt:variant>
      <vt:variant>
        <vt:i4>5</vt:i4>
      </vt:variant>
      <vt:variant>
        <vt:lpwstr/>
      </vt:variant>
      <vt:variant>
        <vt:lpwstr>_Toc182219924</vt:lpwstr>
      </vt:variant>
      <vt:variant>
        <vt:i4>1441851</vt:i4>
      </vt:variant>
      <vt:variant>
        <vt:i4>260</vt:i4>
      </vt:variant>
      <vt:variant>
        <vt:i4>0</vt:i4>
      </vt:variant>
      <vt:variant>
        <vt:i4>5</vt:i4>
      </vt:variant>
      <vt:variant>
        <vt:lpwstr/>
      </vt:variant>
      <vt:variant>
        <vt:lpwstr>_Toc182219923</vt:lpwstr>
      </vt:variant>
      <vt:variant>
        <vt:i4>1441851</vt:i4>
      </vt:variant>
      <vt:variant>
        <vt:i4>254</vt:i4>
      </vt:variant>
      <vt:variant>
        <vt:i4>0</vt:i4>
      </vt:variant>
      <vt:variant>
        <vt:i4>5</vt:i4>
      </vt:variant>
      <vt:variant>
        <vt:lpwstr/>
      </vt:variant>
      <vt:variant>
        <vt:lpwstr>_Toc182219922</vt:lpwstr>
      </vt:variant>
      <vt:variant>
        <vt:i4>1441851</vt:i4>
      </vt:variant>
      <vt:variant>
        <vt:i4>248</vt:i4>
      </vt:variant>
      <vt:variant>
        <vt:i4>0</vt:i4>
      </vt:variant>
      <vt:variant>
        <vt:i4>5</vt:i4>
      </vt:variant>
      <vt:variant>
        <vt:lpwstr/>
      </vt:variant>
      <vt:variant>
        <vt:lpwstr>_Toc182219921</vt:lpwstr>
      </vt:variant>
      <vt:variant>
        <vt:i4>1441851</vt:i4>
      </vt:variant>
      <vt:variant>
        <vt:i4>242</vt:i4>
      </vt:variant>
      <vt:variant>
        <vt:i4>0</vt:i4>
      </vt:variant>
      <vt:variant>
        <vt:i4>5</vt:i4>
      </vt:variant>
      <vt:variant>
        <vt:lpwstr/>
      </vt:variant>
      <vt:variant>
        <vt:lpwstr>_Toc182219920</vt:lpwstr>
      </vt:variant>
      <vt:variant>
        <vt:i4>1376315</vt:i4>
      </vt:variant>
      <vt:variant>
        <vt:i4>236</vt:i4>
      </vt:variant>
      <vt:variant>
        <vt:i4>0</vt:i4>
      </vt:variant>
      <vt:variant>
        <vt:i4>5</vt:i4>
      </vt:variant>
      <vt:variant>
        <vt:lpwstr/>
      </vt:variant>
      <vt:variant>
        <vt:lpwstr>_Toc182219919</vt:lpwstr>
      </vt:variant>
      <vt:variant>
        <vt:i4>1376315</vt:i4>
      </vt:variant>
      <vt:variant>
        <vt:i4>230</vt:i4>
      </vt:variant>
      <vt:variant>
        <vt:i4>0</vt:i4>
      </vt:variant>
      <vt:variant>
        <vt:i4>5</vt:i4>
      </vt:variant>
      <vt:variant>
        <vt:lpwstr/>
      </vt:variant>
      <vt:variant>
        <vt:lpwstr>_Toc182219918</vt:lpwstr>
      </vt:variant>
      <vt:variant>
        <vt:i4>1376315</vt:i4>
      </vt:variant>
      <vt:variant>
        <vt:i4>224</vt:i4>
      </vt:variant>
      <vt:variant>
        <vt:i4>0</vt:i4>
      </vt:variant>
      <vt:variant>
        <vt:i4>5</vt:i4>
      </vt:variant>
      <vt:variant>
        <vt:lpwstr/>
      </vt:variant>
      <vt:variant>
        <vt:lpwstr>_Toc182219917</vt:lpwstr>
      </vt:variant>
      <vt:variant>
        <vt:i4>1376315</vt:i4>
      </vt:variant>
      <vt:variant>
        <vt:i4>218</vt:i4>
      </vt:variant>
      <vt:variant>
        <vt:i4>0</vt:i4>
      </vt:variant>
      <vt:variant>
        <vt:i4>5</vt:i4>
      </vt:variant>
      <vt:variant>
        <vt:lpwstr/>
      </vt:variant>
      <vt:variant>
        <vt:lpwstr>_Toc182219916</vt:lpwstr>
      </vt:variant>
      <vt:variant>
        <vt:i4>1376315</vt:i4>
      </vt:variant>
      <vt:variant>
        <vt:i4>212</vt:i4>
      </vt:variant>
      <vt:variant>
        <vt:i4>0</vt:i4>
      </vt:variant>
      <vt:variant>
        <vt:i4>5</vt:i4>
      </vt:variant>
      <vt:variant>
        <vt:lpwstr/>
      </vt:variant>
      <vt:variant>
        <vt:lpwstr>_Toc182219915</vt:lpwstr>
      </vt:variant>
      <vt:variant>
        <vt:i4>1376315</vt:i4>
      </vt:variant>
      <vt:variant>
        <vt:i4>206</vt:i4>
      </vt:variant>
      <vt:variant>
        <vt:i4>0</vt:i4>
      </vt:variant>
      <vt:variant>
        <vt:i4>5</vt:i4>
      </vt:variant>
      <vt:variant>
        <vt:lpwstr/>
      </vt:variant>
      <vt:variant>
        <vt:lpwstr>_Toc182219914</vt:lpwstr>
      </vt:variant>
      <vt:variant>
        <vt:i4>1376315</vt:i4>
      </vt:variant>
      <vt:variant>
        <vt:i4>200</vt:i4>
      </vt:variant>
      <vt:variant>
        <vt:i4>0</vt:i4>
      </vt:variant>
      <vt:variant>
        <vt:i4>5</vt:i4>
      </vt:variant>
      <vt:variant>
        <vt:lpwstr/>
      </vt:variant>
      <vt:variant>
        <vt:lpwstr>_Toc182219913</vt:lpwstr>
      </vt:variant>
      <vt:variant>
        <vt:i4>1376315</vt:i4>
      </vt:variant>
      <vt:variant>
        <vt:i4>194</vt:i4>
      </vt:variant>
      <vt:variant>
        <vt:i4>0</vt:i4>
      </vt:variant>
      <vt:variant>
        <vt:i4>5</vt:i4>
      </vt:variant>
      <vt:variant>
        <vt:lpwstr/>
      </vt:variant>
      <vt:variant>
        <vt:lpwstr>_Toc182219912</vt:lpwstr>
      </vt:variant>
      <vt:variant>
        <vt:i4>1376315</vt:i4>
      </vt:variant>
      <vt:variant>
        <vt:i4>188</vt:i4>
      </vt:variant>
      <vt:variant>
        <vt:i4>0</vt:i4>
      </vt:variant>
      <vt:variant>
        <vt:i4>5</vt:i4>
      </vt:variant>
      <vt:variant>
        <vt:lpwstr/>
      </vt:variant>
      <vt:variant>
        <vt:lpwstr>_Toc182219911</vt:lpwstr>
      </vt:variant>
      <vt:variant>
        <vt:i4>1376315</vt:i4>
      </vt:variant>
      <vt:variant>
        <vt:i4>182</vt:i4>
      </vt:variant>
      <vt:variant>
        <vt:i4>0</vt:i4>
      </vt:variant>
      <vt:variant>
        <vt:i4>5</vt:i4>
      </vt:variant>
      <vt:variant>
        <vt:lpwstr/>
      </vt:variant>
      <vt:variant>
        <vt:lpwstr>_Toc182219910</vt:lpwstr>
      </vt:variant>
      <vt:variant>
        <vt:i4>1310779</vt:i4>
      </vt:variant>
      <vt:variant>
        <vt:i4>176</vt:i4>
      </vt:variant>
      <vt:variant>
        <vt:i4>0</vt:i4>
      </vt:variant>
      <vt:variant>
        <vt:i4>5</vt:i4>
      </vt:variant>
      <vt:variant>
        <vt:lpwstr/>
      </vt:variant>
      <vt:variant>
        <vt:lpwstr>_Toc182219909</vt:lpwstr>
      </vt:variant>
      <vt:variant>
        <vt:i4>1310779</vt:i4>
      </vt:variant>
      <vt:variant>
        <vt:i4>170</vt:i4>
      </vt:variant>
      <vt:variant>
        <vt:i4>0</vt:i4>
      </vt:variant>
      <vt:variant>
        <vt:i4>5</vt:i4>
      </vt:variant>
      <vt:variant>
        <vt:lpwstr/>
      </vt:variant>
      <vt:variant>
        <vt:lpwstr>_Toc182219908</vt:lpwstr>
      </vt:variant>
      <vt:variant>
        <vt:i4>1310779</vt:i4>
      </vt:variant>
      <vt:variant>
        <vt:i4>164</vt:i4>
      </vt:variant>
      <vt:variant>
        <vt:i4>0</vt:i4>
      </vt:variant>
      <vt:variant>
        <vt:i4>5</vt:i4>
      </vt:variant>
      <vt:variant>
        <vt:lpwstr/>
      </vt:variant>
      <vt:variant>
        <vt:lpwstr>_Toc182219907</vt:lpwstr>
      </vt:variant>
      <vt:variant>
        <vt:i4>1310779</vt:i4>
      </vt:variant>
      <vt:variant>
        <vt:i4>158</vt:i4>
      </vt:variant>
      <vt:variant>
        <vt:i4>0</vt:i4>
      </vt:variant>
      <vt:variant>
        <vt:i4>5</vt:i4>
      </vt:variant>
      <vt:variant>
        <vt:lpwstr/>
      </vt:variant>
      <vt:variant>
        <vt:lpwstr>_Toc182219906</vt:lpwstr>
      </vt:variant>
      <vt:variant>
        <vt:i4>1310779</vt:i4>
      </vt:variant>
      <vt:variant>
        <vt:i4>152</vt:i4>
      </vt:variant>
      <vt:variant>
        <vt:i4>0</vt:i4>
      </vt:variant>
      <vt:variant>
        <vt:i4>5</vt:i4>
      </vt:variant>
      <vt:variant>
        <vt:lpwstr/>
      </vt:variant>
      <vt:variant>
        <vt:lpwstr>_Toc182219905</vt:lpwstr>
      </vt:variant>
      <vt:variant>
        <vt:i4>1310779</vt:i4>
      </vt:variant>
      <vt:variant>
        <vt:i4>146</vt:i4>
      </vt:variant>
      <vt:variant>
        <vt:i4>0</vt:i4>
      </vt:variant>
      <vt:variant>
        <vt:i4>5</vt:i4>
      </vt:variant>
      <vt:variant>
        <vt:lpwstr/>
      </vt:variant>
      <vt:variant>
        <vt:lpwstr>_Toc182219904</vt:lpwstr>
      </vt:variant>
      <vt:variant>
        <vt:i4>1310779</vt:i4>
      </vt:variant>
      <vt:variant>
        <vt:i4>140</vt:i4>
      </vt:variant>
      <vt:variant>
        <vt:i4>0</vt:i4>
      </vt:variant>
      <vt:variant>
        <vt:i4>5</vt:i4>
      </vt:variant>
      <vt:variant>
        <vt:lpwstr/>
      </vt:variant>
      <vt:variant>
        <vt:lpwstr>_Toc182219903</vt:lpwstr>
      </vt:variant>
      <vt:variant>
        <vt:i4>1310779</vt:i4>
      </vt:variant>
      <vt:variant>
        <vt:i4>134</vt:i4>
      </vt:variant>
      <vt:variant>
        <vt:i4>0</vt:i4>
      </vt:variant>
      <vt:variant>
        <vt:i4>5</vt:i4>
      </vt:variant>
      <vt:variant>
        <vt:lpwstr/>
      </vt:variant>
      <vt:variant>
        <vt:lpwstr>_Toc182219902</vt:lpwstr>
      </vt:variant>
      <vt:variant>
        <vt:i4>1310779</vt:i4>
      </vt:variant>
      <vt:variant>
        <vt:i4>128</vt:i4>
      </vt:variant>
      <vt:variant>
        <vt:i4>0</vt:i4>
      </vt:variant>
      <vt:variant>
        <vt:i4>5</vt:i4>
      </vt:variant>
      <vt:variant>
        <vt:lpwstr/>
      </vt:variant>
      <vt:variant>
        <vt:lpwstr>_Toc182219901</vt:lpwstr>
      </vt:variant>
      <vt:variant>
        <vt:i4>1310779</vt:i4>
      </vt:variant>
      <vt:variant>
        <vt:i4>122</vt:i4>
      </vt:variant>
      <vt:variant>
        <vt:i4>0</vt:i4>
      </vt:variant>
      <vt:variant>
        <vt:i4>5</vt:i4>
      </vt:variant>
      <vt:variant>
        <vt:lpwstr/>
      </vt:variant>
      <vt:variant>
        <vt:lpwstr>_Toc182219900</vt:lpwstr>
      </vt:variant>
      <vt:variant>
        <vt:i4>1900602</vt:i4>
      </vt:variant>
      <vt:variant>
        <vt:i4>116</vt:i4>
      </vt:variant>
      <vt:variant>
        <vt:i4>0</vt:i4>
      </vt:variant>
      <vt:variant>
        <vt:i4>5</vt:i4>
      </vt:variant>
      <vt:variant>
        <vt:lpwstr/>
      </vt:variant>
      <vt:variant>
        <vt:lpwstr>_Toc182219899</vt:lpwstr>
      </vt:variant>
      <vt:variant>
        <vt:i4>1900602</vt:i4>
      </vt:variant>
      <vt:variant>
        <vt:i4>110</vt:i4>
      </vt:variant>
      <vt:variant>
        <vt:i4>0</vt:i4>
      </vt:variant>
      <vt:variant>
        <vt:i4>5</vt:i4>
      </vt:variant>
      <vt:variant>
        <vt:lpwstr/>
      </vt:variant>
      <vt:variant>
        <vt:lpwstr>_Toc182219898</vt:lpwstr>
      </vt:variant>
      <vt:variant>
        <vt:i4>1900602</vt:i4>
      </vt:variant>
      <vt:variant>
        <vt:i4>104</vt:i4>
      </vt:variant>
      <vt:variant>
        <vt:i4>0</vt:i4>
      </vt:variant>
      <vt:variant>
        <vt:i4>5</vt:i4>
      </vt:variant>
      <vt:variant>
        <vt:lpwstr/>
      </vt:variant>
      <vt:variant>
        <vt:lpwstr>_Toc182219897</vt:lpwstr>
      </vt:variant>
      <vt:variant>
        <vt:i4>1900602</vt:i4>
      </vt:variant>
      <vt:variant>
        <vt:i4>98</vt:i4>
      </vt:variant>
      <vt:variant>
        <vt:i4>0</vt:i4>
      </vt:variant>
      <vt:variant>
        <vt:i4>5</vt:i4>
      </vt:variant>
      <vt:variant>
        <vt:lpwstr/>
      </vt:variant>
      <vt:variant>
        <vt:lpwstr>_Toc182219896</vt:lpwstr>
      </vt:variant>
      <vt:variant>
        <vt:i4>1900602</vt:i4>
      </vt:variant>
      <vt:variant>
        <vt:i4>92</vt:i4>
      </vt:variant>
      <vt:variant>
        <vt:i4>0</vt:i4>
      </vt:variant>
      <vt:variant>
        <vt:i4>5</vt:i4>
      </vt:variant>
      <vt:variant>
        <vt:lpwstr/>
      </vt:variant>
      <vt:variant>
        <vt:lpwstr>_Toc182219895</vt:lpwstr>
      </vt:variant>
      <vt:variant>
        <vt:i4>1900602</vt:i4>
      </vt:variant>
      <vt:variant>
        <vt:i4>86</vt:i4>
      </vt:variant>
      <vt:variant>
        <vt:i4>0</vt:i4>
      </vt:variant>
      <vt:variant>
        <vt:i4>5</vt:i4>
      </vt:variant>
      <vt:variant>
        <vt:lpwstr/>
      </vt:variant>
      <vt:variant>
        <vt:lpwstr>_Toc182219894</vt:lpwstr>
      </vt:variant>
      <vt:variant>
        <vt:i4>1900602</vt:i4>
      </vt:variant>
      <vt:variant>
        <vt:i4>80</vt:i4>
      </vt:variant>
      <vt:variant>
        <vt:i4>0</vt:i4>
      </vt:variant>
      <vt:variant>
        <vt:i4>5</vt:i4>
      </vt:variant>
      <vt:variant>
        <vt:lpwstr/>
      </vt:variant>
      <vt:variant>
        <vt:lpwstr>_Toc182219893</vt:lpwstr>
      </vt:variant>
      <vt:variant>
        <vt:i4>1900602</vt:i4>
      </vt:variant>
      <vt:variant>
        <vt:i4>74</vt:i4>
      </vt:variant>
      <vt:variant>
        <vt:i4>0</vt:i4>
      </vt:variant>
      <vt:variant>
        <vt:i4>5</vt:i4>
      </vt:variant>
      <vt:variant>
        <vt:lpwstr/>
      </vt:variant>
      <vt:variant>
        <vt:lpwstr>_Toc182219892</vt:lpwstr>
      </vt:variant>
      <vt:variant>
        <vt:i4>1900602</vt:i4>
      </vt:variant>
      <vt:variant>
        <vt:i4>68</vt:i4>
      </vt:variant>
      <vt:variant>
        <vt:i4>0</vt:i4>
      </vt:variant>
      <vt:variant>
        <vt:i4>5</vt:i4>
      </vt:variant>
      <vt:variant>
        <vt:lpwstr/>
      </vt:variant>
      <vt:variant>
        <vt:lpwstr>_Toc182219891</vt:lpwstr>
      </vt:variant>
      <vt:variant>
        <vt:i4>1900602</vt:i4>
      </vt:variant>
      <vt:variant>
        <vt:i4>62</vt:i4>
      </vt:variant>
      <vt:variant>
        <vt:i4>0</vt:i4>
      </vt:variant>
      <vt:variant>
        <vt:i4>5</vt:i4>
      </vt:variant>
      <vt:variant>
        <vt:lpwstr/>
      </vt:variant>
      <vt:variant>
        <vt:lpwstr>_Toc182219890</vt:lpwstr>
      </vt:variant>
      <vt:variant>
        <vt:i4>1835066</vt:i4>
      </vt:variant>
      <vt:variant>
        <vt:i4>56</vt:i4>
      </vt:variant>
      <vt:variant>
        <vt:i4>0</vt:i4>
      </vt:variant>
      <vt:variant>
        <vt:i4>5</vt:i4>
      </vt:variant>
      <vt:variant>
        <vt:lpwstr/>
      </vt:variant>
      <vt:variant>
        <vt:lpwstr>_Toc182219889</vt:lpwstr>
      </vt:variant>
      <vt:variant>
        <vt:i4>1835066</vt:i4>
      </vt:variant>
      <vt:variant>
        <vt:i4>50</vt:i4>
      </vt:variant>
      <vt:variant>
        <vt:i4>0</vt:i4>
      </vt:variant>
      <vt:variant>
        <vt:i4>5</vt:i4>
      </vt:variant>
      <vt:variant>
        <vt:lpwstr/>
      </vt:variant>
      <vt:variant>
        <vt:lpwstr>_Toc182219888</vt:lpwstr>
      </vt:variant>
      <vt:variant>
        <vt:i4>1835066</vt:i4>
      </vt:variant>
      <vt:variant>
        <vt:i4>44</vt:i4>
      </vt:variant>
      <vt:variant>
        <vt:i4>0</vt:i4>
      </vt:variant>
      <vt:variant>
        <vt:i4>5</vt:i4>
      </vt:variant>
      <vt:variant>
        <vt:lpwstr/>
      </vt:variant>
      <vt:variant>
        <vt:lpwstr>_Toc182219887</vt:lpwstr>
      </vt:variant>
      <vt:variant>
        <vt:i4>1835066</vt:i4>
      </vt:variant>
      <vt:variant>
        <vt:i4>38</vt:i4>
      </vt:variant>
      <vt:variant>
        <vt:i4>0</vt:i4>
      </vt:variant>
      <vt:variant>
        <vt:i4>5</vt:i4>
      </vt:variant>
      <vt:variant>
        <vt:lpwstr/>
      </vt:variant>
      <vt:variant>
        <vt:lpwstr>_Toc182219886</vt:lpwstr>
      </vt:variant>
      <vt:variant>
        <vt:i4>1835066</vt:i4>
      </vt:variant>
      <vt:variant>
        <vt:i4>32</vt:i4>
      </vt:variant>
      <vt:variant>
        <vt:i4>0</vt:i4>
      </vt:variant>
      <vt:variant>
        <vt:i4>5</vt:i4>
      </vt:variant>
      <vt:variant>
        <vt:lpwstr/>
      </vt:variant>
      <vt:variant>
        <vt:lpwstr>_Toc182219885</vt:lpwstr>
      </vt:variant>
      <vt:variant>
        <vt:i4>1835066</vt:i4>
      </vt:variant>
      <vt:variant>
        <vt:i4>26</vt:i4>
      </vt:variant>
      <vt:variant>
        <vt:i4>0</vt:i4>
      </vt:variant>
      <vt:variant>
        <vt:i4>5</vt:i4>
      </vt:variant>
      <vt:variant>
        <vt:lpwstr/>
      </vt:variant>
      <vt:variant>
        <vt:lpwstr>_Toc182219884</vt:lpwstr>
      </vt:variant>
      <vt:variant>
        <vt:i4>1835066</vt:i4>
      </vt:variant>
      <vt:variant>
        <vt:i4>20</vt:i4>
      </vt:variant>
      <vt:variant>
        <vt:i4>0</vt:i4>
      </vt:variant>
      <vt:variant>
        <vt:i4>5</vt:i4>
      </vt:variant>
      <vt:variant>
        <vt:lpwstr/>
      </vt:variant>
      <vt:variant>
        <vt:lpwstr>_Toc182219883</vt:lpwstr>
      </vt:variant>
      <vt:variant>
        <vt:i4>1835066</vt:i4>
      </vt:variant>
      <vt:variant>
        <vt:i4>14</vt:i4>
      </vt:variant>
      <vt:variant>
        <vt:i4>0</vt:i4>
      </vt:variant>
      <vt:variant>
        <vt:i4>5</vt:i4>
      </vt:variant>
      <vt:variant>
        <vt:lpwstr/>
      </vt:variant>
      <vt:variant>
        <vt:lpwstr>_Toc182219882</vt:lpwstr>
      </vt:variant>
      <vt:variant>
        <vt:i4>1835066</vt:i4>
      </vt:variant>
      <vt:variant>
        <vt:i4>8</vt:i4>
      </vt:variant>
      <vt:variant>
        <vt:i4>0</vt:i4>
      </vt:variant>
      <vt:variant>
        <vt:i4>5</vt:i4>
      </vt:variant>
      <vt:variant>
        <vt:lpwstr/>
      </vt:variant>
      <vt:variant>
        <vt:lpwstr>_Toc182219881</vt:lpwstr>
      </vt:variant>
      <vt:variant>
        <vt:i4>1835066</vt:i4>
      </vt:variant>
      <vt:variant>
        <vt:i4>2</vt:i4>
      </vt:variant>
      <vt:variant>
        <vt:i4>0</vt:i4>
      </vt:variant>
      <vt:variant>
        <vt:i4>5</vt:i4>
      </vt:variant>
      <vt:variant>
        <vt:lpwstr/>
      </vt:variant>
      <vt:variant>
        <vt:lpwstr>_Toc182219880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dc:creator>
  <cp:keywords/>
  <dc:description/>
  <cp:lastModifiedBy>Anthony W McGrath (VFA)</cp:lastModifiedBy>
  <cp:revision>2</cp:revision>
  <cp:lastPrinted>2024-11-11T21:58:00Z</cp:lastPrinted>
  <dcterms:created xsi:type="dcterms:W3CDTF">2024-12-19T05:17:00Z</dcterms:created>
  <dcterms:modified xsi:type="dcterms:W3CDTF">2024-12-19T05:17:00Z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0x010100611F6414DFB111E7BA88F9DF1743E317009352B53F7B4531429E64425F88C8348C</vt:lpwstr>
  </property>
  <property fmtid="{D5CDD505-2E9C-101B-9397-08002B2CF9AE}" pid="4" name="DEDJTRBranch">
    <vt:lpwstr/>
  </property>
  <property fmtid="{D5CDD505-2E9C-101B-9397-08002B2CF9AE}" pid="5" name="DEDJTRSection">
    <vt:lpwstr/>
  </property>
  <property fmtid="{D5CDD505-2E9C-101B-9397-08002B2CF9AE}" pid="6" name="DEDJTRGroup">
    <vt:lpwstr>1;#Victorian Fisheries Authority|03cedbca-4e15-4e6c-98c1-001cb1a1da76</vt:lpwstr>
  </property>
  <property fmtid="{D5CDD505-2E9C-101B-9397-08002B2CF9AE}" pid="7" name="DEDJTRSecurityClassification">
    <vt:lpwstr/>
  </property>
  <property fmtid="{D5CDD505-2E9C-101B-9397-08002B2CF9AE}" pid="8" name="DEDJTRDivision">
    <vt:lpwstr>2;#Management ＆ Science|34c30a66-7301-4d74-b833-86e02b73fddf</vt:lpwstr>
  </property>
  <property fmtid="{D5CDD505-2E9C-101B-9397-08002B2CF9AE}" pid="9" name="ClassificationContentMarkingHeaderShapeIds">
    <vt:lpwstr>3ab18846,2e9c5c25,53a70b91</vt:lpwstr>
  </property>
  <property fmtid="{D5CDD505-2E9C-101B-9397-08002B2CF9AE}" pid="10" name="ClassificationContentMarkingHeaderFontProps">
    <vt:lpwstr>#000000,12,Arial</vt:lpwstr>
  </property>
  <property fmtid="{D5CDD505-2E9C-101B-9397-08002B2CF9AE}" pid="11" name="ClassificationContentMarkingHeaderText">
    <vt:lpwstr>OFFICIAL</vt:lpwstr>
  </property>
  <property fmtid="{D5CDD505-2E9C-101B-9397-08002B2CF9AE}" pid="12" name="ClassificationContentMarkingFooterShapeIds">
    <vt:lpwstr>59e41a1f,234f47c3,274059c9</vt:lpwstr>
  </property>
  <property fmtid="{D5CDD505-2E9C-101B-9397-08002B2CF9AE}" pid="13" name="ClassificationContentMarkingFooterFontProps">
    <vt:lpwstr>#000000,12,Arial</vt:lpwstr>
  </property>
  <property fmtid="{D5CDD505-2E9C-101B-9397-08002B2CF9AE}" pid="14" name="ClassificationContentMarkingFooterText">
    <vt:lpwstr>OFFICIAL</vt:lpwstr>
  </property>
  <property fmtid="{D5CDD505-2E9C-101B-9397-08002B2CF9AE}" pid="15" name="MSIP_Label_d00a4df9-c942-4b09-b23a-6c1023f6de27_Enabled">
    <vt:lpwstr>true</vt:lpwstr>
  </property>
  <property fmtid="{D5CDD505-2E9C-101B-9397-08002B2CF9AE}" pid="16" name="MSIP_Label_d00a4df9-c942-4b09-b23a-6c1023f6de27_SetDate">
    <vt:lpwstr>2024-12-19T05:16:58Z</vt:lpwstr>
  </property>
  <property fmtid="{D5CDD505-2E9C-101B-9397-08002B2CF9AE}" pid="17" name="MSIP_Label_d00a4df9-c942-4b09-b23a-6c1023f6de27_Method">
    <vt:lpwstr>Privileged</vt:lpwstr>
  </property>
  <property fmtid="{D5CDD505-2E9C-101B-9397-08002B2CF9AE}" pid="18" name="MSIP_Label_d00a4df9-c942-4b09-b23a-6c1023f6de27_Name">
    <vt:lpwstr>Official (DJPR)</vt:lpwstr>
  </property>
  <property fmtid="{D5CDD505-2E9C-101B-9397-08002B2CF9AE}" pid="19" name="MSIP_Label_d00a4df9-c942-4b09-b23a-6c1023f6de27_SiteId">
    <vt:lpwstr>722ea0be-3e1c-4b11-ad6f-9401d6856e24</vt:lpwstr>
  </property>
  <property fmtid="{D5CDD505-2E9C-101B-9397-08002B2CF9AE}" pid="20" name="MSIP_Label_d00a4df9-c942-4b09-b23a-6c1023f6de27_ActionId">
    <vt:lpwstr>6b6e88a4-f844-4926-95a7-452c4c7fda29</vt:lpwstr>
  </property>
  <property fmtid="{D5CDD505-2E9C-101B-9397-08002B2CF9AE}" pid="21" name="MSIP_Label_d00a4df9-c942-4b09-b23a-6c1023f6de27_ContentBits">
    <vt:lpwstr>3</vt:lpwstr>
  </property>
</Properties>
</file>