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DEE4CA" w14:textId="74FFCC44" w:rsidR="001E4D2C" w:rsidRPr="001E4D2C" w:rsidRDefault="006914DD" w:rsidP="00620500">
      <w:bookmarkStart w:id="0" w:name="_GoBack"/>
      <w:bookmarkEnd w:id="0"/>
      <w:r>
        <w:rPr>
          <w:noProof/>
        </w:rPr>
        <mc:AlternateContent>
          <mc:Choice Requires="wps">
            <w:drawing>
              <wp:anchor distT="45720" distB="45720" distL="114300" distR="114300" simplePos="0" relativeHeight="251658240" behindDoc="0" locked="0" layoutInCell="1" allowOverlap="1" wp14:anchorId="5BBDF0A4" wp14:editId="34AE7C7B">
                <wp:simplePos x="0" y="0"/>
                <wp:positionH relativeFrom="column">
                  <wp:posOffset>-542925</wp:posOffset>
                </wp:positionH>
                <wp:positionV relativeFrom="paragraph">
                  <wp:posOffset>-967740</wp:posOffset>
                </wp:positionV>
                <wp:extent cx="4867275" cy="1038225"/>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67275" cy="1038225"/>
                        </a:xfrm>
                        <a:prstGeom prst="rect">
                          <a:avLst/>
                        </a:prstGeom>
                        <a:noFill/>
                        <a:ln w="9525">
                          <a:noFill/>
                          <a:miter lim="800000"/>
                          <a:headEnd/>
                          <a:tailEnd/>
                        </a:ln>
                      </wps:spPr>
                      <wps:txbx>
                        <w:txbxContent>
                          <w:p w14:paraId="5B8B83CE" w14:textId="5C2E8204" w:rsidR="006914DD" w:rsidRPr="00221A37" w:rsidRDefault="00221A37">
                            <w:pPr>
                              <w:rPr>
                                <w:rFonts w:asciiTheme="minorHAnsi" w:hAnsiTheme="minorHAnsi" w:cstheme="minorHAnsi"/>
                                <w:color w:val="31849B" w:themeColor="accent5" w:themeShade="BF"/>
                                <w:sz w:val="40"/>
                                <w:szCs w:val="40"/>
                              </w:rPr>
                            </w:pPr>
                            <w:r w:rsidRPr="00221A37">
                              <w:rPr>
                                <w:rFonts w:asciiTheme="minorHAnsi" w:hAnsiTheme="minorHAnsi" w:cstheme="minorHAnsi"/>
                                <w:color w:val="31849B" w:themeColor="accent5" w:themeShade="BF"/>
                                <w:sz w:val="40"/>
                                <w:szCs w:val="40"/>
                              </w:rPr>
                              <w:t xml:space="preserve">Victorian commercial </w:t>
                            </w:r>
                            <w:r w:rsidR="00D623A2">
                              <w:rPr>
                                <w:rFonts w:asciiTheme="minorHAnsi" w:hAnsiTheme="minorHAnsi" w:cstheme="minorHAnsi"/>
                                <w:color w:val="31849B" w:themeColor="accent5" w:themeShade="BF"/>
                                <w:sz w:val="40"/>
                                <w:szCs w:val="40"/>
                              </w:rPr>
                              <w:t xml:space="preserve">ocean </w:t>
                            </w:r>
                            <w:r w:rsidRPr="00221A37">
                              <w:rPr>
                                <w:rFonts w:asciiTheme="minorHAnsi" w:hAnsiTheme="minorHAnsi" w:cstheme="minorHAnsi"/>
                                <w:color w:val="31849B" w:themeColor="accent5" w:themeShade="BF"/>
                                <w:sz w:val="40"/>
                                <w:szCs w:val="40"/>
                              </w:rPr>
                              <w:t>wrasse fishery harvest strategy performance update</w:t>
                            </w:r>
                            <w:r w:rsidR="001E4D2C">
                              <w:rPr>
                                <w:rFonts w:asciiTheme="minorHAnsi" w:hAnsiTheme="minorHAnsi" w:cstheme="minorHAnsi"/>
                                <w:color w:val="31849B" w:themeColor="accent5" w:themeShade="BF"/>
                                <w:sz w:val="40"/>
                                <w:szCs w:val="40"/>
                              </w:rPr>
                              <w:t>: 2017/18</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BDF0A4" id="_x0000_t202" coordsize="21600,21600" o:spt="202" path="m,l,21600r21600,l21600,xe">
                <v:stroke joinstyle="miter"/>
                <v:path gradientshapeok="t" o:connecttype="rect"/>
              </v:shapetype>
              <v:shape id="Text Box 2" o:spid="_x0000_s1026" type="#_x0000_t202" style="position:absolute;margin-left:-42.75pt;margin-top:-76.2pt;width:383.25pt;height:81.7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D2KCwIAAPUDAAAOAAAAZHJzL2Uyb0RvYy54bWysU9tuGyEQfa/Uf0C813upHTsr4yhNmqpS&#10;epGSfgBmWS8qMBSwd9Ov78A6jpW+Vd2HFTDDmTlnDuur0WhykD4osIxWs5ISaQW0yu4Y/fF4925F&#10;SYjctlyDlYw+yUCvNm/frAfXyBp60K30BEFsaAbHaB+ja4oiiF4aHmbgpMVgB97wiFu/K1rPB0Q3&#10;uqjL8qIYwLfOg5Ah4OntFKSbjN91UsRvXRdkJJpR7C3mv8//bfoXmzVvdp67XoljG/wfujBcWSx6&#10;grrlkZO9V39BGSU8BOjiTIApoOuUkJkDsqnKV2weeu5k5oLiBHeSKfw/WPH18N0T1TJaV0tKLDc4&#10;pEc5RvIBRlInfQYXGkx7cJgYRzzGOWeuwd2D+BmIhZue25289h6GXvIW+6vSzeLs6oQTEsh2+AIt&#10;luH7CBlo7LxJ4qEcBNFxTk+n2aRWBB7OVxfLermgRGCsKt+v6nqRa/Dm+brzIX6SYEhaMOpx+Bme&#10;H+5DTO3w5jklVbNwp7TOBtCWDIxeLhDyVcSoiP7UyjC6KtM3OSax/GjbfDlypac1FtD2SDsxnTjH&#10;cTtiYtJiC+0TCuBh8iG+G1z04H9TMqAHGQ2/9txLSvRniyJeVvN5Mm3ezBfLGjf+PLI9j3ArEIrR&#10;SMm0vInZ6BOjaxS7U1mGl06OvaK3sjrHd5DMe77PWS+vdfMHAAD//wMAUEsDBBQABgAIAAAAIQBh&#10;gQgw3gAAAAsBAAAPAAAAZHJzL2Rvd25yZXYueG1sTI9NT8MwDIbvSPyHyEjctiTTOnWl6YRAXEGM&#10;D2m3rPHaisapmmwt/x5zgpstP3r9vOVu9r244Bi7QAb0UoFAqoPrqDHw/va0yEHEZMnZPhAa+MYI&#10;u+r6qrSFCxO94mWfGsEhFAtroE1pKKSMdYvexmUYkPh2CqO3idexkW60E4f7Xq6U2khvO+IPrR3w&#10;ocX6a3/2Bj6eT4fPtXppHn02TGFWkvxWGnN7M9/fgUg4pz8YfvVZHSp2OoYzuSh6A4s8yxjlQWer&#10;NQhGNrnmekdmtQZZlfJ/h+oHAAD//wMAUEsBAi0AFAAGAAgAAAAhALaDOJL+AAAA4QEAABMAAAAA&#10;AAAAAAAAAAAAAAAAAFtDb250ZW50X1R5cGVzXS54bWxQSwECLQAUAAYACAAAACEAOP0h/9YAAACU&#10;AQAACwAAAAAAAAAAAAAAAAAvAQAAX3JlbHMvLnJlbHNQSwECLQAUAAYACAAAACEAi8Q9igsCAAD1&#10;AwAADgAAAAAAAAAAAAAAAAAuAgAAZHJzL2Uyb0RvYy54bWxQSwECLQAUAAYACAAAACEAYYEIMN4A&#10;AAALAQAADwAAAAAAAAAAAAAAAABlBAAAZHJzL2Rvd25yZXYueG1sUEsFBgAAAAAEAAQA8wAAAHAF&#10;AAAAAA==&#10;" filled="f" stroked="f">
                <v:textbox>
                  <w:txbxContent>
                    <w:p w14:paraId="5B8B83CE" w14:textId="5C2E8204" w:rsidR="006914DD" w:rsidRPr="00221A37" w:rsidRDefault="00221A37">
                      <w:pPr>
                        <w:rPr>
                          <w:rFonts w:asciiTheme="minorHAnsi" w:hAnsiTheme="minorHAnsi" w:cstheme="minorHAnsi"/>
                          <w:color w:val="31849B" w:themeColor="accent5" w:themeShade="BF"/>
                          <w:sz w:val="40"/>
                          <w:szCs w:val="40"/>
                        </w:rPr>
                      </w:pPr>
                      <w:r w:rsidRPr="00221A37">
                        <w:rPr>
                          <w:rFonts w:asciiTheme="minorHAnsi" w:hAnsiTheme="minorHAnsi" w:cstheme="minorHAnsi"/>
                          <w:color w:val="31849B" w:themeColor="accent5" w:themeShade="BF"/>
                          <w:sz w:val="40"/>
                          <w:szCs w:val="40"/>
                        </w:rPr>
                        <w:t xml:space="preserve">Victorian commercial </w:t>
                      </w:r>
                      <w:r w:rsidR="00D623A2">
                        <w:rPr>
                          <w:rFonts w:asciiTheme="minorHAnsi" w:hAnsiTheme="minorHAnsi" w:cstheme="minorHAnsi"/>
                          <w:color w:val="31849B" w:themeColor="accent5" w:themeShade="BF"/>
                          <w:sz w:val="40"/>
                          <w:szCs w:val="40"/>
                        </w:rPr>
                        <w:t xml:space="preserve">ocean </w:t>
                      </w:r>
                      <w:r w:rsidRPr="00221A37">
                        <w:rPr>
                          <w:rFonts w:asciiTheme="minorHAnsi" w:hAnsiTheme="minorHAnsi" w:cstheme="minorHAnsi"/>
                          <w:color w:val="31849B" w:themeColor="accent5" w:themeShade="BF"/>
                          <w:sz w:val="40"/>
                          <w:szCs w:val="40"/>
                        </w:rPr>
                        <w:t>wrasse fishery harvest strategy performance update</w:t>
                      </w:r>
                      <w:r w:rsidR="001E4D2C">
                        <w:rPr>
                          <w:rFonts w:asciiTheme="minorHAnsi" w:hAnsiTheme="minorHAnsi" w:cstheme="minorHAnsi"/>
                          <w:color w:val="31849B" w:themeColor="accent5" w:themeShade="BF"/>
                          <w:sz w:val="40"/>
                          <w:szCs w:val="40"/>
                        </w:rPr>
                        <w:t>: 2017/18</w:t>
                      </w:r>
                    </w:p>
                  </w:txbxContent>
                </v:textbox>
              </v:shape>
            </w:pict>
          </mc:Fallback>
        </mc:AlternateContent>
      </w:r>
    </w:p>
    <w:p w14:paraId="0000C706" w14:textId="5B0EADDE" w:rsidR="00D24C6D" w:rsidRDefault="0012277F" w:rsidP="00EC62B6">
      <w:pPr>
        <w:pStyle w:val="Heading1"/>
      </w:pPr>
      <w:r w:rsidRPr="00620500">
        <w:t>summary</w:t>
      </w:r>
    </w:p>
    <w:p w14:paraId="5D31124F" w14:textId="77777777" w:rsidR="00AB3E8D" w:rsidRPr="00AB3E8D" w:rsidRDefault="00AB3E8D" w:rsidP="00AB3E8D"/>
    <w:p w14:paraId="19FF5EAF" w14:textId="1A25C8D6" w:rsidR="00837A0D" w:rsidRDefault="00690567" w:rsidP="00F76203">
      <w:pPr>
        <w:pStyle w:val="ListParagraph"/>
        <w:numPr>
          <w:ilvl w:val="0"/>
          <w:numId w:val="5"/>
        </w:numPr>
        <w:ind w:left="714" w:hanging="357"/>
        <w:contextualSpacing w:val="0"/>
        <w:rPr>
          <w:sz w:val="20"/>
        </w:rPr>
      </w:pPr>
      <w:r w:rsidRPr="00D24C6D">
        <w:rPr>
          <w:sz w:val="20"/>
        </w:rPr>
        <w:t>For 2017/18 t</w:t>
      </w:r>
      <w:r w:rsidR="0012277F" w:rsidRPr="00D24C6D">
        <w:rPr>
          <w:sz w:val="20"/>
        </w:rPr>
        <w:t xml:space="preserve">he primary performance indicator was above the trigger reference point for all assessment zones suggesting that </w:t>
      </w:r>
      <w:r w:rsidR="00837A0D" w:rsidRPr="00837A0D">
        <w:rPr>
          <w:sz w:val="20"/>
        </w:rPr>
        <w:t>the current harvest from the available biomass is sustainable</w:t>
      </w:r>
      <w:r w:rsidR="00837A0D">
        <w:rPr>
          <w:sz w:val="20"/>
        </w:rPr>
        <w:t xml:space="preserve">. </w:t>
      </w:r>
    </w:p>
    <w:p w14:paraId="4B223A18" w14:textId="02D30825" w:rsidR="0012277F" w:rsidRPr="00CD200A" w:rsidRDefault="0012277F" w:rsidP="00F76203">
      <w:pPr>
        <w:pStyle w:val="ListParagraph"/>
        <w:numPr>
          <w:ilvl w:val="0"/>
          <w:numId w:val="5"/>
        </w:numPr>
        <w:ind w:left="714" w:hanging="357"/>
        <w:contextualSpacing w:val="0"/>
        <w:rPr>
          <w:color w:val="000000" w:themeColor="text1"/>
          <w:sz w:val="20"/>
          <w:szCs w:val="20"/>
        </w:rPr>
      </w:pPr>
      <w:r w:rsidRPr="00690567">
        <w:rPr>
          <w:color w:val="000000" w:themeColor="text1"/>
          <w:sz w:val="20"/>
          <w:szCs w:val="20"/>
        </w:rPr>
        <w:t xml:space="preserve">The total wrasse catch by </w:t>
      </w:r>
      <w:r w:rsidR="00F32E96" w:rsidRPr="00620500">
        <w:rPr>
          <w:sz w:val="20"/>
          <w:szCs w:val="20"/>
        </w:rPr>
        <w:t>ocean wrasse</w:t>
      </w:r>
      <w:r w:rsidR="00F32E96">
        <w:rPr>
          <w:sz w:val="20"/>
          <w:szCs w:val="20"/>
        </w:rPr>
        <w:t xml:space="preserve"> fishery</w:t>
      </w:r>
      <w:r w:rsidRPr="00690567">
        <w:rPr>
          <w:color w:val="000000" w:themeColor="text1"/>
          <w:sz w:val="20"/>
          <w:szCs w:val="20"/>
        </w:rPr>
        <w:t xml:space="preserve"> licences in 2017/18 equated to an 80% increase from 2016/17 as new licence owners became active in the fishery after license transferability. The increase</w:t>
      </w:r>
      <w:r w:rsidR="00EA03F5">
        <w:rPr>
          <w:color w:val="000000" w:themeColor="text1"/>
          <w:sz w:val="20"/>
          <w:szCs w:val="20"/>
        </w:rPr>
        <w:t xml:space="preserve"> in</w:t>
      </w:r>
      <w:r w:rsidR="007E4AC3">
        <w:rPr>
          <w:color w:val="000000" w:themeColor="text1"/>
          <w:sz w:val="20"/>
          <w:szCs w:val="20"/>
        </w:rPr>
        <w:t xml:space="preserve"> catch</w:t>
      </w:r>
      <w:r w:rsidRPr="00690567">
        <w:rPr>
          <w:color w:val="000000" w:themeColor="text1"/>
          <w:sz w:val="20"/>
          <w:szCs w:val="20"/>
        </w:rPr>
        <w:t xml:space="preserve"> was attributed entirely to the Central and West </w:t>
      </w:r>
      <w:r w:rsidR="00690567" w:rsidRPr="00690567">
        <w:rPr>
          <w:color w:val="000000" w:themeColor="text1"/>
          <w:sz w:val="20"/>
          <w:szCs w:val="20"/>
        </w:rPr>
        <w:t xml:space="preserve">assessment </w:t>
      </w:r>
      <w:r w:rsidRPr="00690567">
        <w:rPr>
          <w:color w:val="000000" w:themeColor="text1"/>
          <w:sz w:val="20"/>
          <w:szCs w:val="20"/>
        </w:rPr>
        <w:t xml:space="preserve">zones, with </w:t>
      </w:r>
      <w:r w:rsidR="00CD200A">
        <w:rPr>
          <w:color w:val="000000" w:themeColor="text1"/>
          <w:sz w:val="20"/>
          <w:szCs w:val="20"/>
        </w:rPr>
        <w:t xml:space="preserve">a </w:t>
      </w:r>
      <w:r w:rsidRPr="00690567">
        <w:rPr>
          <w:color w:val="000000" w:themeColor="text1"/>
          <w:sz w:val="20"/>
          <w:szCs w:val="20"/>
        </w:rPr>
        <w:t>catch reduction occurring in the East zone.</w:t>
      </w:r>
    </w:p>
    <w:p w14:paraId="699F54C8" w14:textId="418F8F49" w:rsidR="0012277F" w:rsidRPr="00CD200A" w:rsidRDefault="0012277F" w:rsidP="00F76203">
      <w:pPr>
        <w:pStyle w:val="ListParagraph"/>
        <w:numPr>
          <w:ilvl w:val="0"/>
          <w:numId w:val="5"/>
        </w:numPr>
        <w:ind w:left="714" w:hanging="357"/>
        <w:contextualSpacing w:val="0"/>
        <w:rPr>
          <w:color w:val="000000" w:themeColor="text1"/>
          <w:sz w:val="20"/>
          <w:szCs w:val="20"/>
        </w:rPr>
      </w:pPr>
      <w:r w:rsidRPr="00690567">
        <w:rPr>
          <w:color w:val="000000" w:themeColor="text1"/>
          <w:sz w:val="20"/>
          <w:szCs w:val="20"/>
        </w:rPr>
        <w:t xml:space="preserve">Similar to catch, effort increased considerably in the Central and West </w:t>
      </w:r>
      <w:r w:rsidR="00690567" w:rsidRPr="00690567">
        <w:rPr>
          <w:color w:val="000000" w:themeColor="text1"/>
          <w:sz w:val="20"/>
          <w:szCs w:val="20"/>
        </w:rPr>
        <w:t xml:space="preserve">assessment </w:t>
      </w:r>
      <w:r w:rsidRPr="00690567">
        <w:rPr>
          <w:color w:val="000000" w:themeColor="text1"/>
          <w:sz w:val="20"/>
          <w:szCs w:val="20"/>
        </w:rPr>
        <w:t>zones from 2016/17 to 2017/18</w:t>
      </w:r>
      <w:r w:rsidR="00690567" w:rsidRPr="00690567">
        <w:rPr>
          <w:color w:val="000000" w:themeColor="text1"/>
          <w:sz w:val="20"/>
          <w:szCs w:val="20"/>
        </w:rPr>
        <w:t>,</w:t>
      </w:r>
      <w:r w:rsidRPr="00690567">
        <w:rPr>
          <w:color w:val="000000" w:themeColor="text1"/>
          <w:sz w:val="20"/>
          <w:szCs w:val="20"/>
        </w:rPr>
        <w:t xml:space="preserve"> but not in the East zone.</w:t>
      </w:r>
    </w:p>
    <w:p w14:paraId="281FE804" w14:textId="4CD500A4" w:rsidR="0012277F" w:rsidRPr="00CD200A" w:rsidRDefault="0012277F" w:rsidP="00F76203">
      <w:pPr>
        <w:pStyle w:val="ListParagraph"/>
        <w:numPr>
          <w:ilvl w:val="0"/>
          <w:numId w:val="5"/>
        </w:numPr>
        <w:ind w:left="714" w:hanging="357"/>
        <w:contextualSpacing w:val="0"/>
        <w:rPr>
          <w:color w:val="000000" w:themeColor="text1"/>
          <w:sz w:val="20"/>
          <w:szCs w:val="20"/>
        </w:rPr>
      </w:pPr>
      <w:r w:rsidRPr="00690567">
        <w:rPr>
          <w:color w:val="000000" w:themeColor="text1"/>
          <w:sz w:val="20"/>
          <w:szCs w:val="20"/>
        </w:rPr>
        <w:t>The rapid increases in catch and effort from 2016/17 to 2017/18</w:t>
      </w:r>
      <w:r w:rsidR="005F165A">
        <w:rPr>
          <w:color w:val="000000" w:themeColor="text1"/>
          <w:sz w:val="20"/>
          <w:szCs w:val="20"/>
        </w:rPr>
        <w:t xml:space="preserve"> </w:t>
      </w:r>
      <w:r w:rsidR="00E427B3">
        <w:rPr>
          <w:color w:val="000000" w:themeColor="text1"/>
          <w:sz w:val="20"/>
          <w:szCs w:val="20"/>
        </w:rPr>
        <w:t>as new operators became activ</w:t>
      </w:r>
      <w:r w:rsidR="00CD200A">
        <w:rPr>
          <w:color w:val="000000" w:themeColor="text1"/>
          <w:sz w:val="20"/>
          <w:szCs w:val="20"/>
        </w:rPr>
        <w:t>e</w:t>
      </w:r>
      <w:r w:rsidR="00E427B3">
        <w:rPr>
          <w:color w:val="000000" w:themeColor="text1"/>
          <w:sz w:val="20"/>
          <w:szCs w:val="20"/>
        </w:rPr>
        <w:t xml:space="preserve"> </w:t>
      </w:r>
      <w:r w:rsidR="00CD200A">
        <w:rPr>
          <w:color w:val="000000" w:themeColor="text1"/>
          <w:sz w:val="20"/>
          <w:szCs w:val="20"/>
        </w:rPr>
        <w:t>following licence transferability</w:t>
      </w:r>
      <w:r w:rsidR="00972676" w:rsidRPr="00972676">
        <w:rPr>
          <w:color w:val="000000" w:themeColor="text1"/>
          <w:sz w:val="20"/>
          <w:szCs w:val="20"/>
        </w:rPr>
        <w:t xml:space="preserve"> </w:t>
      </w:r>
      <w:r w:rsidR="00972676">
        <w:rPr>
          <w:color w:val="000000" w:themeColor="text1"/>
          <w:sz w:val="20"/>
          <w:szCs w:val="20"/>
        </w:rPr>
        <w:t>is not surprising</w:t>
      </w:r>
      <w:r w:rsidRPr="00690567">
        <w:rPr>
          <w:color w:val="000000" w:themeColor="text1"/>
          <w:sz w:val="20"/>
          <w:szCs w:val="20"/>
        </w:rPr>
        <w:t xml:space="preserve"> </w:t>
      </w:r>
      <w:r w:rsidR="000B717F">
        <w:rPr>
          <w:color w:val="000000" w:themeColor="text1"/>
          <w:sz w:val="20"/>
          <w:szCs w:val="20"/>
        </w:rPr>
        <w:t xml:space="preserve">but </w:t>
      </w:r>
      <w:r w:rsidRPr="00690567">
        <w:rPr>
          <w:color w:val="000000" w:themeColor="text1"/>
          <w:sz w:val="20"/>
          <w:szCs w:val="20"/>
        </w:rPr>
        <w:t xml:space="preserve">will </w:t>
      </w:r>
      <w:r w:rsidR="00E63FD8">
        <w:rPr>
          <w:color w:val="000000" w:themeColor="text1"/>
          <w:sz w:val="20"/>
          <w:szCs w:val="20"/>
        </w:rPr>
        <w:t xml:space="preserve">be </w:t>
      </w:r>
      <w:r w:rsidR="00E63FD8" w:rsidRPr="00690567">
        <w:rPr>
          <w:color w:val="000000" w:themeColor="text1"/>
          <w:sz w:val="20"/>
          <w:szCs w:val="20"/>
        </w:rPr>
        <w:t>discus</w:t>
      </w:r>
      <w:r w:rsidR="00E63FD8">
        <w:rPr>
          <w:color w:val="000000" w:themeColor="text1"/>
          <w:sz w:val="20"/>
          <w:szCs w:val="20"/>
        </w:rPr>
        <w:t>sed</w:t>
      </w:r>
      <w:r w:rsidR="00E63FD8" w:rsidRPr="00690567">
        <w:rPr>
          <w:color w:val="000000" w:themeColor="text1"/>
          <w:sz w:val="20"/>
          <w:szCs w:val="20"/>
        </w:rPr>
        <w:t xml:space="preserve"> </w:t>
      </w:r>
      <w:r w:rsidRPr="00690567">
        <w:rPr>
          <w:color w:val="000000" w:themeColor="text1"/>
          <w:sz w:val="20"/>
          <w:szCs w:val="20"/>
        </w:rPr>
        <w:t>with industry under the harvest strategy framework.</w:t>
      </w:r>
    </w:p>
    <w:p w14:paraId="6B14A76F" w14:textId="79BF9DEE" w:rsidR="0012277F" w:rsidRPr="00690567" w:rsidRDefault="0012277F" w:rsidP="00F76203">
      <w:pPr>
        <w:pStyle w:val="ListParagraph"/>
        <w:numPr>
          <w:ilvl w:val="0"/>
          <w:numId w:val="5"/>
        </w:numPr>
        <w:ind w:left="714" w:hanging="357"/>
        <w:contextualSpacing w:val="0"/>
        <w:rPr>
          <w:color w:val="000000" w:themeColor="text1"/>
          <w:sz w:val="20"/>
          <w:szCs w:val="20"/>
        </w:rPr>
      </w:pPr>
      <w:r w:rsidRPr="00690567">
        <w:rPr>
          <w:color w:val="000000" w:themeColor="text1"/>
          <w:sz w:val="20"/>
          <w:szCs w:val="20"/>
        </w:rPr>
        <w:t>The percentage of wrasse catch by pots was at the 10% level in 2017/18.</w:t>
      </w:r>
    </w:p>
    <w:p w14:paraId="5AC9999C" w14:textId="77777777" w:rsidR="00690567" w:rsidRPr="00690567" w:rsidRDefault="00690567" w:rsidP="00690567">
      <w:pPr>
        <w:ind w:left="360"/>
        <w:rPr>
          <w:sz w:val="20"/>
          <w:szCs w:val="20"/>
        </w:rPr>
      </w:pPr>
    </w:p>
    <w:p w14:paraId="491C5203" w14:textId="3A643E29" w:rsidR="00620500" w:rsidRDefault="00620500" w:rsidP="007A2DBB">
      <w:pPr>
        <w:pStyle w:val="Heading1"/>
      </w:pPr>
      <w:r w:rsidRPr="00620500">
        <w:t>Background</w:t>
      </w:r>
    </w:p>
    <w:p w14:paraId="32B16B09" w14:textId="77777777" w:rsidR="007A2DBB" w:rsidRPr="007A2DBB" w:rsidRDefault="007A2DBB" w:rsidP="007A2DBB"/>
    <w:p w14:paraId="5E831188" w14:textId="3175131D" w:rsidR="00620500" w:rsidRPr="00620500" w:rsidRDefault="00620500" w:rsidP="00620500">
      <w:pPr>
        <w:rPr>
          <w:sz w:val="20"/>
          <w:szCs w:val="20"/>
        </w:rPr>
      </w:pPr>
      <w:r w:rsidRPr="00620500">
        <w:rPr>
          <w:sz w:val="20"/>
          <w:szCs w:val="20"/>
        </w:rPr>
        <w:t>This document summarise</w:t>
      </w:r>
      <w:r w:rsidR="003A6489">
        <w:rPr>
          <w:sz w:val="20"/>
          <w:szCs w:val="20"/>
        </w:rPr>
        <w:t>s</w:t>
      </w:r>
      <w:r w:rsidRPr="00620500">
        <w:rPr>
          <w:sz w:val="20"/>
          <w:szCs w:val="20"/>
        </w:rPr>
        <w:t xml:space="preserve"> the performance of the Victorian ocean wrasse (OW) fishery in relation to the “Harvest Strategy for the Victorian Wrasse (Ocean) Fishery” that was established in </w:t>
      </w:r>
      <w:r w:rsidR="003A6489">
        <w:rPr>
          <w:sz w:val="20"/>
          <w:szCs w:val="20"/>
        </w:rPr>
        <w:t xml:space="preserve">early </w:t>
      </w:r>
      <w:r w:rsidRPr="00620500">
        <w:rPr>
          <w:sz w:val="20"/>
          <w:szCs w:val="20"/>
        </w:rPr>
        <w:t xml:space="preserve">2017 and is available at: </w:t>
      </w:r>
      <w:r w:rsidRPr="004A117B">
        <w:rPr>
          <w:b/>
          <w:sz w:val="20"/>
          <w:szCs w:val="20"/>
        </w:rPr>
        <w:t>https://vfa.vic.gov.au/commercial-fishing/wrasse</w:t>
      </w:r>
      <w:r w:rsidRPr="00620500">
        <w:rPr>
          <w:sz w:val="20"/>
          <w:szCs w:val="20"/>
        </w:rPr>
        <w:t xml:space="preserve">. This annual harvest strategy review considers the key performance indicators of catch per unit effort (CPUE) and commercial </w:t>
      </w:r>
      <w:r w:rsidR="00554D10">
        <w:rPr>
          <w:sz w:val="20"/>
          <w:szCs w:val="20"/>
        </w:rPr>
        <w:t xml:space="preserve">wrasse </w:t>
      </w:r>
      <w:r w:rsidRPr="00620500">
        <w:rPr>
          <w:sz w:val="20"/>
          <w:szCs w:val="20"/>
        </w:rPr>
        <w:t>harvest</w:t>
      </w:r>
      <w:r w:rsidR="00856B22">
        <w:rPr>
          <w:sz w:val="20"/>
          <w:szCs w:val="20"/>
        </w:rPr>
        <w:t xml:space="preserve"> </w:t>
      </w:r>
      <w:r w:rsidR="00843A9C">
        <w:rPr>
          <w:sz w:val="20"/>
          <w:szCs w:val="20"/>
        </w:rPr>
        <w:t xml:space="preserve">and effort </w:t>
      </w:r>
      <w:r w:rsidR="00856B22">
        <w:rPr>
          <w:sz w:val="20"/>
          <w:szCs w:val="20"/>
        </w:rPr>
        <w:t xml:space="preserve">up </w:t>
      </w:r>
      <w:r w:rsidR="00CD200A">
        <w:rPr>
          <w:sz w:val="20"/>
          <w:szCs w:val="20"/>
        </w:rPr>
        <w:t xml:space="preserve">to </w:t>
      </w:r>
      <w:r w:rsidR="00856B22">
        <w:rPr>
          <w:sz w:val="20"/>
          <w:szCs w:val="20"/>
        </w:rPr>
        <w:t>and including the 2017/18 fiscal year</w:t>
      </w:r>
      <w:r w:rsidRPr="00620500">
        <w:rPr>
          <w:sz w:val="20"/>
          <w:szCs w:val="20"/>
        </w:rPr>
        <w:t>.</w:t>
      </w:r>
      <w:r w:rsidR="00856B22">
        <w:rPr>
          <w:sz w:val="20"/>
          <w:szCs w:val="20"/>
        </w:rPr>
        <w:t xml:space="preserve"> </w:t>
      </w:r>
      <w:r w:rsidRPr="00620500">
        <w:rPr>
          <w:sz w:val="20"/>
          <w:szCs w:val="20"/>
        </w:rPr>
        <w:t xml:space="preserve">The percentage of total harvest that is taken by hook and line is also monitored due to the intent that this fishery remains a hook and line </w:t>
      </w:r>
      <w:r w:rsidR="00625434">
        <w:rPr>
          <w:sz w:val="20"/>
          <w:szCs w:val="20"/>
        </w:rPr>
        <w:t xml:space="preserve">method </w:t>
      </w:r>
      <w:r w:rsidRPr="00620500">
        <w:rPr>
          <w:sz w:val="20"/>
          <w:szCs w:val="20"/>
        </w:rPr>
        <w:t xml:space="preserve">dominated fishery. </w:t>
      </w:r>
    </w:p>
    <w:p w14:paraId="65448371" w14:textId="7AF2F371" w:rsidR="00620500" w:rsidRPr="00620500" w:rsidRDefault="00620500" w:rsidP="00620500">
      <w:pPr>
        <w:rPr>
          <w:sz w:val="20"/>
          <w:szCs w:val="20"/>
        </w:rPr>
      </w:pPr>
      <w:r w:rsidRPr="00620500">
        <w:rPr>
          <w:sz w:val="20"/>
          <w:szCs w:val="20"/>
        </w:rPr>
        <w:t>While the OW license holders can operate throughout the State’s coastal waters, the harvest strategy reviews data at a finer zonal scale that relates to the spatially clustered nature of the wrasse fishery around ports and access points. The West, Central and East assessment zones</w:t>
      </w:r>
      <w:r w:rsidR="00625434">
        <w:rPr>
          <w:sz w:val="20"/>
          <w:szCs w:val="20"/>
        </w:rPr>
        <w:t xml:space="preserve"> applied in the harvest </w:t>
      </w:r>
      <w:r w:rsidR="006B67B9">
        <w:rPr>
          <w:sz w:val="20"/>
          <w:szCs w:val="20"/>
        </w:rPr>
        <w:t>str</w:t>
      </w:r>
      <w:r w:rsidR="00625434">
        <w:rPr>
          <w:sz w:val="20"/>
          <w:szCs w:val="20"/>
        </w:rPr>
        <w:t>at</w:t>
      </w:r>
      <w:r w:rsidR="006B67B9">
        <w:rPr>
          <w:sz w:val="20"/>
          <w:szCs w:val="20"/>
        </w:rPr>
        <w:t>egy</w:t>
      </w:r>
      <w:r w:rsidR="00625434">
        <w:rPr>
          <w:sz w:val="20"/>
          <w:szCs w:val="20"/>
        </w:rPr>
        <w:t xml:space="preserve"> reporting</w:t>
      </w:r>
      <w:r w:rsidRPr="00620500">
        <w:rPr>
          <w:sz w:val="20"/>
          <w:szCs w:val="20"/>
        </w:rPr>
        <w:t xml:space="preserve"> are indicated in Figure 1.</w:t>
      </w:r>
    </w:p>
    <w:p w14:paraId="71A99A7B" w14:textId="77777777" w:rsidR="00D31261" w:rsidRDefault="00D31261" w:rsidP="00620500">
      <w:pPr>
        <w:rPr>
          <w:b/>
          <w:sz w:val="20"/>
          <w:szCs w:val="20"/>
        </w:rPr>
      </w:pPr>
    </w:p>
    <w:p w14:paraId="47BC1C50" w14:textId="4728574A" w:rsidR="00045468" w:rsidRPr="00D31261" w:rsidRDefault="00045468" w:rsidP="00620500">
      <w:pPr>
        <w:rPr>
          <w:b/>
          <w:sz w:val="20"/>
          <w:szCs w:val="20"/>
        </w:rPr>
      </w:pPr>
      <w:r w:rsidRPr="00D31261">
        <w:rPr>
          <w:b/>
          <w:sz w:val="20"/>
          <w:szCs w:val="20"/>
        </w:rPr>
        <w:t xml:space="preserve">CPUE </w:t>
      </w:r>
      <w:r w:rsidR="00D31261">
        <w:rPr>
          <w:b/>
          <w:sz w:val="20"/>
          <w:szCs w:val="20"/>
        </w:rPr>
        <w:t>(</w:t>
      </w:r>
      <w:r w:rsidR="00D31261" w:rsidRPr="00D31261">
        <w:rPr>
          <w:b/>
          <w:sz w:val="20"/>
          <w:szCs w:val="20"/>
        </w:rPr>
        <w:t>kg/hr)</w:t>
      </w:r>
      <w:r w:rsidR="008513DE" w:rsidRPr="00D31261">
        <w:rPr>
          <w:b/>
          <w:sz w:val="20"/>
          <w:szCs w:val="20"/>
        </w:rPr>
        <w:t xml:space="preserve"> as a Primary Performance Indicator</w:t>
      </w:r>
    </w:p>
    <w:p w14:paraId="58DC1F65" w14:textId="34BDF528" w:rsidR="001D2976" w:rsidRDefault="00620500" w:rsidP="00620500">
      <w:pPr>
        <w:rPr>
          <w:color w:val="000000" w:themeColor="text1"/>
          <w:sz w:val="20"/>
          <w:szCs w:val="20"/>
        </w:rPr>
      </w:pPr>
      <w:r w:rsidRPr="00620500">
        <w:rPr>
          <w:sz w:val="20"/>
          <w:szCs w:val="20"/>
        </w:rPr>
        <w:t>CPUE for hook and line method, measured as kg/hr</w:t>
      </w:r>
      <w:r w:rsidR="00393479">
        <w:rPr>
          <w:sz w:val="20"/>
          <w:szCs w:val="20"/>
        </w:rPr>
        <w:t xml:space="preserve"> of reported fishing time</w:t>
      </w:r>
      <w:r w:rsidRPr="00620500">
        <w:rPr>
          <w:sz w:val="20"/>
          <w:szCs w:val="20"/>
        </w:rPr>
        <w:t xml:space="preserve">, is used </w:t>
      </w:r>
      <w:r w:rsidR="00CC3B51">
        <w:rPr>
          <w:sz w:val="20"/>
          <w:szCs w:val="20"/>
        </w:rPr>
        <w:t xml:space="preserve">as </w:t>
      </w:r>
      <w:r w:rsidRPr="00620500">
        <w:rPr>
          <w:sz w:val="20"/>
          <w:szCs w:val="20"/>
        </w:rPr>
        <w:t xml:space="preserve">a proxy performance measure for available biomass. CPUE is expected to fluctuate in relation to the availability of legal sized wrasse. </w:t>
      </w:r>
      <w:r w:rsidR="00AC2600">
        <w:rPr>
          <w:sz w:val="20"/>
          <w:szCs w:val="20"/>
        </w:rPr>
        <w:t>However,</w:t>
      </w:r>
      <w:r w:rsidRPr="00620500">
        <w:rPr>
          <w:sz w:val="20"/>
          <w:szCs w:val="20"/>
        </w:rPr>
        <w:t xml:space="preserve"> CPUE can also vary for reasons unrelated to available biomass; such as fisher skill, season</w:t>
      </w:r>
      <w:r w:rsidR="00575BBF">
        <w:rPr>
          <w:sz w:val="20"/>
          <w:szCs w:val="20"/>
        </w:rPr>
        <w:t>/month</w:t>
      </w:r>
      <w:r w:rsidRPr="00620500">
        <w:rPr>
          <w:sz w:val="20"/>
          <w:szCs w:val="20"/>
        </w:rPr>
        <w:t xml:space="preserve"> and location of fishing etc. To reduce the influence of these factors on the CPUE </w:t>
      </w:r>
      <w:r w:rsidR="00CC3B51">
        <w:rPr>
          <w:sz w:val="20"/>
          <w:szCs w:val="20"/>
        </w:rPr>
        <w:t xml:space="preserve">biomass </w:t>
      </w:r>
      <w:r w:rsidRPr="00620500">
        <w:rPr>
          <w:sz w:val="20"/>
          <w:szCs w:val="20"/>
        </w:rPr>
        <w:t>signal, the nominal or “raw” CPUE data are standardised using statistical procedures</w:t>
      </w:r>
      <w:r w:rsidR="00EF2069">
        <w:rPr>
          <w:sz w:val="20"/>
          <w:szCs w:val="20"/>
        </w:rPr>
        <w:t xml:space="preserve"> </w:t>
      </w:r>
      <w:r w:rsidRPr="00620500">
        <w:rPr>
          <w:sz w:val="20"/>
          <w:szCs w:val="20"/>
        </w:rPr>
        <w:t xml:space="preserve">to reduce the </w:t>
      </w:r>
      <w:r w:rsidR="00776803">
        <w:rPr>
          <w:sz w:val="20"/>
          <w:szCs w:val="20"/>
        </w:rPr>
        <w:t>effects</w:t>
      </w:r>
      <w:r w:rsidRPr="00620500">
        <w:rPr>
          <w:sz w:val="20"/>
          <w:szCs w:val="20"/>
        </w:rPr>
        <w:t xml:space="preserve"> of factors that may influence the CPUE but are not related to the available biomass.</w:t>
      </w:r>
      <w:r w:rsidR="007F2442">
        <w:rPr>
          <w:sz w:val="20"/>
          <w:szCs w:val="20"/>
        </w:rPr>
        <w:t xml:space="preserve"> Prior to </w:t>
      </w:r>
      <w:r w:rsidR="00E70411">
        <w:rPr>
          <w:sz w:val="20"/>
          <w:szCs w:val="20"/>
        </w:rPr>
        <w:t xml:space="preserve">the </w:t>
      </w:r>
      <w:r w:rsidR="007F2442">
        <w:rPr>
          <w:sz w:val="20"/>
          <w:szCs w:val="20"/>
        </w:rPr>
        <w:t>data from catch and effort records being used to estimate CPUE</w:t>
      </w:r>
      <w:r w:rsidR="002E5ACC">
        <w:rPr>
          <w:sz w:val="20"/>
          <w:szCs w:val="20"/>
        </w:rPr>
        <w:t>,</w:t>
      </w:r>
      <w:r w:rsidR="007F2442">
        <w:rPr>
          <w:sz w:val="20"/>
          <w:szCs w:val="20"/>
        </w:rPr>
        <w:t xml:space="preserve"> they are ca</w:t>
      </w:r>
      <w:r w:rsidR="003F0383">
        <w:rPr>
          <w:sz w:val="20"/>
          <w:szCs w:val="20"/>
        </w:rPr>
        <w:t>refully reviewed</w:t>
      </w:r>
      <w:r w:rsidR="00E70411">
        <w:rPr>
          <w:sz w:val="20"/>
          <w:szCs w:val="20"/>
        </w:rPr>
        <w:t>,</w:t>
      </w:r>
      <w:r w:rsidR="003F0383">
        <w:rPr>
          <w:sz w:val="20"/>
          <w:szCs w:val="20"/>
        </w:rPr>
        <w:t xml:space="preserve"> and </w:t>
      </w:r>
      <w:r w:rsidR="00E70411">
        <w:rPr>
          <w:sz w:val="20"/>
          <w:szCs w:val="20"/>
        </w:rPr>
        <w:t xml:space="preserve">any </w:t>
      </w:r>
      <w:r w:rsidR="00527A5E">
        <w:rPr>
          <w:sz w:val="20"/>
          <w:szCs w:val="20"/>
        </w:rPr>
        <w:t>records considered erroneous and implausible are removed</w:t>
      </w:r>
      <w:r w:rsidR="00E70411">
        <w:rPr>
          <w:sz w:val="20"/>
          <w:szCs w:val="20"/>
        </w:rPr>
        <w:t>.</w:t>
      </w:r>
      <w:r w:rsidR="007F2442">
        <w:rPr>
          <w:sz w:val="20"/>
          <w:szCs w:val="20"/>
        </w:rPr>
        <w:t xml:space="preserve"> </w:t>
      </w:r>
      <w:r w:rsidR="00D31261">
        <w:rPr>
          <w:sz w:val="20"/>
          <w:szCs w:val="20"/>
        </w:rPr>
        <w:t>T</w:t>
      </w:r>
      <w:r w:rsidR="00D31261" w:rsidRPr="00D31261">
        <w:rPr>
          <w:sz w:val="20"/>
          <w:szCs w:val="20"/>
        </w:rPr>
        <w:t xml:space="preserve">he 3-year average standardised CPUE is used as </w:t>
      </w:r>
      <w:r w:rsidRPr="00620500">
        <w:rPr>
          <w:sz w:val="20"/>
          <w:szCs w:val="20"/>
        </w:rPr>
        <w:t xml:space="preserve">the key performance indicator for the </w:t>
      </w:r>
      <w:r w:rsidRPr="00690567">
        <w:rPr>
          <w:color w:val="000000" w:themeColor="text1"/>
          <w:sz w:val="20"/>
          <w:szCs w:val="20"/>
        </w:rPr>
        <w:t xml:space="preserve">harvest strategy. </w:t>
      </w:r>
    </w:p>
    <w:p w14:paraId="04D053B7" w14:textId="77777777" w:rsidR="00D31261" w:rsidRDefault="00D31261">
      <w:pPr>
        <w:spacing w:after="200" w:line="276" w:lineRule="auto"/>
        <w:rPr>
          <w:b/>
          <w:color w:val="000000" w:themeColor="text1"/>
          <w:sz w:val="20"/>
          <w:szCs w:val="20"/>
        </w:rPr>
      </w:pPr>
      <w:r>
        <w:rPr>
          <w:b/>
          <w:color w:val="000000" w:themeColor="text1"/>
          <w:sz w:val="20"/>
          <w:szCs w:val="20"/>
        </w:rPr>
        <w:br w:type="page"/>
      </w:r>
    </w:p>
    <w:p w14:paraId="2E5636A5" w14:textId="4CDAE6AD" w:rsidR="0092094C" w:rsidRPr="00D31261" w:rsidRDefault="00162544" w:rsidP="00620500">
      <w:pPr>
        <w:rPr>
          <w:b/>
          <w:color w:val="000000" w:themeColor="text1"/>
          <w:sz w:val="20"/>
          <w:szCs w:val="20"/>
        </w:rPr>
      </w:pPr>
      <w:r w:rsidRPr="00D31261">
        <w:rPr>
          <w:b/>
          <w:color w:val="000000" w:themeColor="text1"/>
          <w:sz w:val="20"/>
          <w:szCs w:val="20"/>
        </w:rPr>
        <w:lastRenderedPageBreak/>
        <w:t>Percentage changes in catch and effort</w:t>
      </w:r>
    </w:p>
    <w:p w14:paraId="06BB6AC0" w14:textId="77D55F44" w:rsidR="00AC5C5A" w:rsidRPr="00690567" w:rsidRDefault="000451B7" w:rsidP="00620500">
      <w:pPr>
        <w:rPr>
          <w:color w:val="000000" w:themeColor="text1"/>
          <w:sz w:val="20"/>
          <w:szCs w:val="20"/>
        </w:rPr>
      </w:pPr>
      <w:r w:rsidRPr="00690567">
        <w:rPr>
          <w:color w:val="000000" w:themeColor="text1"/>
          <w:sz w:val="20"/>
          <w:szCs w:val="20"/>
        </w:rPr>
        <w:t xml:space="preserve">Abrupt </w:t>
      </w:r>
      <w:r w:rsidR="00E170BB" w:rsidRPr="00690567">
        <w:rPr>
          <w:color w:val="000000" w:themeColor="text1"/>
          <w:sz w:val="20"/>
          <w:szCs w:val="20"/>
        </w:rPr>
        <w:t xml:space="preserve">changes </w:t>
      </w:r>
      <w:r w:rsidR="00225FD3" w:rsidRPr="00690567">
        <w:rPr>
          <w:color w:val="000000" w:themeColor="text1"/>
          <w:sz w:val="20"/>
          <w:szCs w:val="20"/>
        </w:rPr>
        <w:t>in c</w:t>
      </w:r>
      <w:r w:rsidR="00E170BB" w:rsidRPr="00690567">
        <w:rPr>
          <w:color w:val="000000" w:themeColor="text1"/>
          <w:sz w:val="20"/>
          <w:szCs w:val="20"/>
        </w:rPr>
        <w:t>atch and</w:t>
      </w:r>
      <w:r w:rsidR="00E65443" w:rsidRPr="00690567">
        <w:rPr>
          <w:color w:val="000000" w:themeColor="text1"/>
          <w:sz w:val="20"/>
          <w:szCs w:val="20"/>
        </w:rPr>
        <w:t>/or</w:t>
      </w:r>
      <w:r w:rsidR="00E170BB" w:rsidRPr="00690567">
        <w:rPr>
          <w:color w:val="000000" w:themeColor="text1"/>
          <w:sz w:val="20"/>
          <w:szCs w:val="20"/>
        </w:rPr>
        <w:t xml:space="preserve"> effort are also </w:t>
      </w:r>
      <w:r w:rsidR="00225FD3" w:rsidRPr="00690567">
        <w:rPr>
          <w:color w:val="000000" w:themeColor="text1"/>
          <w:sz w:val="20"/>
          <w:szCs w:val="20"/>
        </w:rPr>
        <w:t>flagged by the harvest strategy</w:t>
      </w:r>
      <w:r w:rsidR="001239A8" w:rsidRPr="00690567">
        <w:rPr>
          <w:color w:val="000000" w:themeColor="text1"/>
          <w:sz w:val="20"/>
          <w:szCs w:val="20"/>
        </w:rPr>
        <w:t xml:space="preserve">, whereby a 50% change in effort and/or catch from one year to the next </w:t>
      </w:r>
      <w:r w:rsidR="003A22BD" w:rsidRPr="00690567">
        <w:rPr>
          <w:color w:val="000000" w:themeColor="text1"/>
          <w:sz w:val="20"/>
          <w:szCs w:val="20"/>
        </w:rPr>
        <w:t xml:space="preserve">would </w:t>
      </w:r>
      <w:r w:rsidR="003D2036" w:rsidRPr="00690567">
        <w:rPr>
          <w:color w:val="000000" w:themeColor="text1"/>
          <w:sz w:val="20"/>
          <w:szCs w:val="20"/>
        </w:rPr>
        <w:t>require</w:t>
      </w:r>
      <w:r w:rsidR="00CD200A">
        <w:rPr>
          <w:color w:val="000000" w:themeColor="text1"/>
          <w:sz w:val="20"/>
          <w:szCs w:val="20"/>
        </w:rPr>
        <w:t xml:space="preserve"> </w:t>
      </w:r>
      <w:r w:rsidR="00A240D4">
        <w:rPr>
          <w:color w:val="000000" w:themeColor="text1"/>
          <w:sz w:val="20"/>
          <w:szCs w:val="20"/>
        </w:rPr>
        <w:t>discussion</w:t>
      </w:r>
      <w:r w:rsidR="003A22BD" w:rsidRPr="00690567">
        <w:rPr>
          <w:color w:val="000000" w:themeColor="text1"/>
          <w:sz w:val="20"/>
          <w:szCs w:val="20"/>
        </w:rPr>
        <w:t xml:space="preserve"> a</w:t>
      </w:r>
      <w:r w:rsidR="00CD200A">
        <w:rPr>
          <w:color w:val="000000" w:themeColor="text1"/>
          <w:sz w:val="20"/>
          <w:szCs w:val="20"/>
        </w:rPr>
        <w:t>nd</w:t>
      </w:r>
      <w:r w:rsidR="003A22BD" w:rsidRPr="00690567">
        <w:rPr>
          <w:color w:val="000000" w:themeColor="text1"/>
          <w:sz w:val="20"/>
          <w:szCs w:val="20"/>
        </w:rPr>
        <w:t xml:space="preserve"> review with industry</w:t>
      </w:r>
      <w:r w:rsidR="00E65443" w:rsidRPr="00690567">
        <w:rPr>
          <w:color w:val="000000" w:themeColor="text1"/>
          <w:sz w:val="20"/>
          <w:szCs w:val="20"/>
        </w:rPr>
        <w:t xml:space="preserve"> as the first </w:t>
      </w:r>
      <w:r w:rsidR="00690AD0" w:rsidRPr="00690567">
        <w:rPr>
          <w:color w:val="000000" w:themeColor="text1"/>
          <w:sz w:val="20"/>
          <w:szCs w:val="20"/>
        </w:rPr>
        <w:t xml:space="preserve">management </w:t>
      </w:r>
      <w:r w:rsidR="00E65443" w:rsidRPr="00690567">
        <w:rPr>
          <w:color w:val="000000" w:themeColor="text1"/>
          <w:sz w:val="20"/>
          <w:szCs w:val="20"/>
        </w:rPr>
        <w:t xml:space="preserve">response. </w:t>
      </w:r>
      <w:r w:rsidR="00225FD3" w:rsidRPr="00690567">
        <w:rPr>
          <w:color w:val="000000" w:themeColor="text1"/>
          <w:sz w:val="20"/>
          <w:szCs w:val="20"/>
        </w:rPr>
        <w:t xml:space="preserve"> </w:t>
      </w:r>
    </w:p>
    <w:p w14:paraId="785152A9" w14:textId="77777777" w:rsidR="00D31261" w:rsidRDefault="00D31261" w:rsidP="00620500">
      <w:pPr>
        <w:rPr>
          <w:b/>
          <w:color w:val="000000" w:themeColor="text1"/>
          <w:sz w:val="20"/>
          <w:szCs w:val="20"/>
        </w:rPr>
      </w:pPr>
    </w:p>
    <w:p w14:paraId="28821DE6" w14:textId="12985068" w:rsidR="00B80573" w:rsidRPr="00D31261" w:rsidRDefault="00B80573" w:rsidP="00620500">
      <w:pPr>
        <w:rPr>
          <w:b/>
          <w:color w:val="000000" w:themeColor="text1"/>
          <w:sz w:val="20"/>
          <w:szCs w:val="20"/>
        </w:rPr>
      </w:pPr>
      <w:r w:rsidRPr="00D31261">
        <w:rPr>
          <w:b/>
          <w:color w:val="000000" w:themeColor="text1"/>
          <w:sz w:val="20"/>
          <w:szCs w:val="20"/>
        </w:rPr>
        <w:t>Harvest strategy reference benchmarks</w:t>
      </w:r>
    </w:p>
    <w:p w14:paraId="10737B9E" w14:textId="4B58CB75" w:rsidR="00620500" w:rsidRPr="00690567" w:rsidRDefault="00620500" w:rsidP="00620500">
      <w:pPr>
        <w:rPr>
          <w:color w:val="000000" w:themeColor="text1"/>
          <w:sz w:val="20"/>
          <w:szCs w:val="20"/>
        </w:rPr>
      </w:pPr>
      <w:r w:rsidRPr="00690567">
        <w:rPr>
          <w:color w:val="000000" w:themeColor="text1"/>
          <w:sz w:val="20"/>
          <w:szCs w:val="20"/>
        </w:rPr>
        <w:t xml:space="preserve">The </w:t>
      </w:r>
      <w:r w:rsidR="005F30BD" w:rsidRPr="00690567">
        <w:rPr>
          <w:color w:val="000000" w:themeColor="text1"/>
          <w:sz w:val="20"/>
          <w:szCs w:val="20"/>
        </w:rPr>
        <w:t xml:space="preserve">2017 </w:t>
      </w:r>
      <w:r w:rsidRPr="00690567">
        <w:rPr>
          <w:color w:val="000000" w:themeColor="text1"/>
          <w:sz w:val="20"/>
          <w:szCs w:val="20"/>
        </w:rPr>
        <w:t>harvest strategy has specified benchmarks</w:t>
      </w:r>
      <w:r w:rsidR="00972676">
        <w:rPr>
          <w:color w:val="000000" w:themeColor="text1"/>
          <w:sz w:val="20"/>
          <w:szCs w:val="20"/>
        </w:rPr>
        <w:t xml:space="preserve"> (reference points)</w:t>
      </w:r>
      <w:r w:rsidRPr="00690567">
        <w:rPr>
          <w:color w:val="000000" w:themeColor="text1"/>
          <w:sz w:val="20"/>
          <w:szCs w:val="20"/>
        </w:rPr>
        <w:t xml:space="preserve"> for CPUE that are designed to indicate acceptable, declining and poor biomass. These benchmarks are based on a reference period from 2004/05 – 2014/15. During this period catches were relatively stable compared with the overall catch history. Given the apparent stability of the recent catches, the focus of the harvest strategy is to </w:t>
      </w:r>
      <w:r w:rsidR="001D2976" w:rsidRPr="00690567">
        <w:rPr>
          <w:color w:val="000000" w:themeColor="text1"/>
          <w:sz w:val="20"/>
          <w:szCs w:val="20"/>
        </w:rPr>
        <w:t xml:space="preserve">provide management advice to </w:t>
      </w:r>
      <w:r w:rsidRPr="00690567">
        <w:rPr>
          <w:color w:val="000000" w:themeColor="text1"/>
          <w:sz w:val="20"/>
          <w:szCs w:val="20"/>
        </w:rPr>
        <w:t>safeguard the existing biomass from unsustainable depletion rather than to rebuild it.</w:t>
      </w:r>
    </w:p>
    <w:p w14:paraId="395A0FA6" w14:textId="77777777" w:rsidR="00620500" w:rsidRPr="00690567" w:rsidRDefault="00620500" w:rsidP="00620500">
      <w:pPr>
        <w:rPr>
          <w:color w:val="000000" w:themeColor="text1"/>
          <w:sz w:val="20"/>
          <w:szCs w:val="20"/>
        </w:rPr>
      </w:pPr>
      <w:r w:rsidRPr="00690567">
        <w:rPr>
          <w:color w:val="000000" w:themeColor="text1"/>
          <w:sz w:val="20"/>
          <w:szCs w:val="20"/>
        </w:rPr>
        <w:t>The harvest strategy benchmarks for the 3-year averaged standardised CPUE are:</w:t>
      </w:r>
    </w:p>
    <w:p w14:paraId="4F17366F" w14:textId="03F16A6C" w:rsidR="00620500" w:rsidRPr="00690567" w:rsidRDefault="003F68CC" w:rsidP="009E62DC">
      <w:pPr>
        <w:pStyle w:val="ListParagraph"/>
        <w:numPr>
          <w:ilvl w:val="0"/>
          <w:numId w:val="4"/>
        </w:numPr>
        <w:rPr>
          <w:color w:val="000000" w:themeColor="text1"/>
          <w:sz w:val="20"/>
          <w:szCs w:val="20"/>
        </w:rPr>
      </w:pPr>
      <w:r w:rsidRPr="003745F8">
        <w:rPr>
          <w:i/>
          <w:color w:val="000000" w:themeColor="text1"/>
          <w:sz w:val="20"/>
          <w:szCs w:val="20"/>
        </w:rPr>
        <w:t>Target reference point</w:t>
      </w:r>
      <w:r w:rsidR="00E30E35">
        <w:rPr>
          <w:color w:val="000000" w:themeColor="text1"/>
          <w:sz w:val="20"/>
          <w:szCs w:val="20"/>
        </w:rPr>
        <w:t xml:space="preserve">: </w:t>
      </w:r>
      <w:r w:rsidR="00620500" w:rsidRPr="00690567">
        <w:rPr>
          <w:color w:val="000000" w:themeColor="text1"/>
          <w:sz w:val="20"/>
          <w:szCs w:val="20"/>
        </w:rPr>
        <w:t xml:space="preserve">Average of standardised CPUE for the reference period (biomass </w:t>
      </w:r>
      <w:r>
        <w:rPr>
          <w:color w:val="000000" w:themeColor="text1"/>
          <w:sz w:val="20"/>
          <w:szCs w:val="20"/>
        </w:rPr>
        <w:t>is at target level</w:t>
      </w:r>
      <w:r w:rsidR="00620500" w:rsidRPr="00690567">
        <w:rPr>
          <w:color w:val="000000" w:themeColor="text1"/>
          <w:sz w:val="20"/>
          <w:szCs w:val="20"/>
        </w:rPr>
        <w:t>)</w:t>
      </w:r>
    </w:p>
    <w:p w14:paraId="48902614" w14:textId="7BD2DD8E" w:rsidR="00620500" w:rsidRPr="00690567" w:rsidRDefault="00620500" w:rsidP="009E62DC">
      <w:pPr>
        <w:pStyle w:val="ListParagraph"/>
        <w:numPr>
          <w:ilvl w:val="0"/>
          <w:numId w:val="4"/>
        </w:numPr>
        <w:rPr>
          <w:color w:val="000000" w:themeColor="text1"/>
          <w:sz w:val="20"/>
          <w:szCs w:val="20"/>
        </w:rPr>
      </w:pPr>
      <w:r w:rsidRPr="00690567">
        <w:rPr>
          <w:i/>
          <w:color w:val="000000" w:themeColor="text1"/>
          <w:sz w:val="20"/>
          <w:szCs w:val="20"/>
        </w:rPr>
        <w:t>Trigger reference point</w:t>
      </w:r>
      <w:r w:rsidRPr="00690567">
        <w:rPr>
          <w:color w:val="000000" w:themeColor="text1"/>
          <w:sz w:val="20"/>
          <w:szCs w:val="20"/>
        </w:rPr>
        <w:t>: 0.75</w:t>
      </w:r>
      <w:r w:rsidR="00645AAD">
        <w:rPr>
          <w:color w:val="000000" w:themeColor="text1"/>
          <w:sz w:val="20"/>
          <w:szCs w:val="20"/>
        </w:rPr>
        <w:t xml:space="preserve"> x </w:t>
      </w:r>
      <w:r w:rsidRPr="00690567">
        <w:rPr>
          <w:color w:val="000000" w:themeColor="text1"/>
          <w:sz w:val="20"/>
          <w:szCs w:val="20"/>
        </w:rPr>
        <w:t>average of standardised CPUE for the reference period (</w:t>
      </w:r>
      <w:r w:rsidR="00E61FFD">
        <w:rPr>
          <w:color w:val="000000" w:themeColor="text1"/>
          <w:sz w:val="20"/>
          <w:szCs w:val="20"/>
        </w:rPr>
        <w:t xml:space="preserve">below which </w:t>
      </w:r>
      <w:r w:rsidRPr="00690567">
        <w:rPr>
          <w:color w:val="000000" w:themeColor="text1"/>
          <w:sz w:val="20"/>
          <w:szCs w:val="20"/>
        </w:rPr>
        <w:t xml:space="preserve">biomass </w:t>
      </w:r>
      <w:r w:rsidR="003927B1">
        <w:rPr>
          <w:color w:val="000000" w:themeColor="text1"/>
          <w:sz w:val="20"/>
          <w:szCs w:val="20"/>
        </w:rPr>
        <w:t xml:space="preserve">is </w:t>
      </w:r>
      <w:r w:rsidR="002429EA">
        <w:rPr>
          <w:color w:val="000000" w:themeColor="text1"/>
          <w:sz w:val="20"/>
          <w:szCs w:val="20"/>
        </w:rPr>
        <w:t xml:space="preserve">considered </w:t>
      </w:r>
      <w:r w:rsidRPr="00690567">
        <w:rPr>
          <w:color w:val="000000" w:themeColor="text1"/>
          <w:sz w:val="20"/>
          <w:szCs w:val="20"/>
        </w:rPr>
        <w:t xml:space="preserve">declining) </w:t>
      </w:r>
    </w:p>
    <w:p w14:paraId="5D119A5E" w14:textId="6F53B67C" w:rsidR="00620500" w:rsidRPr="00690567" w:rsidRDefault="00620500" w:rsidP="009E62DC">
      <w:pPr>
        <w:pStyle w:val="ListParagraph"/>
        <w:numPr>
          <w:ilvl w:val="0"/>
          <w:numId w:val="4"/>
        </w:numPr>
        <w:rPr>
          <w:color w:val="000000" w:themeColor="text1"/>
          <w:sz w:val="20"/>
          <w:szCs w:val="20"/>
        </w:rPr>
      </w:pPr>
      <w:r w:rsidRPr="00690567">
        <w:rPr>
          <w:i/>
          <w:color w:val="000000" w:themeColor="text1"/>
          <w:sz w:val="20"/>
          <w:szCs w:val="20"/>
        </w:rPr>
        <w:t>Limit reference point</w:t>
      </w:r>
      <w:r w:rsidRPr="00690567">
        <w:rPr>
          <w:color w:val="000000" w:themeColor="text1"/>
          <w:sz w:val="20"/>
          <w:szCs w:val="20"/>
        </w:rPr>
        <w:t>: 0.50</w:t>
      </w:r>
      <w:r w:rsidR="00645AAD">
        <w:rPr>
          <w:color w:val="000000" w:themeColor="text1"/>
          <w:sz w:val="20"/>
          <w:szCs w:val="20"/>
        </w:rPr>
        <w:t xml:space="preserve"> x </w:t>
      </w:r>
      <w:r w:rsidRPr="00690567">
        <w:rPr>
          <w:color w:val="000000" w:themeColor="text1"/>
          <w:sz w:val="20"/>
          <w:szCs w:val="20"/>
        </w:rPr>
        <w:t>average of standardised CPUE for the reference period (</w:t>
      </w:r>
      <w:r w:rsidR="003745F8">
        <w:rPr>
          <w:color w:val="000000" w:themeColor="text1"/>
          <w:sz w:val="20"/>
          <w:szCs w:val="20"/>
        </w:rPr>
        <w:t>below w</w:t>
      </w:r>
      <w:r w:rsidR="003927B1">
        <w:rPr>
          <w:color w:val="000000" w:themeColor="text1"/>
          <w:sz w:val="20"/>
          <w:szCs w:val="20"/>
        </w:rPr>
        <w:t>h</w:t>
      </w:r>
      <w:r w:rsidR="003745F8">
        <w:rPr>
          <w:color w:val="000000" w:themeColor="text1"/>
          <w:sz w:val="20"/>
          <w:szCs w:val="20"/>
        </w:rPr>
        <w:t xml:space="preserve">ich </w:t>
      </w:r>
      <w:r w:rsidRPr="00690567">
        <w:rPr>
          <w:color w:val="000000" w:themeColor="text1"/>
          <w:sz w:val="20"/>
          <w:szCs w:val="20"/>
        </w:rPr>
        <w:t xml:space="preserve">biomass </w:t>
      </w:r>
      <w:r w:rsidR="003927B1">
        <w:rPr>
          <w:color w:val="000000" w:themeColor="text1"/>
          <w:sz w:val="20"/>
          <w:szCs w:val="20"/>
        </w:rPr>
        <w:t xml:space="preserve">is considered </w:t>
      </w:r>
      <w:r w:rsidRPr="00690567">
        <w:rPr>
          <w:color w:val="000000" w:themeColor="text1"/>
          <w:sz w:val="20"/>
          <w:szCs w:val="20"/>
        </w:rPr>
        <w:t>poor)</w:t>
      </w:r>
    </w:p>
    <w:p w14:paraId="6F1838B4" w14:textId="0EBA2500" w:rsidR="002F4CC2" w:rsidRPr="00690567" w:rsidRDefault="00620500" w:rsidP="00620500">
      <w:pPr>
        <w:rPr>
          <w:color w:val="000000" w:themeColor="text1"/>
          <w:sz w:val="20"/>
          <w:szCs w:val="20"/>
        </w:rPr>
      </w:pPr>
      <w:r w:rsidRPr="00690567">
        <w:rPr>
          <w:color w:val="000000" w:themeColor="text1"/>
          <w:sz w:val="20"/>
          <w:szCs w:val="20"/>
        </w:rPr>
        <w:t>In the context of the harvest strategy</w:t>
      </w:r>
      <w:r w:rsidR="00CD200A">
        <w:rPr>
          <w:color w:val="000000" w:themeColor="text1"/>
          <w:sz w:val="20"/>
          <w:szCs w:val="20"/>
        </w:rPr>
        <w:t>,</w:t>
      </w:r>
      <w:r w:rsidRPr="00690567">
        <w:rPr>
          <w:color w:val="000000" w:themeColor="text1"/>
          <w:sz w:val="20"/>
          <w:szCs w:val="20"/>
        </w:rPr>
        <w:t xml:space="preserve"> wh</w:t>
      </w:r>
      <w:r w:rsidR="00327DB6" w:rsidRPr="00690567">
        <w:rPr>
          <w:color w:val="000000" w:themeColor="text1"/>
          <w:sz w:val="20"/>
          <w:szCs w:val="20"/>
        </w:rPr>
        <w:t xml:space="preserve">en </w:t>
      </w:r>
      <w:r w:rsidRPr="00690567">
        <w:rPr>
          <w:color w:val="000000" w:themeColor="text1"/>
          <w:sz w:val="20"/>
          <w:szCs w:val="20"/>
        </w:rPr>
        <w:t xml:space="preserve">the 3-year averaged standardised CPUE remains above the trigger reference point, management action to protect biomass is unlikely </w:t>
      </w:r>
      <w:r w:rsidR="00D31261">
        <w:rPr>
          <w:color w:val="000000" w:themeColor="text1"/>
          <w:sz w:val="20"/>
          <w:szCs w:val="20"/>
        </w:rPr>
        <w:t xml:space="preserve">to be </w:t>
      </w:r>
      <w:r w:rsidRPr="00690567">
        <w:rPr>
          <w:color w:val="000000" w:themeColor="text1"/>
          <w:sz w:val="20"/>
          <w:szCs w:val="20"/>
        </w:rPr>
        <w:t xml:space="preserve">required. However, there are currently no management decision or control rules attached to the CPUE reference points. These require further development in consultation with the industry. </w:t>
      </w:r>
      <w:r w:rsidR="00912525">
        <w:rPr>
          <w:color w:val="000000" w:themeColor="text1"/>
          <w:sz w:val="20"/>
          <w:szCs w:val="20"/>
        </w:rPr>
        <w:t>Currently,</w:t>
      </w:r>
      <w:r w:rsidR="00E424C2">
        <w:rPr>
          <w:color w:val="000000" w:themeColor="text1"/>
          <w:sz w:val="20"/>
          <w:szCs w:val="20"/>
        </w:rPr>
        <w:t xml:space="preserve"> if the </w:t>
      </w:r>
      <w:r w:rsidR="00C222AD" w:rsidRPr="00C222AD">
        <w:rPr>
          <w:color w:val="000000" w:themeColor="text1"/>
          <w:sz w:val="20"/>
          <w:szCs w:val="20"/>
        </w:rPr>
        <w:t>3-year averaged standardised CPUE</w:t>
      </w:r>
      <w:r w:rsidR="00C222AD">
        <w:rPr>
          <w:color w:val="000000" w:themeColor="text1"/>
          <w:sz w:val="20"/>
          <w:szCs w:val="20"/>
        </w:rPr>
        <w:t xml:space="preserve"> dropped below the </w:t>
      </w:r>
      <w:r w:rsidR="00374339">
        <w:rPr>
          <w:color w:val="000000" w:themeColor="text1"/>
          <w:sz w:val="20"/>
          <w:szCs w:val="20"/>
        </w:rPr>
        <w:t>t</w:t>
      </w:r>
      <w:r w:rsidR="00C222AD">
        <w:rPr>
          <w:color w:val="000000" w:themeColor="text1"/>
          <w:sz w:val="20"/>
          <w:szCs w:val="20"/>
        </w:rPr>
        <w:t xml:space="preserve">rigger </w:t>
      </w:r>
      <w:r w:rsidR="00374339">
        <w:rPr>
          <w:color w:val="000000" w:themeColor="text1"/>
          <w:sz w:val="20"/>
          <w:szCs w:val="20"/>
        </w:rPr>
        <w:t>r</w:t>
      </w:r>
      <w:r w:rsidR="00C222AD">
        <w:rPr>
          <w:color w:val="000000" w:themeColor="text1"/>
          <w:sz w:val="20"/>
          <w:szCs w:val="20"/>
        </w:rPr>
        <w:t xml:space="preserve">eference </w:t>
      </w:r>
      <w:r w:rsidR="00374339">
        <w:rPr>
          <w:color w:val="000000" w:themeColor="text1"/>
          <w:sz w:val="20"/>
          <w:szCs w:val="20"/>
        </w:rPr>
        <w:t xml:space="preserve">point, this would initiate a formal review </w:t>
      </w:r>
      <w:r w:rsidR="00C75FBD">
        <w:rPr>
          <w:color w:val="000000" w:themeColor="text1"/>
          <w:sz w:val="20"/>
          <w:szCs w:val="20"/>
        </w:rPr>
        <w:t>with industry</w:t>
      </w:r>
      <w:r w:rsidR="00E93A32">
        <w:rPr>
          <w:color w:val="000000" w:themeColor="text1"/>
          <w:sz w:val="20"/>
          <w:szCs w:val="20"/>
        </w:rPr>
        <w:t xml:space="preserve"> to obtain a better understa</w:t>
      </w:r>
      <w:r w:rsidR="00D31261">
        <w:rPr>
          <w:color w:val="000000" w:themeColor="text1"/>
          <w:sz w:val="20"/>
          <w:szCs w:val="20"/>
        </w:rPr>
        <w:t>nd</w:t>
      </w:r>
      <w:r w:rsidR="00E93A32">
        <w:rPr>
          <w:color w:val="000000" w:themeColor="text1"/>
          <w:sz w:val="20"/>
          <w:szCs w:val="20"/>
        </w:rPr>
        <w:t xml:space="preserve">ing of the situation and </w:t>
      </w:r>
      <w:r w:rsidR="00912525">
        <w:rPr>
          <w:color w:val="000000" w:themeColor="text1"/>
          <w:sz w:val="20"/>
          <w:szCs w:val="20"/>
        </w:rPr>
        <w:t xml:space="preserve">the </w:t>
      </w:r>
      <w:r w:rsidR="00E93A32">
        <w:rPr>
          <w:color w:val="000000" w:themeColor="text1"/>
          <w:sz w:val="20"/>
          <w:szCs w:val="20"/>
        </w:rPr>
        <w:t xml:space="preserve">need for management changes. </w:t>
      </w:r>
      <w:r w:rsidRPr="00690567">
        <w:rPr>
          <w:color w:val="000000" w:themeColor="text1"/>
          <w:sz w:val="20"/>
          <w:szCs w:val="20"/>
        </w:rPr>
        <w:t xml:space="preserve">Because the fishery is transitioning to the new license arrangements and operators, it is recognised that the initial harvest strategy may be adaptive when warranted, and may evolve as the fishery </w:t>
      </w:r>
      <w:r w:rsidR="00DA07CA" w:rsidRPr="00690567">
        <w:rPr>
          <w:color w:val="000000" w:themeColor="text1"/>
          <w:sz w:val="20"/>
          <w:szCs w:val="20"/>
        </w:rPr>
        <w:t>settles</w:t>
      </w:r>
      <w:r w:rsidRPr="00690567">
        <w:rPr>
          <w:color w:val="000000" w:themeColor="text1"/>
          <w:sz w:val="20"/>
          <w:szCs w:val="20"/>
        </w:rPr>
        <w:t>,</w:t>
      </w:r>
      <w:r w:rsidR="00CF689C">
        <w:rPr>
          <w:color w:val="000000" w:themeColor="text1"/>
          <w:sz w:val="20"/>
          <w:szCs w:val="20"/>
        </w:rPr>
        <w:t xml:space="preserve"> and</w:t>
      </w:r>
      <w:r w:rsidRPr="00690567">
        <w:rPr>
          <w:color w:val="000000" w:themeColor="text1"/>
          <w:sz w:val="20"/>
          <w:szCs w:val="20"/>
        </w:rPr>
        <w:t xml:space="preserve"> more data and potential indicators of stock/fishery performance become available.</w:t>
      </w:r>
      <w:r w:rsidR="0038318F" w:rsidRPr="00690567">
        <w:rPr>
          <w:color w:val="000000" w:themeColor="text1"/>
          <w:sz w:val="20"/>
          <w:szCs w:val="20"/>
        </w:rPr>
        <w:t xml:space="preserve"> </w:t>
      </w:r>
    </w:p>
    <w:p w14:paraId="075BDE78" w14:textId="5D4299B9" w:rsidR="00620500" w:rsidRPr="00690567" w:rsidRDefault="0038318F" w:rsidP="00620500">
      <w:pPr>
        <w:rPr>
          <w:color w:val="000000" w:themeColor="text1"/>
          <w:sz w:val="20"/>
          <w:szCs w:val="20"/>
        </w:rPr>
      </w:pPr>
      <w:r w:rsidRPr="00690567">
        <w:rPr>
          <w:color w:val="000000" w:themeColor="text1"/>
          <w:sz w:val="20"/>
          <w:szCs w:val="20"/>
        </w:rPr>
        <w:t xml:space="preserve">Additional reporting fields were introduced </w:t>
      </w:r>
      <w:r w:rsidR="0010709C" w:rsidRPr="00690567">
        <w:rPr>
          <w:color w:val="000000" w:themeColor="text1"/>
          <w:sz w:val="20"/>
          <w:szCs w:val="20"/>
        </w:rPr>
        <w:t xml:space="preserve">to </w:t>
      </w:r>
      <w:r w:rsidR="00F47FD9" w:rsidRPr="00690567">
        <w:rPr>
          <w:color w:val="000000" w:themeColor="text1"/>
          <w:sz w:val="20"/>
          <w:szCs w:val="20"/>
        </w:rPr>
        <w:t>the catch and effort reporting forms</w:t>
      </w:r>
      <w:r w:rsidR="00845A8B" w:rsidRPr="00690567">
        <w:rPr>
          <w:color w:val="000000" w:themeColor="text1"/>
          <w:sz w:val="20"/>
          <w:szCs w:val="20"/>
        </w:rPr>
        <w:t xml:space="preserve"> from 2017</w:t>
      </w:r>
      <w:r w:rsidR="006E4800" w:rsidRPr="00690567">
        <w:rPr>
          <w:color w:val="000000" w:themeColor="text1"/>
          <w:sz w:val="20"/>
          <w:szCs w:val="20"/>
        </w:rPr>
        <w:t>, including</w:t>
      </w:r>
      <w:r w:rsidR="0084141D" w:rsidRPr="00690567">
        <w:rPr>
          <w:color w:val="000000" w:themeColor="text1"/>
          <w:sz w:val="20"/>
          <w:szCs w:val="20"/>
        </w:rPr>
        <w:t>;</w:t>
      </w:r>
      <w:r w:rsidR="006E4800" w:rsidRPr="00690567">
        <w:rPr>
          <w:color w:val="000000" w:themeColor="text1"/>
          <w:sz w:val="20"/>
          <w:szCs w:val="20"/>
        </w:rPr>
        <w:t xml:space="preserve"> numbers of lines and </w:t>
      </w:r>
      <w:r w:rsidR="0080238F" w:rsidRPr="00690567">
        <w:rPr>
          <w:color w:val="000000" w:themeColor="text1"/>
          <w:sz w:val="20"/>
          <w:szCs w:val="20"/>
        </w:rPr>
        <w:t xml:space="preserve">hooks </w:t>
      </w:r>
      <w:r w:rsidR="006E4800" w:rsidRPr="00690567">
        <w:rPr>
          <w:color w:val="000000" w:themeColor="text1"/>
          <w:sz w:val="20"/>
          <w:szCs w:val="20"/>
        </w:rPr>
        <w:t>used</w:t>
      </w:r>
      <w:r w:rsidR="0080238F" w:rsidRPr="00690567">
        <w:rPr>
          <w:color w:val="000000" w:themeColor="text1"/>
          <w:sz w:val="20"/>
          <w:szCs w:val="20"/>
        </w:rPr>
        <w:t>,</w:t>
      </w:r>
      <w:r w:rsidR="006E4800" w:rsidRPr="00690567">
        <w:rPr>
          <w:color w:val="000000" w:themeColor="text1"/>
          <w:sz w:val="20"/>
          <w:szCs w:val="20"/>
        </w:rPr>
        <w:t xml:space="preserve"> and discards. </w:t>
      </w:r>
      <w:r w:rsidR="00003C41" w:rsidRPr="00690567">
        <w:rPr>
          <w:color w:val="000000" w:themeColor="text1"/>
          <w:sz w:val="20"/>
          <w:szCs w:val="20"/>
        </w:rPr>
        <w:t>Over time, t</w:t>
      </w:r>
      <w:r w:rsidR="006E4800" w:rsidRPr="00690567">
        <w:rPr>
          <w:color w:val="000000" w:themeColor="text1"/>
          <w:sz w:val="20"/>
          <w:szCs w:val="20"/>
        </w:rPr>
        <w:t>h</w:t>
      </w:r>
      <w:r w:rsidR="009C667F">
        <w:rPr>
          <w:color w:val="000000" w:themeColor="text1"/>
          <w:sz w:val="20"/>
          <w:szCs w:val="20"/>
        </w:rPr>
        <w:t>is</w:t>
      </w:r>
      <w:r w:rsidR="006E4800" w:rsidRPr="00690567">
        <w:rPr>
          <w:color w:val="000000" w:themeColor="text1"/>
          <w:sz w:val="20"/>
          <w:szCs w:val="20"/>
        </w:rPr>
        <w:t xml:space="preserve"> new data will </w:t>
      </w:r>
      <w:r w:rsidR="00E43699" w:rsidRPr="00690567">
        <w:rPr>
          <w:color w:val="000000" w:themeColor="text1"/>
          <w:sz w:val="20"/>
          <w:szCs w:val="20"/>
        </w:rPr>
        <w:t xml:space="preserve">increase and improve the information available to assess </w:t>
      </w:r>
      <w:r w:rsidR="006E4800" w:rsidRPr="00690567">
        <w:rPr>
          <w:color w:val="000000" w:themeColor="text1"/>
          <w:sz w:val="20"/>
          <w:szCs w:val="20"/>
        </w:rPr>
        <w:t>performance of the fishery</w:t>
      </w:r>
      <w:r w:rsidR="00A61BE2">
        <w:rPr>
          <w:color w:val="000000" w:themeColor="text1"/>
          <w:sz w:val="20"/>
          <w:szCs w:val="20"/>
        </w:rPr>
        <w:t xml:space="preserve">. </w:t>
      </w:r>
      <w:bookmarkStart w:id="1" w:name="_Hlk13055649"/>
      <w:r w:rsidR="001D3F08" w:rsidRPr="00690567">
        <w:rPr>
          <w:color w:val="000000" w:themeColor="text1"/>
          <w:sz w:val="20"/>
          <w:szCs w:val="20"/>
        </w:rPr>
        <w:t xml:space="preserve">The industry should be commended for improving the reporting </w:t>
      </w:r>
      <w:r w:rsidR="00EC4037" w:rsidRPr="00690567">
        <w:rPr>
          <w:color w:val="000000" w:themeColor="text1"/>
          <w:sz w:val="20"/>
          <w:szCs w:val="20"/>
        </w:rPr>
        <w:t>of wrasse species</w:t>
      </w:r>
      <w:r w:rsidR="00AD76F1" w:rsidRPr="00690567">
        <w:rPr>
          <w:color w:val="000000" w:themeColor="text1"/>
          <w:sz w:val="20"/>
          <w:szCs w:val="20"/>
        </w:rPr>
        <w:t>. O</w:t>
      </w:r>
      <w:r w:rsidR="00EC4037" w:rsidRPr="00690567">
        <w:rPr>
          <w:color w:val="000000" w:themeColor="text1"/>
          <w:sz w:val="20"/>
          <w:szCs w:val="20"/>
        </w:rPr>
        <w:t>ver the last 5 years</w:t>
      </w:r>
      <w:r w:rsidR="00A307BC" w:rsidRPr="00690567">
        <w:rPr>
          <w:color w:val="000000" w:themeColor="text1"/>
          <w:sz w:val="20"/>
          <w:szCs w:val="20"/>
        </w:rPr>
        <w:t xml:space="preserve"> the catch of unspecified </w:t>
      </w:r>
      <w:r w:rsidR="006B202C" w:rsidRPr="00690567">
        <w:rPr>
          <w:color w:val="000000" w:themeColor="text1"/>
          <w:sz w:val="20"/>
          <w:szCs w:val="20"/>
        </w:rPr>
        <w:t xml:space="preserve">wrasse </w:t>
      </w:r>
      <w:r w:rsidR="00003C41" w:rsidRPr="00690567">
        <w:rPr>
          <w:color w:val="000000" w:themeColor="text1"/>
          <w:sz w:val="20"/>
          <w:szCs w:val="20"/>
        </w:rPr>
        <w:t xml:space="preserve">has </w:t>
      </w:r>
      <w:r w:rsidR="006B202C" w:rsidRPr="00690567">
        <w:rPr>
          <w:color w:val="000000" w:themeColor="text1"/>
          <w:sz w:val="20"/>
          <w:szCs w:val="20"/>
        </w:rPr>
        <w:t>reduc</w:t>
      </w:r>
      <w:r w:rsidR="00003C41" w:rsidRPr="00690567">
        <w:rPr>
          <w:color w:val="000000" w:themeColor="text1"/>
          <w:sz w:val="20"/>
          <w:szCs w:val="20"/>
        </w:rPr>
        <w:t>ed</w:t>
      </w:r>
      <w:r w:rsidR="006B202C" w:rsidRPr="00690567">
        <w:rPr>
          <w:color w:val="000000" w:themeColor="text1"/>
          <w:sz w:val="20"/>
          <w:szCs w:val="20"/>
        </w:rPr>
        <w:t xml:space="preserve"> </w:t>
      </w:r>
      <w:r w:rsidR="0067042B" w:rsidRPr="00690567">
        <w:rPr>
          <w:color w:val="000000" w:themeColor="text1"/>
          <w:sz w:val="20"/>
          <w:szCs w:val="20"/>
        </w:rPr>
        <w:t xml:space="preserve">from </w:t>
      </w:r>
      <w:r w:rsidR="00AD76F1" w:rsidRPr="00690567">
        <w:rPr>
          <w:color w:val="000000" w:themeColor="text1"/>
          <w:sz w:val="20"/>
          <w:szCs w:val="20"/>
        </w:rPr>
        <w:t xml:space="preserve">47% to </w:t>
      </w:r>
      <w:r w:rsidR="008232F7" w:rsidRPr="00690567">
        <w:rPr>
          <w:color w:val="000000" w:themeColor="text1"/>
          <w:sz w:val="20"/>
          <w:szCs w:val="20"/>
        </w:rPr>
        <w:t>7% of the total reported catch.</w:t>
      </w:r>
    </w:p>
    <w:bookmarkEnd w:id="1"/>
    <w:p w14:paraId="6A725EA8" w14:textId="3822ECD3" w:rsidR="00620500" w:rsidRPr="00690567" w:rsidRDefault="00620500" w:rsidP="00620500">
      <w:pPr>
        <w:rPr>
          <w:color w:val="000000" w:themeColor="text1"/>
          <w:sz w:val="20"/>
          <w:szCs w:val="20"/>
        </w:rPr>
      </w:pPr>
      <w:r w:rsidRPr="00690567">
        <w:rPr>
          <w:color w:val="000000" w:themeColor="text1"/>
          <w:sz w:val="20"/>
          <w:szCs w:val="20"/>
        </w:rPr>
        <w:t xml:space="preserve">In relation to the percentage of catch taken by hook and line, the harvest strategy document indicates that if it drops below 90% </w:t>
      </w:r>
      <w:r w:rsidR="00DC4868">
        <w:rPr>
          <w:color w:val="000000" w:themeColor="text1"/>
          <w:sz w:val="20"/>
          <w:szCs w:val="20"/>
        </w:rPr>
        <w:t xml:space="preserve">(i.e. &gt; 10% </w:t>
      </w:r>
      <w:r w:rsidR="00D9587B">
        <w:rPr>
          <w:color w:val="000000" w:themeColor="text1"/>
          <w:sz w:val="20"/>
          <w:szCs w:val="20"/>
        </w:rPr>
        <w:t xml:space="preserve">of the </w:t>
      </w:r>
      <w:r w:rsidR="00DC4868">
        <w:rPr>
          <w:color w:val="000000" w:themeColor="text1"/>
          <w:sz w:val="20"/>
          <w:szCs w:val="20"/>
        </w:rPr>
        <w:t>catch is</w:t>
      </w:r>
      <w:r w:rsidR="00D9587B">
        <w:rPr>
          <w:color w:val="000000" w:themeColor="text1"/>
          <w:sz w:val="20"/>
          <w:szCs w:val="20"/>
        </w:rPr>
        <w:t xml:space="preserve"> by</w:t>
      </w:r>
      <w:r w:rsidR="00DC4868">
        <w:rPr>
          <w:color w:val="000000" w:themeColor="text1"/>
          <w:sz w:val="20"/>
          <w:szCs w:val="20"/>
        </w:rPr>
        <w:t xml:space="preserve"> pots) </w:t>
      </w:r>
      <w:r w:rsidRPr="00690567">
        <w:rPr>
          <w:color w:val="000000" w:themeColor="text1"/>
          <w:sz w:val="20"/>
          <w:szCs w:val="20"/>
        </w:rPr>
        <w:t>management may need to consider approaches to prevent further increases in the catch proportion by lobster</w:t>
      </w:r>
      <w:r w:rsidR="00DC4868">
        <w:rPr>
          <w:color w:val="000000" w:themeColor="text1"/>
          <w:sz w:val="20"/>
          <w:szCs w:val="20"/>
        </w:rPr>
        <w:t xml:space="preserve"> </w:t>
      </w:r>
      <w:r w:rsidRPr="00690567">
        <w:rPr>
          <w:color w:val="000000" w:themeColor="text1"/>
          <w:sz w:val="20"/>
          <w:szCs w:val="20"/>
        </w:rPr>
        <w:t>pots.</w:t>
      </w:r>
    </w:p>
    <w:p w14:paraId="56536EE8" w14:textId="77777777" w:rsidR="00EE5907" w:rsidRDefault="00EE5907" w:rsidP="007A2DBB">
      <w:pPr>
        <w:pStyle w:val="Heading1"/>
      </w:pPr>
    </w:p>
    <w:p w14:paraId="74F74CF6" w14:textId="54E32587" w:rsidR="00EE5907" w:rsidRDefault="00620500" w:rsidP="007A2DBB">
      <w:pPr>
        <w:pStyle w:val="Heading1"/>
      </w:pPr>
      <w:r w:rsidRPr="00620500">
        <w:t>Summary of fishery data</w:t>
      </w:r>
    </w:p>
    <w:p w14:paraId="29239F6F" w14:textId="77777777" w:rsidR="007A2DBB" w:rsidRPr="00690567" w:rsidRDefault="007A2DBB" w:rsidP="007A2DBB">
      <w:pPr>
        <w:rPr>
          <w:color w:val="000000" w:themeColor="text1"/>
        </w:rPr>
      </w:pPr>
    </w:p>
    <w:p w14:paraId="0C2052CC" w14:textId="1C649353" w:rsidR="00690AD0" w:rsidRPr="00690567" w:rsidRDefault="00690AD0" w:rsidP="00D3528A">
      <w:pPr>
        <w:pStyle w:val="Heading2"/>
        <w:rPr>
          <w:color w:val="000000" w:themeColor="text1"/>
        </w:rPr>
      </w:pPr>
      <w:r w:rsidRPr="00690567">
        <w:rPr>
          <w:color w:val="000000" w:themeColor="text1"/>
        </w:rPr>
        <w:t>Catch</w:t>
      </w:r>
    </w:p>
    <w:p w14:paraId="61E58631" w14:textId="3C5CC86E" w:rsidR="00343A7F" w:rsidRPr="00690567" w:rsidRDefault="00620500" w:rsidP="00620500">
      <w:pPr>
        <w:rPr>
          <w:color w:val="000000" w:themeColor="text1"/>
          <w:sz w:val="20"/>
          <w:szCs w:val="20"/>
        </w:rPr>
      </w:pPr>
      <w:r w:rsidRPr="00690567">
        <w:rPr>
          <w:color w:val="000000" w:themeColor="text1"/>
          <w:sz w:val="20"/>
          <w:szCs w:val="20"/>
        </w:rPr>
        <w:t>In 2017/18, 37 tonnes of wrasse were reported as harvested by commercial fishers in Victoria, with 33.5 tonnes taken by OW licences (Fig</w:t>
      </w:r>
      <w:r w:rsidR="00CD200A">
        <w:rPr>
          <w:color w:val="000000" w:themeColor="text1"/>
          <w:sz w:val="20"/>
          <w:szCs w:val="20"/>
        </w:rPr>
        <w:t>ure</w:t>
      </w:r>
      <w:r w:rsidRPr="00690567">
        <w:rPr>
          <w:color w:val="000000" w:themeColor="text1"/>
          <w:sz w:val="20"/>
          <w:szCs w:val="20"/>
        </w:rPr>
        <w:t xml:space="preserve"> 2). </w:t>
      </w:r>
      <w:r w:rsidR="006B2CDF" w:rsidRPr="00690567">
        <w:rPr>
          <w:color w:val="000000" w:themeColor="text1"/>
          <w:sz w:val="20"/>
          <w:szCs w:val="20"/>
        </w:rPr>
        <w:t>Eight</w:t>
      </w:r>
      <w:r w:rsidR="00AC26E5" w:rsidRPr="00690567">
        <w:rPr>
          <w:color w:val="000000" w:themeColor="text1"/>
          <w:sz w:val="20"/>
          <w:szCs w:val="20"/>
        </w:rPr>
        <w:t>y</w:t>
      </w:r>
      <w:r w:rsidR="006B2CDF" w:rsidRPr="00690567">
        <w:rPr>
          <w:color w:val="000000" w:themeColor="text1"/>
          <w:sz w:val="20"/>
          <w:szCs w:val="20"/>
        </w:rPr>
        <w:t xml:space="preserve"> seven percent of the catch was reported as bluethroat wrasse (Fig</w:t>
      </w:r>
      <w:r w:rsidR="00CD200A">
        <w:rPr>
          <w:color w:val="000000" w:themeColor="text1"/>
          <w:sz w:val="20"/>
          <w:szCs w:val="20"/>
        </w:rPr>
        <w:t>ure</w:t>
      </w:r>
      <w:r w:rsidR="006B2CDF" w:rsidRPr="00690567">
        <w:rPr>
          <w:color w:val="000000" w:themeColor="text1"/>
          <w:sz w:val="20"/>
          <w:szCs w:val="20"/>
        </w:rPr>
        <w:t xml:space="preserve"> 2). </w:t>
      </w:r>
      <w:r w:rsidRPr="00690567">
        <w:rPr>
          <w:color w:val="000000" w:themeColor="text1"/>
          <w:sz w:val="20"/>
          <w:szCs w:val="20"/>
        </w:rPr>
        <w:t xml:space="preserve">The 2017/18 </w:t>
      </w:r>
      <w:r w:rsidR="00CD200A" w:rsidRPr="00690567">
        <w:rPr>
          <w:color w:val="000000" w:themeColor="text1"/>
          <w:sz w:val="20"/>
          <w:szCs w:val="20"/>
        </w:rPr>
        <w:t>State-wide</w:t>
      </w:r>
      <w:r w:rsidR="00F31E1E" w:rsidRPr="00690567">
        <w:rPr>
          <w:color w:val="000000" w:themeColor="text1"/>
          <w:sz w:val="20"/>
          <w:szCs w:val="20"/>
        </w:rPr>
        <w:t xml:space="preserve"> </w:t>
      </w:r>
      <w:r w:rsidR="003D3DC7" w:rsidRPr="00690567">
        <w:rPr>
          <w:color w:val="000000" w:themeColor="text1"/>
          <w:sz w:val="20"/>
          <w:szCs w:val="20"/>
        </w:rPr>
        <w:t xml:space="preserve">wrasse </w:t>
      </w:r>
      <w:r w:rsidRPr="00690567">
        <w:rPr>
          <w:color w:val="000000" w:themeColor="text1"/>
          <w:sz w:val="20"/>
          <w:szCs w:val="20"/>
        </w:rPr>
        <w:t>harvest</w:t>
      </w:r>
      <w:r w:rsidR="00F31E1E" w:rsidRPr="00690567">
        <w:rPr>
          <w:color w:val="000000" w:themeColor="text1"/>
          <w:sz w:val="20"/>
          <w:szCs w:val="20"/>
        </w:rPr>
        <w:t xml:space="preserve"> represented an app</w:t>
      </w:r>
      <w:r w:rsidR="00AE61C2" w:rsidRPr="00690567">
        <w:rPr>
          <w:color w:val="000000" w:themeColor="text1"/>
          <w:sz w:val="20"/>
          <w:szCs w:val="20"/>
        </w:rPr>
        <w:t>roximate 80% increase on the previous year’s catch</w:t>
      </w:r>
      <w:r w:rsidR="009E690C" w:rsidRPr="00690567">
        <w:rPr>
          <w:color w:val="000000" w:themeColor="text1"/>
          <w:sz w:val="20"/>
          <w:szCs w:val="20"/>
        </w:rPr>
        <w:t xml:space="preserve"> (Fig</w:t>
      </w:r>
      <w:r w:rsidR="00CD200A">
        <w:rPr>
          <w:color w:val="000000" w:themeColor="text1"/>
          <w:sz w:val="20"/>
          <w:szCs w:val="20"/>
        </w:rPr>
        <w:t>ure</w:t>
      </w:r>
      <w:r w:rsidR="009E690C" w:rsidRPr="00690567">
        <w:rPr>
          <w:color w:val="000000" w:themeColor="text1"/>
          <w:sz w:val="20"/>
          <w:szCs w:val="20"/>
        </w:rPr>
        <w:t xml:space="preserve"> 3</w:t>
      </w:r>
      <w:r w:rsidR="00734EAF" w:rsidRPr="00690567">
        <w:rPr>
          <w:color w:val="000000" w:themeColor="text1"/>
          <w:sz w:val="20"/>
          <w:szCs w:val="20"/>
        </w:rPr>
        <w:t>)</w:t>
      </w:r>
      <w:r w:rsidR="009E690C" w:rsidRPr="00690567">
        <w:rPr>
          <w:color w:val="000000" w:themeColor="text1"/>
          <w:sz w:val="20"/>
          <w:szCs w:val="20"/>
        </w:rPr>
        <w:t xml:space="preserve">. At the assessment zone level, </w:t>
      </w:r>
      <w:r w:rsidR="007F53D2" w:rsidRPr="00690567">
        <w:rPr>
          <w:color w:val="000000" w:themeColor="text1"/>
          <w:sz w:val="20"/>
          <w:szCs w:val="20"/>
        </w:rPr>
        <w:t xml:space="preserve">it </w:t>
      </w:r>
      <w:r w:rsidR="000B7FAE" w:rsidRPr="00690567">
        <w:rPr>
          <w:color w:val="000000" w:themeColor="text1"/>
          <w:sz w:val="20"/>
          <w:szCs w:val="20"/>
        </w:rPr>
        <w:t xml:space="preserve">was clear that </w:t>
      </w:r>
      <w:r w:rsidR="009E690C" w:rsidRPr="00690567">
        <w:rPr>
          <w:color w:val="000000" w:themeColor="text1"/>
          <w:sz w:val="20"/>
          <w:szCs w:val="20"/>
        </w:rPr>
        <w:lastRenderedPageBreak/>
        <w:t xml:space="preserve">most of the increase was due </w:t>
      </w:r>
      <w:r w:rsidR="00B95DC6" w:rsidRPr="00690567">
        <w:rPr>
          <w:color w:val="000000" w:themeColor="text1"/>
          <w:sz w:val="20"/>
          <w:szCs w:val="20"/>
        </w:rPr>
        <w:t xml:space="preserve">to increases in the </w:t>
      </w:r>
      <w:r w:rsidR="004E12EB" w:rsidRPr="00690567">
        <w:rPr>
          <w:color w:val="000000" w:themeColor="text1"/>
          <w:sz w:val="20"/>
          <w:szCs w:val="20"/>
        </w:rPr>
        <w:t>C</w:t>
      </w:r>
      <w:r w:rsidR="00B95DC6" w:rsidRPr="00690567">
        <w:rPr>
          <w:color w:val="000000" w:themeColor="text1"/>
          <w:sz w:val="20"/>
          <w:szCs w:val="20"/>
        </w:rPr>
        <w:t>entral</w:t>
      </w:r>
      <w:r w:rsidR="006B1491" w:rsidRPr="00690567">
        <w:rPr>
          <w:color w:val="000000" w:themeColor="text1"/>
          <w:sz w:val="20"/>
          <w:szCs w:val="20"/>
        </w:rPr>
        <w:t xml:space="preserve"> (80%) and </w:t>
      </w:r>
      <w:r w:rsidR="004E12EB" w:rsidRPr="00690567">
        <w:rPr>
          <w:color w:val="000000" w:themeColor="text1"/>
          <w:sz w:val="20"/>
          <w:szCs w:val="20"/>
        </w:rPr>
        <w:t>W</w:t>
      </w:r>
      <w:r w:rsidR="006B1491" w:rsidRPr="00690567">
        <w:rPr>
          <w:color w:val="000000" w:themeColor="text1"/>
          <w:sz w:val="20"/>
          <w:szCs w:val="20"/>
        </w:rPr>
        <w:t>est (148%) zones, with reduce</w:t>
      </w:r>
      <w:r w:rsidR="000B7FAE" w:rsidRPr="00690567">
        <w:rPr>
          <w:color w:val="000000" w:themeColor="text1"/>
          <w:sz w:val="20"/>
          <w:szCs w:val="20"/>
        </w:rPr>
        <w:t>d</w:t>
      </w:r>
      <w:r w:rsidR="006B1491" w:rsidRPr="00690567">
        <w:rPr>
          <w:color w:val="000000" w:themeColor="text1"/>
          <w:sz w:val="20"/>
          <w:szCs w:val="20"/>
        </w:rPr>
        <w:t xml:space="preserve"> </w:t>
      </w:r>
      <w:r w:rsidR="00734EAF" w:rsidRPr="00690567">
        <w:rPr>
          <w:color w:val="000000" w:themeColor="text1"/>
          <w:sz w:val="20"/>
          <w:szCs w:val="20"/>
        </w:rPr>
        <w:t xml:space="preserve">catches </w:t>
      </w:r>
      <w:r w:rsidR="006B1491" w:rsidRPr="00690567">
        <w:rPr>
          <w:color w:val="000000" w:themeColor="text1"/>
          <w:sz w:val="20"/>
          <w:szCs w:val="20"/>
        </w:rPr>
        <w:t xml:space="preserve">from the </w:t>
      </w:r>
      <w:r w:rsidR="00D31261">
        <w:rPr>
          <w:color w:val="000000" w:themeColor="text1"/>
          <w:sz w:val="20"/>
          <w:szCs w:val="20"/>
        </w:rPr>
        <w:t>E</w:t>
      </w:r>
      <w:r w:rsidR="006B1491" w:rsidRPr="00690567">
        <w:rPr>
          <w:color w:val="000000" w:themeColor="text1"/>
          <w:sz w:val="20"/>
          <w:szCs w:val="20"/>
        </w:rPr>
        <w:t>ast (-28</w:t>
      </w:r>
      <w:r w:rsidR="00C04BE6" w:rsidRPr="00690567">
        <w:rPr>
          <w:color w:val="000000" w:themeColor="text1"/>
          <w:sz w:val="20"/>
          <w:szCs w:val="20"/>
        </w:rPr>
        <w:t>%) (Fig</w:t>
      </w:r>
      <w:r w:rsidR="00CD200A">
        <w:rPr>
          <w:color w:val="000000" w:themeColor="text1"/>
          <w:sz w:val="20"/>
          <w:szCs w:val="20"/>
        </w:rPr>
        <w:t xml:space="preserve">ure </w:t>
      </w:r>
      <w:r w:rsidR="00C04BE6" w:rsidRPr="00690567">
        <w:rPr>
          <w:color w:val="000000" w:themeColor="text1"/>
          <w:sz w:val="20"/>
          <w:szCs w:val="20"/>
        </w:rPr>
        <w:t xml:space="preserve">3). </w:t>
      </w:r>
      <w:r w:rsidR="00734EAF" w:rsidRPr="00690567">
        <w:rPr>
          <w:color w:val="000000" w:themeColor="text1"/>
          <w:sz w:val="20"/>
          <w:szCs w:val="20"/>
        </w:rPr>
        <w:t>Therefore</w:t>
      </w:r>
      <w:r w:rsidR="00C04BE6" w:rsidRPr="00690567">
        <w:rPr>
          <w:color w:val="000000" w:themeColor="text1"/>
          <w:sz w:val="20"/>
          <w:szCs w:val="20"/>
        </w:rPr>
        <w:t xml:space="preserve"> the 50% interannual catch change</w:t>
      </w:r>
      <w:r w:rsidR="00734EAF" w:rsidRPr="00690567">
        <w:rPr>
          <w:color w:val="000000" w:themeColor="text1"/>
          <w:sz w:val="20"/>
          <w:szCs w:val="20"/>
        </w:rPr>
        <w:t xml:space="preserve"> trigger</w:t>
      </w:r>
      <w:r w:rsidR="009C1D33" w:rsidRPr="00690567">
        <w:rPr>
          <w:color w:val="000000" w:themeColor="text1"/>
          <w:sz w:val="20"/>
          <w:szCs w:val="20"/>
        </w:rPr>
        <w:t xml:space="preserve"> </w:t>
      </w:r>
      <w:r w:rsidR="000E43E9" w:rsidRPr="00690567">
        <w:rPr>
          <w:color w:val="000000" w:themeColor="text1"/>
          <w:sz w:val="20"/>
          <w:szCs w:val="20"/>
        </w:rPr>
        <w:t xml:space="preserve">under the harvest strategy was exceeded for the Central and </w:t>
      </w:r>
      <w:r w:rsidR="00734EAF" w:rsidRPr="00690567">
        <w:rPr>
          <w:color w:val="000000" w:themeColor="text1"/>
          <w:sz w:val="20"/>
          <w:szCs w:val="20"/>
        </w:rPr>
        <w:t>W</w:t>
      </w:r>
      <w:r w:rsidR="000E43E9" w:rsidRPr="00690567">
        <w:rPr>
          <w:color w:val="000000" w:themeColor="text1"/>
          <w:sz w:val="20"/>
          <w:szCs w:val="20"/>
        </w:rPr>
        <w:t>est zones</w:t>
      </w:r>
      <w:r w:rsidR="00F430BB" w:rsidRPr="00690567">
        <w:rPr>
          <w:color w:val="000000" w:themeColor="text1"/>
          <w:sz w:val="20"/>
          <w:szCs w:val="20"/>
        </w:rPr>
        <w:t xml:space="preserve">, and </w:t>
      </w:r>
      <w:r w:rsidR="00112141" w:rsidRPr="00690567">
        <w:rPr>
          <w:color w:val="000000" w:themeColor="text1"/>
          <w:sz w:val="20"/>
          <w:szCs w:val="20"/>
        </w:rPr>
        <w:t xml:space="preserve">under the harvest strategy </w:t>
      </w:r>
      <w:r w:rsidR="00F430BB" w:rsidRPr="00690567">
        <w:rPr>
          <w:color w:val="000000" w:themeColor="text1"/>
          <w:sz w:val="20"/>
          <w:szCs w:val="20"/>
        </w:rPr>
        <w:t xml:space="preserve">will require discussion with </w:t>
      </w:r>
      <w:r w:rsidR="00F569AE" w:rsidRPr="00690567">
        <w:rPr>
          <w:color w:val="000000" w:themeColor="text1"/>
          <w:sz w:val="20"/>
          <w:szCs w:val="20"/>
        </w:rPr>
        <w:t>industry. However,</w:t>
      </w:r>
      <w:r w:rsidR="009C1D33" w:rsidRPr="00690567">
        <w:rPr>
          <w:color w:val="000000" w:themeColor="text1"/>
          <w:sz w:val="20"/>
          <w:szCs w:val="20"/>
        </w:rPr>
        <w:t xml:space="preserve"> </w:t>
      </w:r>
      <w:r w:rsidR="00F569AE" w:rsidRPr="00690567">
        <w:rPr>
          <w:color w:val="000000" w:themeColor="text1"/>
          <w:sz w:val="20"/>
          <w:szCs w:val="20"/>
        </w:rPr>
        <w:t xml:space="preserve">the </w:t>
      </w:r>
      <w:r w:rsidRPr="00690567">
        <w:rPr>
          <w:color w:val="000000" w:themeColor="text1"/>
          <w:sz w:val="20"/>
          <w:szCs w:val="20"/>
        </w:rPr>
        <w:t xml:space="preserve">increase is not surprising given it </w:t>
      </w:r>
      <w:r w:rsidR="00D65DB0">
        <w:rPr>
          <w:color w:val="000000" w:themeColor="text1"/>
          <w:sz w:val="20"/>
          <w:szCs w:val="20"/>
        </w:rPr>
        <w:t>occurred during</w:t>
      </w:r>
      <w:r w:rsidR="00D65DB0" w:rsidRPr="00690567">
        <w:rPr>
          <w:color w:val="000000" w:themeColor="text1"/>
          <w:sz w:val="20"/>
          <w:szCs w:val="20"/>
        </w:rPr>
        <w:t xml:space="preserve"> </w:t>
      </w:r>
      <w:r w:rsidRPr="00690567">
        <w:rPr>
          <w:color w:val="000000" w:themeColor="text1"/>
          <w:sz w:val="20"/>
          <w:szCs w:val="20"/>
        </w:rPr>
        <w:t>the period of implementing licence transferability</w:t>
      </w:r>
      <w:r w:rsidR="00745389" w:rsidRPr="00690567">
        <w:rPr>
          <w:color w:val="000000" w:themeColor="text1"/>
          <w:sz w:val="20"/>
          <w:szCs w:val="20"/>
        </w:rPr>
        <w:t>, and new fishers had not become fully operational</w:t>
      </w:r>
      <w:r w:rsidR="00343A7F" w:rsidRPr="00690567">
        <w:rPr>
          <w:color w:val="000000" w:themeColor="text1"/>
          <w:sz w:val="20"/>
          <w:szCs w:val="20"/>
        </w:rPr>
        <w:t xml:space="preserve"> in 2016/17</w:t>
      </w:r>
      <w:r w:rsidRPr="00690567">
        <w:rPr>
          <w:color w:val="000000" w:themeColor="text1"/>
          <w:sz w:val="20"/>
          <w:szCs w:val="20"/>
        </w:rPr>
        <w:t xml:space="preserve">. </w:t>
      </w:r>
    </w:p>
    <w:p w14:paraId="58DD0EE8" w14:textId="76B8DC74" w:rsidR="00620500" w:rsidRPr="00690567" w:rsidRDefault="00620500" w:rsidP="00620500">
      <w:pPr>
        <w:rPr>
          <w:color w:val="000000" w:themeColor="text1"/>
          <w:sz w:val="20"/>
          <w:szCs w:val="20"/>
        </w:rPr>
      </w:pPr>
      <w:r w:rsidRPr="00690567">
        <w:rPr>
          <w:color w:val="000000" w:themeColor="text1"/>
          <w:sz w:val="20"/>
          <w:szCs w:val="20"/>
        </w:rPr>
        <w:t>Sixty seven percent of the wrasse harvest in 2017/18 was from the Central assessment zone, consistent with the pattern over the last 5 years (Fig</w:t>
      </w:r>
      <w:r w:rsidR="00CD200A">
        <w:rPr>
          <w:color w:val="000000" w:themeColor="text1"/>
          <w:sz w:val="20"/>
          <w:szCs w:val="20"/>
        </w:rPr>
        <w:t>ure</w:t>
      </w:r>
      <w:r w:rsidRPr="00690567">
        <w:rPr>
          <w:color w:val="000000" w:themeColor="text1"/>
          <w:sz w:val="20"/>
          <w:szCs w:val="20"/>
        </w:rPr>
        <w:t xml:space="preserve"> </w:t>
      </w:r>
      <w:r w:rsidR="007F53D2" w:rsidRPr="00690567">
        <w:rPr>
          <w:color w:val="000000" w:themeColor="text1"/>
          <w:sz w:val="20"/>
          <w:szCs w:val="20"/>
        </w:rPr>
        <w:t>4</w:t>
      </w:r>
      <w:r w:rsidRPr="00690567">
        <w:rPr>
          <w:color w:val="000000" w:themeColor="text1"/>
          <w:sz w:val="20"/>
          <w:szCs w:val="20"/>
        </w:rPr>
        <w:t>).</w:t>
      </w:r>
      <w:r w:rsidR="00510D79" w:rsidRPr="00690567">
        <w:rPr>
          <w:color w:val="000000" w:themeColor="text1"/>
          <w:sz w:val="20"/>
          <w:szCs w:val="20"/>
        </w:rPr>
        <w:t xml:space="preserve"> </w:t>
      </w:r>
      <w:r w:rsidR="006B2CDF" w:rsidRPr="00690567">
        <w:rPr>
          <w:color w:val="000000" w:themeColor="text1"/>
          <w:sz w:val="20"/>
          <w:szCs w:val="20"/>
        </w:rPr>
        <w:t>Of the 22 OW licence</w:t>
      </w:r>
      <w:r w:rsidR="00123ED7" w:rsidRPr="00690567">
        <w:rPr>
          <w:color w:val="000000" w:themeColor="text1"/>
          <w:sz w:val="20"/>
          <w:szCs w:val="20"/>
        </w:rPr>
        <w:t>s</w:t>
      </w:r>
      <w:r w:rsidR="006B2CDF" w:rsidRPr="00690567">
        <w:rPr>
          <w:color w:val="000000" w:themeColor="text1"/>
          <w:sz w:val="20"/>
          <w:szCs w:val="20"/>
        </w:rPr>
        <w:t>, 16 licences reported catches in 2017/18</w:t>
      </w:r>
      <w:r w:rsidR="00FE619D" w:rsidRPr="00690567">
        <w:rPr>
          <w:color w:val="000000" w:themeColor="text1"/>
          <w:sz w:val="20"/>
          <w:szCs w:val="20"/>
        </w:rPr>
        <w:t>.</w:t>
      </w:r>
    </w:p>
    <w:p w14:paraId="3391AFA0" w14:textId="31EF18E6" w:rsidR="00620500" w:rsidRPr="00690567" w:rsidRDefault="00620500" w:rsidP="00620500">
      <w:pPr>
        <w:rPr>
          <w:color w:val="000000" w:themeColor="text1"/>
          <w:sz w:val="20"/>
          <w:szCs w:val="20"/>
        </w:rPr>
      </w:pPr>
      <w:r w:rsidRPr="00690567">
        <w:rPr>
          <w:color w:val="000000" w:themeColor="text1"/>
          <w:sz w:val="20"/>
          <w:szCs w:val="20"/>
        </w:rPr>
        <w:t>The percentage of harvest taken by the hook and line method was at the 90% point in 2017/18</w:t>
      </w:r>
      <w:r w:rsidR="0033547F" w:rsidRPr="00690567">
        <w:rPr>
          <w:color w:val="000000" w:themeColor="text1"/>
          <w:sz w:val="20"/>
          <w:szCs w:val="20"/>
        </w:rPr>
        <w:t>, consistent wit</w:t>
      </w:r>
      <w:r w:rsidR="00566C46" w:rsidRPr="00690567">
        <w:rPr>
          <w:color w:val="000000" w:themeColor="text1"/>
          <w:sz w:val="20"/>
          <w:szCs w:val="20"/>
        </w:rPr>
        <w:t>h t</w:t>
      </w:r>
      <w:r w:rsidR="0033547F" w:rsidRPr="00690567">
        <w:rPr>
          <w:color w:val="000000" w:themeColor="text1"/>
          <w:sz w:val="20"/>
          <w:szCs w:val="20"/>
        </w:rPr>
        <w:t xml:space="preserve">he </w:t>
      </w:r>
      <w:r w:rsidR="00566C46" w:rsidRPr="00690567">
        <w:rPr>
          <w:color w:val="000000" w:themeColor="text1"/>
          <w:sz w:val="20"/>
          <w:szCs w:val="20"/>
        </w:rPr>
        <w:t xml:space="preserve">intent </w:t>
      </w:r>
      <w:r w:rsidR="00023990" w:rsidRPr="00690567">
        <w:rPr>
          <w:color w:val="000000" w:themeColor="text1"/>
          <w:sz w:val="20"/>
          <w:szCs w:val="20"/>
        </w:rPr>
        <w:t xml:space="preserve">for </w:t>
      </w:r>
      <w:r w:rsidR="00566C46" w:rsidRPr="00690567">
        <w:rPr>
          <w:color w:val="000000" w:themeColor="text1"/>
          <w:sz w:val="20"/>
          <w:szCs w:val="20"/>
        </w:rPr>
        <w:t xml:space="preserve">the pot catch not </w:t>
      </w:r>
      <w:r w:rsidR="00023990" w:rsidRPr="00690567">
        <w:rPr>
          <w:color w:val="000000" w:themeColor="text1"/>
          <w:sz w:val="20"/>
          <w:szCs w:val="20"/>
        </w:rPr>
        <w:t xml:space="preserve">to </w:t>
      </w:r>
      <w:r w:rsidR="00566C46" w:rsidRPr="00690567">
        <w:rPr>
          <w:color w:val="000000" w:themeColor="text1"/>
          <w:sz w:val="20"/>
          <w:szCs w:val="20"/>
        </w:rPr>
        <w:t>exceed 10% per year</w:t>
      </w:r>
      <w:r w:rsidRPr="00690567">
        <w:rPr>
          <w:color w:val="000000" w:themeColor="text1"/>
          <w:sz w:val="20"/>
          <w:szCs w:val="20"/>
        </w:rPr>
        <w:t xml:space="preserve"> (Fig</w:t>
      </w:r>
      <w:r w:rsidR="00CD200A">
        <w:rPr>
          <w:color w:val="000000" w:themeColor="text1"/>
          <w:sz w:val="20"/>
          <w:szCs w:val="20"/>
        </w:rPr>
        <w:t>ure</w:t>
      </w:r>
      <w:r w:rsidRPr="00690567">
        <w:rPr>
          <w:color w:val="000000" w:themeColor="text1"/>
          <w:sz w:val="20"/>
          <w:szCs w:val="20"/>
        </w:rPr>
        <w:t xml:space="preserve"> </w:t>
      </w:r>
      <w:r w:rsidR="007F53D2" w:rsidRPr="00690567">
        <w:rPr>
          <w:color w:val="000000" w:themeColor="text1"/>
          <w:sz w:val="20"/>
          <w:szCs w:val="20"/>
        </w:rPr>
        <w:t>5</w:t>
      </w:r>
      <w:r w:rsidRPr="00690567">
        <w:rPr>
          <w:color w:val="000000" w:themeColor="text1"/>
          <w:sz w:val="20"/>
          <w:szCs w:val="20"/>
        </w:rPr>
        <w:t>).</w:t>
      </w:r>
    </w:p>
    <w:p w14:paraId="1D9395F4" w14:textId="77777777" w:rsidR="007A4357" w:rsidRPr="00690567" w:rsidRDefault="007A4357" w:rsidP="00620500">
      <w:pPr>
        <w:rPr>
          <w:color w:val="000000" w:themeColor="text1"/>
          <w:sz w:val="20"/>
          <w:szCs w:val="20"/>
        </w:rPr>
      </w:pPr>
    </w:p>
    <w:p w14:paraId="4791649D" w14:textId="7D278986" w:rsidR="005170F9" w:rsidRPr="00690567" w:rsidRDefault="004E0E00" w:rsidP="00D3528A">
      <w:pPr>
        <w:pStyle w:val="Heading2"/>
        <w:rPr>
          <w:color w:val="000000" w:themeColor="text1"/>
        </w:rPr>
      </w:pPr>
      <w:r w:rsidRPr="00690567">
        <w:rPr>
          <w:color w:val="000000" w:themeColor="text1"/>
        </w:rPr>
        <w:t>Effort</w:t>
      </w:r>
    </w:p>
    <w:p w14:paraId="7914B603" w14:textId="6D3D0445" w:rsidR="00D959BB" w:rsidRDefault="00D959BB" w:rsidP="00620500">
      <w:pPr>
        <w:rPr>
          <w:color w:val="000000" w:themeColor="text1"/>
          <w:sz w:val="20"/>
          <w:szCs w:val="20"/>
        </w:rPr>
      </w:pPr>
      <w:r w:rsidRPr="00690567">
        <w:rPr>
          <w:color w:val="000000" w:themeColor="text1"/>
          <w:sz w:val="20"/>
          <w:szCs w:val="20"/>
        </w:rPr>
        <w:t xml:space="preserve">At the </w:t>
      </w:r>
      <w:r w:rsidR="00CD200A" w:rsidRPr="00690567">
        <w:rPr>
          <w:color w:val="000000" w:themeColor="text1"/>
          <w:sz w:val="20"/>
          <w:szCs w:val="20"/>
        </w:rPr>
        <w:t>State-wide</w:t>
      </w:r>
      <w:r w:rsidRPr="00690567">
        <w:rPr>
          <w:color w:val="000000" w:themeColor="text1"/>
          <w:sz w:val="20"/>
          <w:szCs w:val="20"/>
        </w:rPr>
        <w:t xml:space="preserve"> level there was </w:t>
      </w:r>
      <w:r w:rsidR="00AE6121" w:rsidRPr="00690567">
        <w:rPr>
          <w:color w:val="000000" w:themeColor="text1"/>
          <w:sz w:val="20"/>
          <w:szCs w:val="20"/>
        </w:rPr>
        <w:t>an</w:t>
      </w:r>
      <w:r w:rsidR="00396885" w:rsidRPr="00690567">
        <w:rPr>
          <w:color w:val="000000" w:themeColor="text1"/>
          <w:sz w:val="20"/>
          <w:szCs w:val="20"/>
        </w:rPr>
        <w:t xml:space="preserve"> approximate 50% and 60% increase in effort by hours and days respectively</w:t>
      </w:r>
      <w:r w:rsidR="00B9095B" w:rsidRPr="00690567">
        <w:rPr>
          <w:color w:val="000000" w:themeColor="text1"/>
          <w:sz w:val="20"/>
          <w:szCs w:val="20"/>
        </w:rPr>
        <w:t xml:space="preserve"> (Fig</w:t>
      </w:r>
      <w:r w:rsidR="00CD200A">
        <w:rPr>
          <w:color w:val="000000" w:themeColor="text1"/>
          <w:sz w:val="20"/>
          <w:szCs w:val="20"/>
        </w:rPr>
        <w:t>ure</w:t>
      </w:r>
      <w:r w:rsidR="00B9095B" w:rsidRPr="00690567">
        <w:rPr>
          <w:color w:val="000000" w:themeColor="text1"/>
          <w:sz w:val="20"/>
          <w:szCs w:val="20"/>
        </w:rPr>
        <w:t xml:space="preserve"> 6). </w:t>
      </w:r>
      <w:r w:rsidR="00C81F6E" w:rsidRPr="00690567">
        <w:rPr>
          <w:color w:val="000000" w:themeColor="text1"/>
          <w:sz w:val="20"/>
          <w:szCs w:val="20"/>
        </w:rPr>
        <w:t>At t</w:t>
      </w:r>
      <w:r w:rsidR="00B9095B" w:rsidRPr="00690567">
        <w:rPr>
          <w:color w:val="000000" w:themeColor="text1"/>
          <w:sz w:val="20"/>
          <w:szCs w:val="20"/>
        </w:rPr>
        <w:t>he assessment zone</w:t>
      </w:r>
      <w:r w:rsidR="00C81F6E" w:rsidRPr="00690567">
        <w:rPr>
          <w:color w:val="000000" w:themeColor="text1"/>
          <w:sz w:val="20"/>
          <w:szCs w:val="20"/>
        </w:rPr>
        <w:t xml:space="preserve"> level</w:t>
      </w:r>
      <w:r w:rsidR="00B9095B" w:rsidRPr="00690567">
        <w:rPr>
          <w:color w:val="000000" w:themeColor="text1"/>
          <w:sz w:val="20"/>
          <w:szCs w:val="20"/>
        </w:rPr>
        <w:t xml:space="preserve">, similar to </w:t>
      </w:r>
      <w:r w:rsidR="00C81F6E" w:rsidRPr="00690567">
        <w:rPr>
          <w:color w:val="000000" w:themeColor="text1"/>
          <w:sz w:val="20"/>
          <w:szCs w:val="20"/>
        </w:rPr>
        <w:t xml:space="preserve">the </w:t>
      </w:r>
      <w:r w:rsidR="00B9095B" w:rsidRPr="00690567">
        <w:rPr>
          <w:color w:val="000000" w:themeColor="text1"/>
          <w:sz w:val="20"/>
          <w:szCs w:val="20"/>
        </w:rPr>
        <w:t xml:space="preserve">catch increase, it was clear that </w:t>
      </w:r>
      <w:r w:rsidR="00D9587B">
        <w:rPr>
          <w:color w:val="000000" w:themeColor="text1"/>
          <w:sz w:val="20"/>
          <w:szCs w:val="20"/>
        </w:rPr>
        <w:t xml:space="preserve">the overall </w:t>
      </w:r>
      <w:r w:rsidR="00B9095B" w:rsidRPr="00690567">
        <w:rPr>
          <w:color w:val="000000" w:themeColor="text1"/>
          <w:sz w:val="20"/>
          <w:szCs w:val="20"/>
        </w:rPr>
        <w:t>effo</w:t>
      </w:r>
      <w:r w:rsidR="00C12B5E" w:rsidRPr="00690567">
        <w:rPr>
          <w:color w:val="000000" w:themeColor="text1"/>
          <w:sz w:val="20"/>
          <w:szCs w:val="20"/>
        </w:rPr>
        <w:t>rt</w:t>
      </w:r>
      <w:r w:rsidR="00B9095B" w:rsidRPr="00690567">
        <w:rPr>
          <w:color w:val="000000" w:themeColor="text1"/>
          <w:sz w:val="20"/>
          <w:szCs w:val="20"/>
        </w:rPr>
        <w:t xml:space="preserve"> </w:t>
      </w:r>
      <w:r w:rsidR="002C5F28" w:rsidRPr="00690567">
        <w:rPr>
          <w:color w:val="000000" w:themeColor="text1"/>
          <w:sz w:val="20"/>
          <w:szCs w:val="20"/>
        </w:rPr>
        <w:t xml:space="preserve">increase </w:t>
      </w:r>
      <w:r w:rsidR="00C81F6E" w:rsidRPr="00690567">
        <w:rPr>
          <w:color w:val="000000" w:themeColor="text1"/>
          <w:sz w:val="20"/>
          <w:szCs w:val="20"/>
        </w:rPr>
        <w:t>from 2016/17 to 2017/18</w:t>
      </w:r>
      <w:r w:rsidR="00020855" w:rsidRPr="00690567">
        <w:rPr>
          <w:color w:val="000000" w:themeColor="text1"/>
          <w:sz w:val="20"/>
          <w:szCs w:val="20"/>
        </w:rPr>
        <w:t xml:space="preserve"> </w:t>
      </w:r>
      <w:r w:rsidR="00C81F6E" w:rsidRPr="00690567">
        <w:rPr>
          <w:color w:val="000000" w:themeColor="text1"/>
          <w:sz w:val="20"/>
          <w:szCs w:val="20"/>
        </w:rPr>
        <w:t xml:space="preserve">was </w:t>
      </w:r>
      <w:r w:rsidR="00020855" w:rsidRPr="00690567">
        <w:rPr>
          <w:color w:val="000000" w:themeColor="text1"/>
          <w:sz w:val="20"/>
          <w:szCs w:val="20"/>
        </w:rPr>
        <w:t xml:space="preserve">due to the West </w:t>
      </w:r>
      <w:r w:rsidR="002B77D6" w:rsidRPr="00690567">
        <w:rPr>
          <w:color w:val="000000" w:themeColor="text1"/>
          <w:sz w:val="20"/>
          <w:szCs w:val="20"/>
        </w:rPr>
        <w:t>(1</w:t>
      </w:r>
      <w:r w:rsidR="00C12B5E" w:rsidRPr="00690567">
        <w:rPr>
          <w:color w:val="000000" w:themeColor="text1"/>
          <w:sz w:val="20"/>
          <w:szCs w:val="20"/>
        </w:rPr>
        <w:t>59% hours, 113% days) and Central (</w:t>
      </w:r>
      <w:r w:rsidR="00CA1681" w:rsidRPr="00690567">
        <w:rPr>
          <w:color w:val="000000" w:themeColor="text1"/>
          <w:sz w:val="20"/>
          <w:szCs w:val="20"/>
        </w:rPr>
        <w:t>3</w:t>
      </w:r>
      <w:r w:rsidR="00C12B5E" w:rsidRPr="00690567">
        <w:rPr>
          <w:color w:val="000000" w:themeColor="text1"/>
          <w:sz w:val="20"/>
          <w:szCs w:val="20"/>
        </w:rPr>
        <w:t xml:space="preserve">9% hours, </w:t>
      </w:r>
      <w:r w:rsidR="00CA1681" w:rsidRPr="00690567">
        <w:rPr>
          <w:color w:val="000000" w:themeColor="text1"/>
          <w:sz w:val="20"/>
          <w:szCs w:val="20"/>
        </w:rPr>
        <w:t>27</w:t>
      </w:r>
      <w:r w:rsidR="00C12B5E" w:rsidRPr="00690567">
        <w:rPr>
          <w:color w:val="000000" w:themeColor="text1"/>
          <w:sz w:val="20"/>
          <w:szCs w:val="20"/>
        </w:rPr>
        <w:t>% days) zones</w:t>
      </w:r>
      <w:r w:rsidR="00D20D81" w:rsidRPr="00690567">
        <w:rPr>
          <w:color w:val="000000" w:themeColor="text1"/>
          <w:sz w:val="20"/>
          <w:szCs w:val="20"/>
        </w:rPr>
        <w:t>, with negligible change in the East zone</w:t>
      </w:r>
      <w:r w:rsidR="00CA1681" w:rsidRPr="00690567">
        <w:rPr>
          <w:color w:val="000000" w:themeColor="text1"/>
          <w:sz w:val="20"/>
          <w:szCs w:val="20"/>
        </w:rPr>
        <w:t xml:space="preserve"> (Fig</w:t>
      </w:r>
      <w:r w:rsidR="00CD200A">
        <w:rPr>
          <w:color w:val="000000" w:themeColor="text1"/>
          <w:sz w:val="20"/>
          <w:szCs w:val="20"/>
        </w:rPr>
        <w:t>ure</w:t>
      </w:r>
      <w:r w:rsidR="00CA1681" w:rsidRPr="00690567">
        <w:rPr>
          <w:color w:val="000000" w:themeColor="text1"/>
          <w:sz w:val="20"/>
          <w:szCs w:val="20"/>
        </w:rPr>
        <w:t xml:space="preserve"> 6).</w:t>
      </w:r>
      <w:r w:rsidR="00D20D81" w:rsidRPr="00690567">
        <w:rPr>
          <w:color w:val="000000" w:themeColor="text1"/>
          <w:sz w:val="20"/>
          <w:szCs w:val="20"/>
        </w:rPr>
        <w:t xml:space="preserve"> </w:t>
      </w:r>
      <w:r w:rsidR="002C5F28" w:rsidRPr="00690567">
        <w:rPr>
          <w:color w:val="000000" w:themeColor="text1"/>
          <w:sz w:val="20"/>
          <w:szCs w:val="20"/>
        </w:rPr>
        <w:t xml:space="preserve">The 50% interannual effort change trigger was therefore exceeded for the </w:t>
      </w:r>
      <w:r w:rsidR="00F45A0C" w:rsidRPr="00690567">
        <w:rPr>
          <w:color w:val="000000" w:themeColor="text1"/>
          <w:sz w:val="20"/>
          <w:szCs w:val="20"/>
        </w:rPr>
        <w:t>W</w:t>
      </w:r>
      <w:r w:rsidR="002C5F28" w:rsidRPr="00690567">
        <w:rPr>
          <w:color w:val="000000" w:themeColor="text1"/>
          <w:sz w:val="20"/>
          <w:szCs w:val="20"/>
        </w:rPr>
        <w:t xml:space="preserve">est zone and will require </w:t>
      </w:r>
      <w:r w:rsidR="009052CE" w:rsidRPr="00690567">
        <w:rPr>
          <w:color w:val="000000" w:themeColor="text1"/>
          <w:sz w:val="20"/>
          <w:szCs w:val="20"/>
        </w:rPr>
        <w:t xml:space="preserve">discussion with industry. </w:t>
      </w:r>
      <w:r w:rsidR="00D20D81" w:rsidRPr="00690567">
        <w:rPr>
          <w:color w:val="000000" w:themeColor="text1"/>
          <w:sz w:val="20"/>
          <w:szCs w:val="20"/>
        </w:rPr>
        <w:t>Again</w:t>
      </w:r>
      <w:r w:rsidR="009052CE" w:rsidRPr="00690567">
        <w:rPr>
          <w:color w:val="000000" w:themeColor="text1"/>
          <w:sz w:val="20"/>
          <w:szCs w:val="20"/>
        </w:rPr>
        <w:t>,</w:t>
      </w:r>
      <w:r w:rsidR="00D20D81" w:rsidRPr="00690567">
        <w:rPr>
          <w:color w:val="000000" w:themeColor="text1"/>
          <w:sz w:val="20"/>
          <w:szCs w:val="20"/>
        </w:rPr>
        <w:t xml:space="preserve"> the abrupt increase in effort </w:t>
      </w:r>
      <w:r w:rsidR="00FE619D" w:rsidRPr="00690567">
        <w:rPr>
          <w:color w:val="000000" w:themeColor="text1"/>
          <w:sz w:val="20"/>
          <w:szCs w:val="20"/>
        </w:rPr>
        <w:t xml:space="preserve">appeared </w:t>
      </w:r>
      <w:r w:rsidR="00D20D81" w:rsidRPr="00690567">
        <w:rPr>
          <w:color w:val="000000" w:themeColor="text1"/>
          <w:sz w:val="20"/>
          <w:szCs w:val="20"/>
        </w:rPr>
        <w:t xml:space="preserve">due to </w:t>
      </w:r>
      <w:r w:rsidR="00FA0154" w:rsidRPr="00690567">
        <w:rPr>
          <w:color w:val="000000" w:themeColor="text1"/>
          <w:sz w:val="20"/>
          <w:szCs w:val="20"/>
        </w:rPr>
        <w:t>activation of new fishers after the license changes.</w:t>
      </w:r>
      <w:r w:rsidR="0012277F" w:rsidRPr="00690567" w:rsidDel="0012277F">
        <w:rPr>
          <w:color w:val="000000" w:themeColor="text1"/>
          <w:sz w:val="20"/>
          <w:szCs w:val="20"/>
        </w:rPr>
        <w:t xml:space="preserve"> </w:t>
      </w:r>
    </w:p>
    <w:p w14:paraId="0537A5BF" w14:textId="77777777" w:rsidR="0050426A" w:rsidRPr="00690567" w:rsidRDefault="0050426A" w:rsidP="00620500">
      <w:pPr>
        <w:rPr>
          <w:color w:val="000000" w:themeColor="text1"/>
          <w:sz w:val="20"/>
          <w:szCs w:val="20"/>
        </w:rPr>
      </w:pPr>
    </w:p>
    <w:p w14:paraId="0AD60AC7" w14:textId="77777777" w:rsidR="00620500" w:rsidRPr="00690567" w:rsidRDefault="00620500" w:rsidP="0012277F">
      <w:pPr>
        <w:rPr>
          <w:b/>
          <w:color w:val="000000" w:themeColor="text1"/>
        </w:rPr>
      </w:pPr>
      <w:r w:rsidRPr="00690567">
        <w:rPr>
          <w:b/>
          <w:color w:val="000000" w:themeColor="text1"/>
        </w:rPr>
        <w:t>CPUE</w:t>
      </w:r>
    </w:p>
    <w:p w14:paraId="50682C1D" w14:textId="02CD8E59" w:rsidR="00620500" w:rsidRPr="00620500" w:rsidRDefault="00620500" w:rsidP="00620500">
      <w:pPr>
        <w:rPr>
          <w:sz w:val="20"/>
          <w:szCs w:val="20"/>
        </w:rPr>
      </w:pPr>
      <w:r w:rsidRPr="00690567">
        <w:rPr>
          <w:color w:val="000000" w:themeColor="text1"/>
          <w:sz w:val="20"/>
          <w:szCs w:val="20"/>
        </w:rPr>
        <w:t xml:space="preserve">For the </w:t>
      </w:r>
      <w:r w:rsidRPr="00690567">
        <w:rPr>
          <w:b/>
          <w:color w:val="000000" w:themeColor="text1"/>
          <w:sz w:val="20"/>
          <w:szCs w:val="20"/>
        </w:rPr>
        <w:t>Central assessment</w:t>
      </w:r>
      <w:r w:rsidRPr="00690567">
        <w:rPr>
          <w:color w:val="000000" w:themeColor="text1"/>
          <w:sz w:val="20"/>
          <w:szCs w:val="20"/>
        </w:rPr>
        <w:t xml:space="preserve"> zone, the primary CPUE indicator (3 year averaged standardised CPUE) was close to</w:t>
      </w:r>
      <w:r w:rsidR="002F467D">
        <w:rPr>
          <w:color w:val="000000" w:themeColor="text1"/>
          <w:sz w:val="20"/>
          <w:szCs w:val="20"/>
        </w:rPr>
        <w:t xml:space="preserve"> the target </w:t>
      </w:r>
      <w:r w:rsidRPr="00690567">
        <w:rPr>
          <w:color w:val="000000" w:themeColor="text1"/>
          <w:sz w:val="20"/>
          <w:szCs w:val="20"/>
        </w:rPr>
        <w:t xml:space="preserve">reference </w:t>
      </w:r>
      <w:r w:rsidR="008A4C13">
        <w:rPr>
          <w:color w:val="000000" w:themeColor="text1"/>
          <w:sz w:val="20"/>
          <w:szCs w:val="20"/>
        </w:rPr>
        <w:t xml:space="preserve">point </w:t>
      </w:r>
      <w:r w:rsidRPr="00690567">
        <w:rPr>
          <w:color w:val="000000" w:themeColor="text1"/>
          <w:sz w:val="20"/>
          <w:szCs w:val="20"/>
        </w:rPr>
        <w:t xml:space="preserve">for 2017/18, and the annual nominal and standardised CPUE are showing no sustained depleting trends. The CPUE data for the Central zone suggests that the available </w:t>
      </w:r>
      <w:r w:rsidRPr="00620500">
        <w:rPr>
          <w:sz w:val="20"/>
          <w:szCs w:val="20"/>
        </w:rPr>
        <w:t>biomass is stable and at an acceptable level (Fig</w:t>
      </w:r>
      <w:r w:rsidR="00CD200A">
        <w:rPr>
          <w:sz w:val="20"/>
          <w:szCs w:val="20"/>
        </w:rPr>
        <w:t>ure</w:t>
      </w:r>
      <w:r w:rsidRPr="00620500">
        <w:rPr>
          <w:sz w:val="20"/>
          <w:szCs w:val="20"/>
        </w:rPr>
        <w:t xml:space="preserve"> </w:t>
      </w:r>
      <w:r w:rsidR="000451B7">
        <w:rPr>
          <w:sz w:val="20"/>
          <w:szCs w:val="20"/>
        </w:rPr>
        <w:t>7</w:t>
      </w:r>
      <w:r w:rsidRPr="00620500">
        <w:rPr>
          <w:sz w:val="20"/>
          <w:szCs w:val="20"/>
        </w:rPr>
        <w:t>).</w:t>
      </w:r>
    </w:p>
    <w:p w14:paraId="47713ABD" w14:textId="343E5FEC" w:rsidR="00620500" w:rsidRPr="00620500" w:rsidRDefault="00620500" w:rsidP="00620500">
      <w:pPr>
        <w:rPr>
          <w:sz w:val="20"/>
          <w:szCs w:val="20"/>
        </w:rPr>
      </w:pPr>
      <w:r w:rsidRPr="00620500">
        <w:rPr>
          <w:sz w:val="20"/>
          <w:szCs w:val="20"/>
        </w:rPr>
        <w:t xml:space="preserve">For the </w:t>
      </w:r>
      <w:r w:rsidRPr="005A2F14">
        <w:rPr>
          <w:b/>
          <w:sz w:val="20"/>
          <w:szCs w:val="20"/>
        </w:rPr>
        <w:t>Eastern assessment</w:t>
      </w:r>
      <w:r w:rsidRPr="00620500">
        <w:rPr>
          <w:sz w:val="20"/>
          <w:szCs w:val="20"/>
        </w:rPr>
        <w:t xml:space="preserve"> zone, the primary CPUE indicator </w:t>
      </w:r>
      <w:r w:rsidR="00DE49EC" w:rsidRPr="00620500">
        <w:rPr>
          <w:sz w:val="20"/>
          <w:szCs w:val="20"/>
        </w:rPr>
        <w:t xml:space="preserve">was between the </w:t>
      </w:r>
      <w:r w:rsidR="00DE49EC">
        <w:rPr>
          <w:sz w:val="20"/>
          <w:szCs w:val="20"/>
        </w:rPr>
        <w:t xml:space="preserve">target </w:t>
      </w:r>
      <w:r w:rsidR="00DE49EC" w:rsidRPr="00620500">
        <w:rPr>
          <w:sz w:val="20"/>
          <w:szCs w:val="20"/>
        </w:rPr>
        <w:t xml:space="preserve">reference </w:t>
      </w:r>
      <w:r w:rsidR="00921CF6">
        <w:rPr>
          <w:sz w:val="20"/>
          <w:szCs w:val="20"/>
        </w:rPr>
        <w:t>point</w:t>
      </w:r>
      <w:r w:rsidR="00DE49EC" w:rsidRPr="00620500">
        <w:rPr>
          <w:sz w:val="20"/>
          <w:szCs w:val="20"/>
        </w:rPr>
        <w:t xml:space="preserve"> and the trigger reference point </w:t>
      </w:r>
      <w:r w:rsidR="00DE49EC">
        <w:rPr>
          <w:sz w:val="20"/>
          <w:szCs w:val="20"/>
        </w:rPr>
        <w:t>in</w:t>
      </w:r>
      <w:r w:rsidR="00DE49EC" w:rsidRPr="00620500">
        <w:rPr>
          <w:sz w:val="20"/>
          <w:szCs w:val="20"/>
        </w:rPr>
        <w:t xml:space="preserve"> 2017/18</w:t>
      </w:r>
      <w:r w:rsidRPr="00620500">
        <w:rPr>
          <w:sz w:val="20"/>
          <w:szCs w:val="20"/>
        </w:rPr>
        <w:t xml:space="preserve">. The annual nominal and standardised CPUE have stabilised since 2010. Given the </w:t>
      </w:r>
      <w:r w:rsidR="005A2F14">
        <w:rPr>
          <w:sz w:val="20"/>
          <w:szCs w:val="20"/>
        </w:rPr>
        <w:t xml:space="preserve">recent </w:t>
      </w:r>
      <w:r w:rsidRPr="00620500">
        <w:rPr>
          <w:sz w:val="20"/>
          <w:szCs w:val="20"/>
        </w:rPr>
        <w:t>low catches</w:t>
      </w:r>
      <w:r w:rsidR="0050426A">
        <w:rPr>
          <w:sz w:val="20"/>
          <w:szCs w:val="20"/>
        </w:rPr>
        <w:t xml:space="preserve"> and effort</w:t>
      </w:r>
      <w:r w:rsidRPr="00620500">
        <w:rPr>
          <w:sz w:val="20"/>
          <w:szCs w:val="20"/>
        </w:rPr>
        <w:t xml:space="preserve"> from the </w:t>
      </w:r>
      <w:r w:rsidR="005609C8">
        <w:rPr>
          <w:sz w:val="20"/>
          <w:szCs w:val="20"/>
        </w:rPr>
        <w:t>E</w:t>
      </w:r>
      <w:r w:rsidRPr="00620500">
        <w:rPr>
          <w:sz w:val="20"/>
          <w:szCs w:val="20"/>
        </w:rPr>
        <w:t xml:space="preserve">astern </w:t>
      </w:r>
      <w:r w:rsidR="005609C8">
        <w:rPr>
          <w:sz w:val="20"/>
          <w:szCs w:val="20"/>
        </w:rPr>
        <w:t xml:space="preserve">assessment </w:t>
      </w:r>
      <w:r w:rsidRPr="00620500">
        <w:rPr>
          <w:sz w:val="20"/>
          <w:szCs w:val="20"/>
        </w:rPr>
        <w:t>zone, the CPUE indicators may lack reliability. The low catches and recent stable CPUE data together</w:t>
      </w:r>
      <w:r w:rsidR="009D1AF9">
        <w:rPr>
          <w:sz w:val="20"/>
          <w:szCs w:val="20"/>
        </w:rPr>
        <w:t xml:space="preserve"> </w:t>
      </w:r>
      <w:r w:rsidRPr="00620500">
        <w:rPr>
          <w:sz w:val="20"/>
          <w:szCs w:val="20"/>
        </w:rPr>
        <w:t xml:space="preserve">suggest that the </w:t>
      </w:r>
      <w:r w:rsidR="000F085D">
        <w:rPr>
          <w:sz w:val="20"/>
          <w:szCs w:val="20"/>
        </w:rPr>
        <w:t>biomass</w:t>
      </w:r>
      <w:r w:rsidR="00534C51">
        <w:rPr>
          <w:sz w:val="20"/>
          <w:szCs w:val="20"/>
        </w:rPr>
        <w:t xml:space="preserve"> </w:t>
      </w:r>
      <w:r w:rsidRPr="00620500">
        <w:rPr>
          <w:sz w:val="20"/>
          <w:szCs w:val="20"/>
        </w:rPr>
        <w:t xml:space="preserve">is not </w:t>
      </w:r>
      <w:r w:rsidR="00EB2882">
        <w:rPr>
          <w:sz w:val="20"/>
          <w:szCs w:val="20"/>
        </w:rPr>
        <w:t xml:space="preserve">currently </w:t>
      </w:r>
      <w:r w:rsidR="008154D8">
        <w:rPr>
          <w:sz w:val="20"/>
          <w:szCs w:val="20"/>
        </w:rPr>
        <w:t xml:space="preserve">at risk of depletion and is </w:t>
      </w:r>
      <w:r w:rsidRPr="00620500">
        <w:rPr>
          <w:sz w:val="20"/>
          <w:szCs w:val="20"/>
        </w:rPr>
        <w:t xml:space="preserve">at </w:t>
      </w:r>
      <w:r w:rsidR="008C7148" w:rsidRPr="008C7148">
        <w:rPr>
          <w:sz w:val="20"/>
          <w:szCs w:val="20"/>
        </w:rPr>
        <w:t xml:space="preserve">an acceptable level </w:t>
      </w:r>
      <w:r w:rsidRPr="00620500">
        <w:rPr>
          <w:sz w:val="20"/>
          <w:szCs w:val="20"/>
        </w:rPr>
        <w:t>(Fig</w:t>
      </w:r>
      <w:r w:rsidR="00CD200A">
        <w:rPr>
          <w:sz w:val="20"/>
          <w:szCs w:val="20"/>
        </w:rPr>
        <w:t>ure</w:t>
      </w:r>
      <w:r w:rsidRPr="00620500">
        <w:rPr>
          <w:sz w:val="20"/>
          <w:szCs w:val="20"/>
        </w:rPr>
        <w:t xml:space="preserve"> </w:t>
      </w:r>
      <w:r w:rsidR="000451B7">
        <w:rPr>
          <w:sz w:val="20"/>
          <w:szCs w:val="20"/>
        </w:rPr>
        <w:t>8</w:t>
      </w:r>
      <w:r w:rsidRPr="00620500">
        <w:rPr>
          <w:sz w:val="20"/>
          <w:szCs w:val="20"/>
        </w:rPr>
        <w:t xml:space="preserve">). </w:t>
      </w:r>
    </w:p>
    <w:p w14:paraId="1335983B" w14:textId="165C8609" w:rsidR="00534C51" w:rsidRPr="00620500" w:rsidRDefault="00620500" w:rsidP="00620500">
      <w:pPr>
        <w:rPr>
          <w:sz w:val="20"/>
          <w:szCs w:val="20"/>
        </w:rPr>
      </w:pPr>
      <w:r w:rsidRPr="00620500">
        <w:rPr>
          <w:sz w:val="20"/>
          <w:szCs w:val="20"/>
        </w:rPr>
        <w:t xml:space="preserve">For the </w:t>
      </w:r>
      <w:r w:rsidRPr="0054079E">
        <w:rPr>
          <w:b/>
          <w:sz w:val="20"/>
          <w:szCs w:val="20"/>
        </w:rPr>
        <w:t>Western assessment</w:t>
      </w:r>
      <w:r w:rsidRPr="00620500">
        <w:rPr>
          <w:sz w:val="20"/>
          <w:szCs w:val="20"/>
        </w:rPr>
        <w:t xml:space="preserve"> zone, the primary CPUE indicator was between the </w:t>
      </w:r>
      <w:r w:rsidR="00400139">
        <w:rPr>
          <w:sz w:val="20"/>
          <w:szCs w:val="20"/>
        </w:rPr>
        <w:t xml:space="preserve">target </w:t>
      </w:r>
      <w:r w:rsidRPr="00620500">
        <w:rPr>
          <w:sz w:val="20"/>
          <w:szCs w:val="20"/>
        </w:rPr>
        <w:t xml:space="preserve">reference </w:t>
      </w:r>
      <w:r w:rsidR="00921CF6">
        <w:rPr>
          <w:sz w:val="20"/>
          <w:szCs w:val="20"/>
        </w:rPr>
        <w:t>point</w:t>
      </w:r>
      <w:r w:rsidRPr="00620500">
        <w:rPr>
          <w:sz w:val="20"/>
          <w:szCs w:val="20"/>
        </w:rPr>
        <w:t xml:space="preserve"> and the trigger reference point </w:t>
      </w:r>
      <w:r w:rsidR="009D1AF9">
        <w:rPr>
          <w:sz w:val="20"/>
          <w:szCs w:val="20"/>
        </w:rPr>
        <w:t>in</w:t>
      </w:r>
      <w:r w:rsidRPr="00620500">
        <w:rPr>
          <w:sz w:val="20"/>
          <w:szCs w:val="20"/>
        </w:rPr>
        <w:t xml:space="preserve"> 2017/18. The annual nominal and standardised CPUE show recent slight downward trends, which if continued would see the </w:t>
      </w:r>
      <w:r w:rsidR="00A8751B">
        <w:rPr>
          <w:sz w:val="20"/>
          <w:szCs w:val="20"/>
        </w:rPr>
        <w:t>primary</w:t>
      </w:r>
      <w:r w:rsidRPr="00620500">
        <w:rPr>
          <w:sz w:val="20"/>
          <w:szCs w:val="20"/>
        </w:rPr>
        <w:t xml:space="preserve"> CPUE </w:t>
      </w:r>
      <w:r w:rsidR="00A8751B">
        <w:rPr>
          <w:sz w:val="20"/>
          <w:szCs w:val="20"/>
        </w:rPr>
        <w:t xml:space="preserve">indicator </w:t>
      </w:r>
      <w:r w:rsidRPr="00620500">
        <w:rPr>
          <w:sz w:val="20"/>
          <w:szCs w:val="20"/>
        </w:rPr>
        <w:t xml:space="preserve">reach the trigger </w:t>
      </w:r>
      <w:r w:rsidR="00A8751B">
        <w:rPr>
          <w:sz w:val="20"/>
          <w:szCs w:val="20"/>
        </w:rPr>
        <w:t xml:space="preserve">reference point </w:t>
      </w:r>
      <w:r w:rsidRPr="00620500">
        <w:rPr>
          <w:sz w:val="20"/>
          <w:szCs w:val="20"/>
        </w:rPr>
        <w:t xml:space="preserve">in the next few years. Overall, the data suggest the </w:t>
      </w:r>
      <w:r w:rsidR="000F085D">
        <w:rPr>
          <w:sz w:val="20"/>
          <w:szCs w:val="20"/>
        </w:rPr>
        <w:t>biomass</w:t>
      </w:r>
      <w:r w:rsidR="00D31261">
        <w:rPr>
          <w:sz w:val="20"/>
          <w:szCs w:val="20"/>
        </w:rPr>
        <w:t xml:space="preserve"> </w:t>
      </w:r>
      <w:r w:rsidRPr="00620500">
        <w:rPr>
          <w:sz w:val="20"/>
          <w:szCs w:val="20"/>
        </w:rPr>
        <w:t xml:space="preserve">is currently at </w:t>
      </w:r>
      <w:r w:rsidR="002D4FB6">
        <w:rPr>
          <w:sz w:val="20"/>
          <w:szCs w:val="20"/>
        </w:rPr>
        <w:t xml:space="preserve">an acceptable level </w:t>
      </w:r>
      <w:r w:rsidRPr="00620500">
        <w:rPr>
          <w:sz w:val="20"/>
          <w:szCs w:val="20"/>
        </w:rPr>
        <w:t>(Fig</w:t>
      </w:r>
      <w:r w:rsidR="00CD200A">
        <w:rPr>
          <w:sz w:val="20"/>
          <w:szCs w:val="20"/>
        </w:rPr>
        <w:t>ure</w:t>
      </w:r>
      <w:r w:rsidRPr="00620500">
        <w:rPr>
          <w:sz w:val="20"/>
          <w:szCs w:val="20"/>
        </w:rPr>
        <w:t xml:space="preserve"> </w:t>
      </w:r>
      <w:r w:rsidR="000451B7">
        <w:rPr>
          <w:sz w:val="20"/>
          <w:szCs w:val="20"/>
        </w:rPr>
        <w:t>9</w:t>
      </w:r>
      <w:r w:rsidRPr="00620500">
        <w:rPr>
          <w:sz w:val="20"/>
          <w:szCs w:val="20"/>
        </w:rPr>
        <w:t>).</w:t>
      </w:r>
    </w:p>
    <w:p w14:paraId="013D7059" w14:textId="77777777" w:rsidR="006A7FC7" w:rsidRDefault="006A7FC7">
      <w:pPr>
        <w:spacing w:after="200" w:line="276" w:lineRule="auto"/>
        <w:rPr>
          <w:sz w:val="20"/>
          <w:szCs w:val="20"/>
        </w:rPr>
      </w:pPr>
      <w:r>
        <w:rPr>
          <w:sz w:val="20"/>
          <w:szCs w:val="20"/>
        </w:rPr>
        <w:br w:type="page"/>
      </w:r>
    </w:p>
    <w:p w14:paraId="4E3BA9F1" w14:textId="33BC5843" w:rsidR="00B74442" w:rsidRDefault="00D31261" w:rsidP="00B74442">
      <w:r w:rsidRPr="00D31261">
        <w:rPr>
          <w:b/>
          <w:sz w:val="20"/>
          <w:szCs w:val="20"/>
        </w:rPr>
        <w:lastRenderedPageBreak/>
        <w:t>Figures</w:t>
      </w:r>
    </w:p>
    <w:p w14:paraId="61F37125" w14:textId="57D48F84" w:rsidR="00B74442" w:rsidRDefault="00C21D57" w:rsidP="00AF3795">
      <w:pPr>
        <w:jc w:val="center"/>
      </w:pPr>
      <w:r w:rsidRPr="00C21D57">
        <w:rPr>
          <w:noProof/>
        </w:rPr>
        <w:drawing>
          <wp:inline distT="0" distB="0" distL="0" distR="0" wp14:anchorId="10928CC7" wp14:editId="58341717">
            <wp:extent cx="4419600" cy="3004995"/>
            <wp:effectExtent l="0" t="0" r="0" b="5080"/>
            <wp:docPr id="1" name="Picture 1" descr="Map showing assessment zone and catch reporting grids for the Victorian ocean wrasse fish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425180" cy="3008789"/>
                    </a:xfrm>
                    <a:prstGeom prst="rect">
                      <a:avLst/>
                    </a:prstGeom>
                  </pic:spPr>
                </pic:pic>
              </a:graphicData>
            </a:graphic>
          </wp:inline>
        </w:drawing>
      </w:r>
    </w:p>
    <w:p w14:paraId="1DEA7F1B" w14:textId="19B96A89" w:rsidR="00B74442" w:rsidRDefault="00B74442" w:rsidP="00B74442">
      <w:r w:rsidRPr="00F71E09">
        <w:rPr>
          <w:b/>
        </w:rPr>
        <w:t>Figure 1.</w:t>
      </w:r>
      <w:r>
        <w:t xml:space="preserve"> Map showing assessment zones</w:t>
      </w:r>
      <w:r w:rsidR="003D24A2">
        <w:t xml:space="preserve"> and c</w:t>
      </w:r>
      <w:r>
        <w:t xml:space="preserve">atch reporting grid cells </w:t>
      </w:r>
      <w:r w:rsidR="003D24A2">
        <w:t>for the Victorian ocean wrasse fishery</w:t>
      </w:r>
      <w:r>
        <w:t>.</w:t>
      </w:r>
      <w:r w:rsidR="00D24C6D">
        <w:t xml:space="preserve"> </w:t>
      </w:r>
    </w:p>
    <w:p w14:paraId="4CB8018D" w14:textId="5B92D9B4" w:rsidR="00B74442" w:rsidRDefault="00B74442" w:rsidP="00B74442">
      <w:r w:rsidRPr="00FA3FE5">
        <w:rPr>
          <w:noProof/>
        </w:rPr>
        <w:drawing>
          <wp:inline distT="0" distB="0" distL="0" distR="0" wp14:anchorId="441AB8E0" wp14:editId="00CD6A8B">
            <wp:extent cx="5731510" cy="3492862"/>
            <wp:effectExtent l="0" t="0" r="2540" b="0"/>
            <wp:docPr id="4" name="Picture 4" descr="Figure showing the total commercial catches of wrasse in Victoria from 1990/91 -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492862"/>
                    </a:xfrm>
                    <a:prstGeom prst="rect">
                      <a:avLst/>
                    </a:prstGeom>
                  </pic:spPr>
                </pic:pic>
              </a:graphicData>
            </a:graphic>
          </wp:inline>
        </w:drawing>
      </w:r>
      <w:bookmarkStart w:id="2" w:name="_Hlk13488503"/>
      <w:r w:rsidRPr="00DC4D31">
        <w:rPr>
          <w:b/>
        </w:rPr>
        <w:t>Figure 2.</w:t>
      </w:r>
      <w:r>
        <w:t xml:space="preserve"> Total commercial catches of wrasse in Victoria from 1990/91 – 2017/18.</w:t>
      </w:r>
    </w:p>
    <w:p w14:paraId="79BC7B1B" w14:textId="77777777" w:rsidR="001609D2" w:rsidRDefault="001609D2" w:rsidP="00B74442"/>
    <w:bookmarkEnd w:id="2"/>
    <w:p w14:paraId="286279DE" w14:textId="382A0ED9" w:rsidR="007A4357" w:rsidRDefault="001609D2" w:rsidP="00B74442">
      <w:r>
        <w:rPr>
          <w:noProof/>
        </w:rPr>
        <w:lastRenderedPageBreak/>
        <w:drawing>
          <wp:inline distT="0" distB="0" distL="0" distR="0" wp14:anchorId="22129A88" wp14:editId="06791238">
            <wp:extent cx="5878195" cy="3020422"/>
            <wp:effectExtent l="0" t="0" r="8255" b="8890"/>
            <wp:docPr id="13" name="Picture 13" descr="Figure showing the percentage interannual changes in commercial catches of wrasse in Victoria by fiscal year from 2004/05 –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4698" cy="3028902"/>
                    </a:xfrm>
                    <a:prstGeom prst="rect">
                      <a:avLst/>
                    </a:prstGeom>
                    <a:noFill/>
                  </pic:spPr>
                </pic:pic>
              </a:graphicData>
            </a:graphic>
          </wp:inline>
        </w:drawing>
      </w:r>
    </w:p>
    <w:p w14:paraId="0308D370" w14:textId="13A19E42" w:rsidR="007A4357" w:rsidRDefault="007A4357" w:rsidP="00765615">
      <w:pPr>
        <w:jc w:val="center"/>
      </w:pPr>
    </w:p>
    <w:p w14:paraId="2A7DD60F" w14:textId="7825ED36" w:rsidR="007A4357" w:rsidRDefault="00FD0855" w:rsidP="00B74442">
      <w:r w:rsidRPr="00002459">
        <w:rPr>
          <w:b/>
        </w:rPr>
        <w:t>Figure 3.</w:t>
      </w:r>
      <w:r w:rsidRPr="00FD0855">
        <w:t xml:space="preserve"> </w:t>
      </w:r>
      <w:r>
        <w:t xml:space="preserve"> Percentage interannual cha</w:t>
      </w:r>
      <w:r w:rsidR="0061567B">
        <w:t>ng</w:t>
      </w:r>
      <w:r>
        <w:t xml:space="preserve">es in </w:t>
      </w:r>
      <w:r w:rsidRPr="00FD0855">
        <w:t xml:space="preserve">commercial catches of wrasse in Victoria </w:t>
      </w:r>
      <w:r w:rsidR="0061567B">
        <w:t xml:space="preserve">by fiscal year </w:t>
      </w:r>
      <w:r w:rsidRPr="00FD0855">
        <w:t xml:space="preserve">from </w:t>
      </w:r>
      <w:r w:rsidR="0061567B">
        <w:t>2004/05</w:t>
      </w:r>
      <w:r w:rsidRPr="00FD0855">
        <w:t xml:space="preserve"> – 2017/18.</w:t>
      </w:r>
      <w:r w:rsidR="00A43AAA">
        <w:t xml:space="preserve"> </w:t>
      </w:r>
      <w:r w:rsidR="0052216F">
        <w:t xml:space="preserve">Data represent difference in catch from </w:t>
      </w:r>
      <w:r w:rsidR="00B03673">
        <w:t xml:space="preserve">the </w:t>
      </w:r>
      <w:r w:rsidR="0052216F">
        <w:t xml:space="preserve">most recent to </w:t>
      </w:r>
      <w:r w:rsidR="00B03673">
        <w:t>the previous year as a percentage of the previous year.</w:t>
      </w:r>
    </w:p>
    <w:p w14:paraId="3BD7EBB6" w14:textId="77777777" w:rsidR="007A4357" w:rsidRDefault="007A4357" w:rsidP="00B74442"/>
    <w:p w14:paraId="4A2052AB" w14:textId="77777777" w:rsidR="00B74442" w:rsidRDefault="00B74442" w:rsidP="00B74442">
      <w:r>
        <w:rPr>
          <w:noProof/>
        </w:rPr>
        <w:drawing>
          <wp:inline distT="0" distB="0" distL="0" distR="0" wp14:anchorId="5C30096C" wp14:editId="1EB368DC">
            <wp:extent cx="5694648" cy="3043555"/>
            <wp:effectExtent l="0" t="0" r="1905" b="4445"/>
            <wp:docPr id="10" name="Picture 10" descr="Figure showing percentage of total wrasse catches (excluding those taken by the rocklobster fishery) from each of the three assessment zones from 2004/05-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07211" cy="3050270"/>
                    </a:xfrm>
                    <a:prstGeom prst="rect">
                      <a:avLst/>
                    </a:prstGeom>
                    <a:noFill/>
                  </pic:spPr>
                </pic:pic>
              </a:graphicData>
            </a:graphic>
          </wp:inline>
        </w:drawing>
      </w:r>
    </w:p>
    <w:p w14:paraId="551038CB" w14:textId="7E18F3AD" w:rsidR="00B74442" w:rsidRDefault="00B74442" w:rsidP="00B74442">
      <w:r w:rsidRPr="00DC4D31">
        <w:rPr>
          <w:b/>
        </w:rPr>
        <w:t xml:space="preserve">Figure </w:t>
      </w:r>
      <w:r w:rsidR="00B03673">
        <w:rPr>
          <w:b/>
        </w:rPr>
        <w:t>4</w:t>
      </w:r>
      <w:r w:rsidRPr="00DC4D31">
        <w:rPr>
          <w:b/>
        </w:rPr>
        <w:t xml:space="preserve">. </w:t>
      </w:r>
      <w:r w:rsidRPr="00DC4D31">
        <w:t>Percentage of total wrasse catches</w:t>
      </w:r>
      <w:r>
        <w:t xml:space="preserve"> (excluding those taken by </w:t>
      </w:r>
      <w:r w:rsidR="00A85241">
        <w:t xml:space="preserve">the </w:t>
      </w:r>
      <w:r>
        <w:t>rock</w:t>
      </w:r>
      <w:r w:rsidR="00D31261">
        <w:t xml:space="preserve"> </w:t>
      </w:r>
      <w:r>
        <w:t>lobster fishery)</w:t>
      </w:r>
      <w:r w:rsidRPr="00DC4D31">
        <w:t xml:space="preserve"> from each of the three assessment zones from 2004/05-2017/18.</w:t>
      </w:r>
    </w:p>
    <w:p w14:paraId="744C729E" w14:textId="33D61282" w:rsidR="00146E4E" w:rsidRDefault="00146E4E" w:rsidP="00B74442"/>
    <w:p w14:paraId="3690C97D" w14:textId="6B8E8617" w:rsidR="00146E4E" w:rsidRDefault="00146E4E" w:rsidP="00B74442"/>
    <w:p w14:paraId="55BB1DB6" w14:textId="12AD915B" w:rsidR="00146E4E" w:rsidRDefault="00A15D82" w:rsidP="00B74442">
      <w:r>
        <w:rPr>
          <w:noProof/>
        </w:rPr>
        <w:drawing>
          <wp:inline distT="0" distB="0" distL="0" distR="0" wp14:anchorId="3FCD1DFB" wp14:editId="6F5779F4">
            <wp:extent cx="5730875" cy="3048000"/>
            <wp:effectExtent l="0" t="0" r="3175" b="0"/>
            <wp:docPr id="12" name="Picture 12" descr="igure showing percentage of the total wrasse harvest (all methods) taken by hook and line from 2004/05-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0875" cy="3048000"/>
                    </a:xfrm>
                    <a:prstGeom prst="rect">
                      <a:avLst/>
                    </a:prstGeom>
                    <a:noFill/>
                  </pic:spPr>
                </pic:pic>
              </a:graphicData>
            </a:graphic>
          </wp:inline>
        </w:drawing>
      </w:r>
    </w:p>
    <w:p w14:paraId="040AD82E" w14:textId="112321CF" w:rsidR="00146E4E" w:rsidRDefault="00A15D82" w:rsidP="00B74442">
      <w:r w:rsidRPr="008A3AC1">
        <w:rPr>
          <w:b/>
        </w:rPr>
        <w:t xml:space="preserve">Figure </w:t>
      </w:r>
      <w:r w:rsidR="00B03673" w:rsidRPr="008A3AC1">
        <w:rPr>
          <w:b/>
        </w:rPr>
        <w:t>5</w:t>
      </w:r>
      <w:r w:rsidRPr="008A3AC1">
        <w:rPr>
          <w:b/>
        </w:rPr>
        <w:t>.</w:t>
      </w:r>
      <w:r w:rsidRPr="00A15D82">
        <w:t xml:space="preserve"> Percentage of the total wrasse harvest (all methods) taken by hook and line from 2004/05-2017/18.</w:t>
      </w:r>
    </w:p>
    <w:p w14:paraId="30FFC4A0" w14:textId="333DFFFF" w:rsidR="00146E4E" w:rsidRDefault="00856F73" w:rsidP="00765615">
      <w:pPr>
        <w:jc w:val="center"/>
      </w:pPr>
      <w:r>
        <w:rPr>
          <w:noProof/>
        </w:rPr>
        <w:lastRenderedPageBreak/>
        <w:drawing>
          <wp:inline distT="0" distB="0" distL="0" distR="0" wp14:anchorId="0D539444" wp14:editId="5CCE1E69">
            <wp:extent cx="4086225" cy="6927460"/>
            <wp:effectExtent l="0" t="0" r="0" b="6985"/>
            <wp:docPr id="11" name="Picture 11" descr="Figure showing percentage interannual changes in commercial OW effort fiscal year from 2004/05 – 2017/18.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98092" cy="6947578"/>
                    </a:xfrm>
                    <a:prstGeom prst="rect">
                      <a:avLst/>
                    </a:prstGeom>
                    <a:noFill/>
                  </pic:spPr>
                </pic:pic>
              </a:graphicData>
            </a:graphic>
          </wp:inline>
        </w:drawing>
      </w:r>
    </w:p>
    <w:p w14:paraId="772A233F" w14:textId="26970F37" w:rsidR="00146E4E" w:rsidRDefault="00146E4E" w:rsidP="00B74442"/>
    <w:p w14:paraId="13057690" w14:textId="5A0F6308" w:rsidR="00B74442" w:rsidRDefault="00B03673" w:rsidP="00B74442">
      <w:r w:rsidRPr="00D3528A">
        <w:rPr>
          <w:b/>
        </w:rPr>
        <w:lastRenderedPageBreak/>
        <w:t>Figure 6.</w:t>
      </w:r>
      <w:r w:rsidRPr="00B03673">
        <w:t xml:space="preserve">  Percentage interannual changes in commercial </w:t>
      </w:r>
      <w:r w:rsidR="00002459">
        <w:t xml:space="preserve">OW effort </w:t>
      </w:r>
      <w:r w:rsidRPr="00B03673">
        <w:t xml:space="preserve">fiscal year from 2004/05 – 2017/18. Data represent difference in </w:t>
      </w:r>
      <w:r w:rsidR="00002459">
        <w:t>effort</w:t>
      </w:r>
      <w:r w:rsidR="00002459" w:rsidRPr="00B03673">
        <w:t xml:space="preserve"> </w:t>
      </w:r>
      <w:r w:rsidRPr="00B03673">
        <w:t>from the most recent to the previous year as a percentage of the previous year.</w:t>
      </w:r>
    </w:p>
    <w:p w14:paraId="3AF00AAE" w14:textId="77777777" w:rsidR="00D31261" w:rsidRDefault="00B74442" w:rsidP="00B74442">
      <w:r>
        <w:rPr>
          <w:noProof/>
        </w:rPr>
        <w:drawing>
          <wp:inline distT="0" distB="0" distL="0" distR="0" wp14:anchorId="52D6A3C7" wp14:editId="68F5A527">
            <wp:extent cx="4543425" cy="3454221"/>
            <wp:effectExtent l="0" t="0" r="0" b="0"/>
            <wp:docPr id="2" name="Picture 2" descr="Figure showing CPUE for wrasse by hook and line for the Central assessment zone by fiscal year (i.e. 2017 =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568865" cy="3473563"/>
                    </a:xfrm>
                    <a:prstGeom prst="rect">
                      <a:avLst/>
                    </a:prstGeom>
                    <a:noFill/>
                  </pic:spPr>
                </pic:pic>
              </a:graphicData>
            </a:graphic>
          </wp:inline>
        </w:drawing>
      </w:r>
    </w:p>
    <w:p w14:paraId="0D6B5540" w14:textId="4776FDB6" w:rsidR="00B74442" w:rsidRPr="00D31261" w:rsidRDefault="00B74442" w:rsidP="00B74442">
      <w:r w:rsidRPr="00CD2E35">
        <w:rPr>
          <w:b/>
        </w:rPr>
        <w:t xml:space="preserve">Figure </w:t>
      </w:r>
      <w:r w:rsidR="00B03673">
        <w:rPr>
          <w:b/>
        </w:rPr>
        <w:t>7</w:t>
      </w:r>
      <w:r w:rsidRPr="00CD2E35">
        <w:rPr>
          <w:b/>
        </w:rPr>
        <w:t xml:space="preserve">. </w:t>
      </w:r>
      <w:r w:rsidRPr="00FA183F">
        <w:t>CPUE for wrasse by hook and line for the Central assessment zone</w:t>
      </w:r>
      <w:r w:rsidR="00BF3B17">
        <w:t xml:space="preserve"> by fiscal year (i.e. 2017 =2017/18)</w:t>
      </w:r>
      <w:r w:rsidRPr="00FA183F">
        <w:t>.</w:t>
      </w:r>
    </w:p>
    <w:p w14:paraId="69B229A0" w14:textId="77777777" w:rsidR="00B74442" w:rsidRDefault="00B74442" w:rsidP="00B74442">
      <w:r>
        <w:rPr>
          <w:noProof/>
        </w:rPr>
        <w:drawing>
          <wp:inline distT="0" distB="0" distL="0" distR="0" wp14:anchorId="6E395289" wp14:editId="23F6004A">
            <wp:extent cx="4552406" cy="3295650"/>
            <wp:effectExtent l="0" t="0" r="635" b="0"/>
            <wp:docPr id="3" name="Picture 3" descr="Figure showing CPUE for wrasse by hook and line for the East assessment zone (i.e. 2017 =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89164" cy="3322260"/>
                    </a:xfrm>
                    <a:prstGeom prst="rect">
                      <a:avLst/>
                    </a:prstGeom>
                    <a:noFill/>
                  </pic:spPr>
                </pic:pic>
              </a:graphicData>
            </a:graphic>
          </wp:inline>
        </w:drawing>
      </w:r>
    </w:p>
    <w:p w14:paraId="7EC6A0A0" w14:textId="06ECB1CF" w:rsidR="00B74442" w:rsidRPr="00234B34" w:rsidRDefault="00B74442" w:rsidP="00B74442">
      <w:pPr>
        <w:rPr>
          <w:b/>
        </w:rPr>
      </w:pPr>
      <w:r w:rsidRPr="00CD2E35">
        <w:rPr>
          <w:b/>
        </w:rPr>
        <w:lastRenderedPageBreak/>
        <w:t>Figure</w:t>
      </w:r>
      <w:r>
        <w:rPr>
          <w:b/>
        </w:rPr>
        <w:t xml:space="preserve"> </w:t>
      </w:r>
      <w:r w:rsidR="00B03673">
        <w:rPr>
          <w:b/>
        </w:rPr>
        <w:t>8</w:t>
      </w:r>
      <w:r w:rsidRPr="00CD2E35">
        <w:rPr>
          <w:b/>
        </w:rPr>
        <w:t xml:space="preserve">. </w:t>
      </w:r>
      <w:r w:rsidRPr="00FA183F">
        <w:t xml:space="preserve">CPUE for wrasse by hook and line for the </w:t>
      </w:r>
      <w:r>
        <w:t xml:space="preserve">East </w:t>
      </w:r>
      <w:r w:rsidRPr="00FA183F">
        <w:t>assessment zone</w:t>
      </w:r>
      <w:r w:rsidR="00234B34">
        <w:t xml:space="preserve"> </w:t>
      </w:r>
      <w:r w:rsidR="00CD200A">
        <w:t xml:space="preserve">by fiscal year </w:t>
      </w:r>
      <w:r w:rsidR="00234B34">
        <w:t>(i.e. 2017 = 2017/18)</w:t>
      </w:r>
      <w:r w:rsidR="00234B34" w:rsidRPr="00FA183F">
        <w:t>.</w:t>
      </w:r>
    </w:p>
    <w:p w14:paraId="250D2917" w14:textId="77777777" w:rsidR="00B74442" w:rsidRDefault="00B74442" w:rsidP="00B74442">
      <w:r>
        <w:rPr>
          <w:noProof/>
        </w:rPr>
        <w:drawing>
          <wp:inline distT="0" distB="0" distL="0" distR="0" wp14:anchorId="7AB6520C" wp14:editId="38A0DC7E">
            <wp:extent cx="4648200" cy="3532838"/>
            <wp:effectExtent l="0" t="0" r="0" b="0"/>
            <wp:docPr id="6" name="Picture 6" descr="CPUE for wrasse by hook and line for the West assessment zone (i.e. 2017 = 20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69657" cy="3549147"/>
                    </a:xfrm>
                    <a:prstGeom prst="rect">
                      <a:avLst/>
                    </a:prstGeom>
                    <a:noFill/>
                  </pic:spPr>
                </pic:pic>
              </a:graphicData>
            </a:graphic>
          </wp:inline>
        </w:drawing>
      </w:r>
    </w:p>
    <w:p w14:paraId="333CD79B" w14:textId="09DD71CE" w:rsidR="00E25213" w:rsidRPr="000C4230" w:rsidRDefault="00B74442" w:rsidP="00D24C6D">
      <w:r w:rsidRPr="00CD2E35">
        <w:rPr>
          <w:b/>
        </w:rPr>
        <w:t>Figure</w:t>
      </w:r>
      <w:r>
        <w:rPr>
          <w:b/>
        </w:rPr>
        <w:t xml:space="preserve"> </w:t>
      </w:r>
      <w:r w:rsidR="00002459">
        <w:rPr>
          <w:b/>
        </w:rPr>
        <w:t>9</w:t>
      </w:r>
      <w:r w:rsidRPr="00CD2E35">
        <w:rPr>
          <w:b/>
        </w:rPr>
        <w:t xml:space="preserve">. </w:t>
      </w:r>
      <w:r w:rsidRPr="00FA183F">
        <w:t xml:space="preserve">CPUE for wrasse by hook and line for the </w:t>
      </w:r>
      <w:r>
        <w:t xml:space="preserve">West </w:t>
      </w:r>
      <w:r w:rsidRPr="00FA183F">
        <w:t>assessment zone</w:t>
      </w:r>
      <w:r w:rsidR="00234B34">
        <w:t xml:space="preserve"> </w:t>
      </w:r>
      <w:r w:rsidR="00CD200A">
        <w:t xml:space="preserve">by fiscal year </w:t>
      </w:r>
      <w:r w:rsidR="00234B34">
        <w:t>(i.e. 2017 = 2017/18)</w:t>
      </w:r>
      <w:r w:rsidR="00234B34" w:rsidRPr="00FA183F">
        <w:t>.</w:t>
      </w:r>
      <w:r w:rsidR="0049513D" w:rsidRPr="000C4230">
        <w:t xml:space="preserve"> </w:t>
      </w:r>
    </w:p>
    <w:sectPr w:rsidR="00E25213" w:rsidRPr="000C4230" w:rsidSect="00F76203">
      <w:headerReference w:type="default" r:id="rId20"/>
      <w:footerReference w:type="default" r:id="rId21"/>
      <w:pgSz w:w="11906" w:h="16838"/>
      <w:pgMar w:top="2552" w:right="1440" w:bottom="2552"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878CCA" w14:textId="77777777" w:rsidR="005810D3" w:rsidRDefault="005810D3" w:rsidP="003F003B">
      <w:r>
        <w:separator/>
      </w:r>
    </w:p>
  </w:endnote>
  <w:endnote w:type="continuationSeparator" w:id="0">
    <w:p w14:paraId="14CF8627" w14:textId="77777777" w:rsidR="005810D3" w:rsidRDefault="005810D3" w:rsidP="003F003B">
      <w:r>
        <w:continuationSeparator/>
      </w:r>
    </w:p>
  </w:endnote>
  <w:endnote w:type="continuationNotice" w:id="1">
    <w:p w14:paraId="39ACD1BE" w14:textId="77777777" w:rsidR="005810D3" w:rsidRDefault="005810D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201593" w14:textId="77777777" w:rsidR="003F003B" w:rsidRDefault="003F003B">
    <w:pPr>
      <w:pStyle w:val="Footer"/>
    </w:pPr>
    <w:r>
      <w:rPr>
        <w:noProof/>
        <w:lang w:eastAsia="en-AU"/>
      </w:rPr>
      <w:drawing>
        <wp:anchor distT="0" distB="0" distL="114300" distR="114300" simplePos="0" relativeHeight="251657216" behindDoc="1" locked="1" layoutInCell="1" allowOverlap="1" wp14:anchorId="3716F7B2" wp14:editId="5A1D6C95">
          <wp:simplePos x="0" y="0"/>
          <wp:positionH relativeFrom="page">
            <wp:align>center</wp:align>
          </wp:positionH>
          <wp:positionV relativeFrom="page">
            <wp:align>bottom</wp:align>
          </wp:positionV>
          <wp:extent cx="7566660" cy="1645920"/>
          <wp:effectExtent l="0" t="0" r="0" b="0"/>
          <wp:wrapNone/>
          <wp:docPr id="8" name="Picture 8" descr="Figure 1 Label.  Map showing assessment zones and catch reporting grid cells for the Victorian ocean wrasse fishe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utes_agenda_foote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6660" cy="1645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35A8908" w14:textId="77777777" w:rsidR="005810D3" w:rsidRDefault="005810D3" w:rsidP="003F003B">
      <w:r>
        <w:separator/>
      </w:r>
    </w:p>
  </w:footnote>
  <w:footnote w:type="continuationSeparator" w:id="0">
    <w:p w14:paraId="54AE04E9" w14:textId="77777777" w:rsidR="005810D3" w:rsidRDefault="005810D3" w:rsidP="003F003B">
      <w:r>
        <w:continuationSeparator/>
      </w:r>
    </w:p>
  </w:footnote>
  <w:footnote w:type="continuationNotice" w:id="1">
    <w:p w14:paraId="0811F196" w14:textId="77777777" w:rsidR="005810D3" w:rsidRDefault="005810D3">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4FB160" w14:textId="5E0EAA3D" w:rsidR="003F003B" w:rsidRDefault="005B0DBE">
    <w:pPr>
      <w:pStyle w:val="Header"/>
    </w:pPr>
    <w:r>
      <w:rPr>
        <w:noProof/>
        <w:lang w:eastAsia="en-AU"/>
      </w:rPr>
      <mc:AlternateContent>
        <mc:Choice Requires="wps">
          <w:drawing>
            <wp:inline distT="0" distB="0" distL="0" distR="0" wp14:anchorId="109781E7" wp14:editId="0F9DD28E">
              <wp:extent cx="1428750" cy="0"/>
              <wp:effectExtent l="0" t="19050" r="19050" b="19050"/>
              <wp:docPr id="5" name="Straight Connector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1428750" cy="0"/>
                      </a:xfrm>
                      <a:prstGeom prst="line">
                        <a:avLst/>
                      </a:prstGeom>
                      <a:ln w="38100">
                        <a:solidFill>
                          <a:srgbClr val="00B0B9"/>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7ACCB9D" id="Straight Connector 5" o:spid="_x0000_s1026" style="visibility:visible;mso-wrap-style:square;mso-left-percent:-10001;mso-top-percent:-10001;mso-position-horizontal:absolute;mso-position-horizontal-relative:char;mso-position-vertical:absolute;mso-position-vertical-relative:line;mso-left-percent:-10001;mso-top-percent:-10001" from="0,0" to="11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KnwMwIAAM0EAAAOAAAAZHJzL2Uyb0RvYy54bWysVNuO0zAQfUfiHyy/t0l6TaNNV5uW8oKg&#10;YuEDXMduLDl2ZJumFeLfGTuXrgAhQDzU8WXOzDlz6cPjtZbowowVWuU4mcYYMUV1KdQ5x58/HSYp&#10;RtYRVRKpFcvxjVn8uH396qFtMjbTlZYlMwicKJu1TY4r55osiiytWE3sVDdMwSPXpiYOjuYclYa0&#10;4L2W0SyOV1GrTdkYTZm1cLvvHvE2+OecUfeBc8sckjkGbi6sJqwnv0bbB5KdDWkqQXsa5B9Y1EQo&#10;CDq62hNH0BcjfnJVC2q01dxNqa4jzbmgLGgANUn8g5rnijQsaIHk2GZMk/1/bun7y9EgUeZ4iZEi&#10;NZTo2RkizpVDO60UJFAbtAza2NW9s86rhF2n7usuSef79WE1KRabdLKYF/PJZpEWk2Q9S4vl7Olp&#10;9WbxzaNLRjP4aUOcuLAh1XDzZ1r6qvssraO7H4wuBCqb+DpGgdfwDUyjtrFZkOgbImx36mjA2J9s&#10;czRezZWb2n+hGugaWuM2toZXSuEyWczS9RI6iA5vEG4ANsa6t0zXyG9yLIXyVSMZuQCLjtlg4q+l&#10;Qm2O52kSx8HMainKg5DSP1pzPu2k6XTFcREXm17cCzOILRUovasIO3eTrAvwkXEoqufdRfDjxEa3&#10;hFKm3JA0qcDawzhQGIE9td8Be3sPZWHU/gY8IkJkrdwIroXS5le03XWgzDv7IQOdbp+Cky5vob4h&#10;NTAzoR36+fZD+fIc4Pd/oe13AAAA//8DAFBLAwQUAAYACAAAACEA3nVEI9cAAAACAQAADwAAAGRy&#10;cy9kb3ducmV2LnhtbEyPwU7DMAyG70i8Q2QkbixtJUYpTSeEBrcd2DhwzBLTVDROlWRb4enxuMDF&#10;0qff+v25Xc1+FEeMaQikoFwUIJBMsAP1Ct52zzc1iJQ1WT0GQgVfmGDVXV60urHhRK943OZecAml&#10;RitwOU+NlMk49DotwoTE2UeIXmfG2Esb9YnL/SirolhKrwfiC05P+OTQfG4PXsG6jt/ly53ZuPrd&#10;lOvSbdL90ip1fTU/PoDIOOe/ZTjrszp07LQPB7JJjAr4kfw7OauqW8b9GWXXyv/q3Q8AAAD//wMA&#10;UEsBAi0AFAAGAAgAAAAhALaDOJL+AAAA4QEAABMAAAAAAAAAAAAAAAAAAAAAAFtDb250ZW50X1R5&#10;cGVzXS54bWxQSwECLQAUAAYACAAAACEAOP0h/9YAAACUAQAACwAAAAAAAAAAAAAAAAAvAQAAX3Jl&#10;bHMvLnJlbHNQSwECLQAUAAYACAAAACEAqrip8DMCAADNBAAADgAAAAAAAAAAAAAAAAAuAgAAZHJz&#10;L2Uyb0RvYy54bWxQSwECLQAUAAYACAAAACEA3nVEI9cAAAACAQAADwAAAAAAAAAAAAAAAACNBAAA&#10;ZHJzL2Rvd25yZXYueG1sUEsFBgAAAAAEAAQA8wAAAJEFAAAAAA==&#10;" strokecolor="#00b0b9" strokeweight="3pt">
              <w10:anchorlock/>
            </v:line>
          </w:pict>
        </mc:Fallback>
      </mc:AlternateContent>
    </w:r>
    <w:r w:rsidR="003F003B">
      <w:rPr>
        <w:noProof/>
        <w:lang w:eastAsia="en-AU"/>
      </w:rPr>
      <w:drawing>
        <wp:anchor distT="0" distB="0" distL="114300" distR="114300" simplePos="0" relativeHeight="251661312" behindDoc="1" locked="0" layoutInCell="1" allowOverlap="1" wp14:anchorId="4FEB1C8D" wp14:editId="4C8B6C6C">
          <wp:simplePos x="0" y="0"/>
          <wp:positionH relativeFrom="column">
            <wp:posOffset>4464050</wp:posOffset>
          </wp:positionH>
          <wp:positionV relativeFrom="paragraph">
            <wp:posOffset>46578</wp:posOffset>
          </wp:positionV>
          <wp:extent cx="1576123" cy="1022350"/>
          <wp:effectExtent l="0" t="0" r="5080" b="6350"/>
          <wp:wrapNone/>
          <wp:docPr id="7" name="Picture 7" descr="Victorian Fisheries Author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nal.vic.gov.au\DEDJTR\HomeDirs2\viczmr8\Desktop\VFA_Logo_Vertical_F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76123" cy="102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433F18">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FB07E3"/>
    <w:multiLevelType w:val="hybridMultilevel"/>
    <w:tmpl w:val="4B08F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1191C48"/>
    <w:multiLevelType w:val="hybridMultilevel"/>
    <w:tmpl w:val="3384DC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3F804D3B"/>
    <w:multiLevelType w:val="hybridMultilevel"/>
    <w:tmpl w:val="25521A68"/>
    <w:lvl w:ilvl="0" w:tplc="37226678">
      <w:start w:val="1"/>
      <w:numFmt w:val="bullet"/>
      <w:lvlText w:val=""/>
      <w:lvlJc w:val="left"/>
      <w:pPr>
        <w:tabs>
          <w:tab w:val="num" w:pos="340"/>
        </w:tabs>
        <w:ind w:left="340" w:hanging="227"/>
      </w:pPr>
      <w:rPr>
        <w:rFonts w:ascii="Symbol" w:hAnsi="Symbol" w:cs="Times New Roman" w:hint="default"/>
      </w:rPr>
    </w:lvl>
    <w:lvl w:ilvl="1" w:tplc="1C090003" w:tentative="1">
      <w:start w:val="1"/>
      <w:numFmt w:val="bullet"/>
      <w:lvlText w:val="o"/>
      <w:lvlJc w:val="left"/>
      <w:pPr>
        <w:tabs>
          <w:tab w:val="num" w:pos="1440"/>
        </w:tabs>
        <w:ind w:left="1440" w:hanging="360"/>
      </w:pPr>
      <w:rPr>
        <w:rFonts w:ascii="Courier New" w:hAnsi="Courier New" w:cs="Courier New" w:hint="default"/>
      </w:rPr>
    </w:lvl>
    <w:lvl w:ilvl="2" w:tplc="1C090005" w:tentative="1">
      <w:start w:val="1"/>
      <w:numFmt w:val="bullet"/>
      <w:lvlText w:val=""/>
      <w:lvlJc w:val="left"/>
      <w:pPr>
        <w:tabs>
          <w:tab w:val="num" w:pos="2160"/>
        </w:tabs>
        <w:ind w:left="2160" w:hanging="360"/>
      </w:pPr>
      <w:rPr>
        <w:rFonts w:ascii="Wingdings" w:hAnsi="Wingdings" w:hint="default"/>
      </w:rPr>
    </w:lvl>
    <w:lvl w:ilvl="3" w:tplc="1C090001" w:tentative="1">
      <w:start w:val="1"/>
      <w:numFmt w:val="bullet"/>
      <w:lvlText w:val=""/>
      <w:lvlJc w:val="left"/>
      <w:pPr>
        <w:tabs>
          <w:tab w:val="num" w:pos="2880"/>
        </w:tabs>
        <w:ind w:left="2880" w:hanging="360"/>
      </w:pPr>
      <w:rPr>
        <w:rFonts w:ascii="Symbol" w:hAnsi="Symbol" w:hint="default"/>
      </w:rPr>
    </w:lvl>
    <w:lvl w:ilvl="4" w:tplc="1C090003" w:tentative="1">
      <w:start w:val="1"/>
      <w:numFmt w:val="bullet"/>
      <w:lvlText w:val="o"/>
      <w:lvlJc w:val="left"/>
      <w:pPr>
        <w:tabs>
          <w:tab w:val="num" w:pos="3600"/>
        </w:tabs>
        <w:ind w:left="3600" w:hanging="360"/>
      </w:pPr>
      <w:rPr>
        <w:rFonts w:ascii="Courier New" w:hAnsi="Courier New" w:cs="Courier New" w:hint="default"/>
      </w:rPr>
    </w:lvl>
    <w:lvl w:ilvl="5" w:tplc="1C090005" w:tentative="1">
      <w:start w:val="1"/>
      <w:numFmt w:val="bullet"/>
      <w:lvlText w:val=""/>
      <w:lvlJc w:val="left"/>
      <w:pPr>
        <w:tabs>
          <w:tab w:val="num" w:pos="4320"/>
        </w:tabs>
        <w:ind w:left="4320" w:hanging="360"/>
      </w:pPr>
      <w:rPr>
        <w:rFonts w:ascii="Wingdings" w:hAnsi="Wingdings" w:hint="default"/>
      </w:rPr>
    </w:lvl>
    <w:lvl w:ilvl="6" w:tplc="1C090001" w:tentative="1">
      <w:start w:val="1"/>
      <w:numFmt w:val="bullet"/>
      <w:lvlText w:val=""/>
      <w:lvlJc w:val="left"/>
      <w:pPr>
        <w:tabs>
          <w:tab w:val="num" w:pos="5040"/>
        </w:tabs>
        <w:ind w:left="5040" w:hanging="360"/>
      </w:pPr>
      <w:rPr>
        <w:rFonts w:ascii="Symbol" w:hAnsi="Symbol" w:hint="default"/>
      </w:rPr>
    </w:lvl>
    <w:lvl w:ilvl="7" w:tplc="1C090003" w:tentative="1">
      <w:start w:val="1"/>
      <w:numFmt w:val="bullet"/>
      <w:lvlText w:val="o"/>
      <w:lvlJc w:val="left"/>
      <w:pPr>
        <w:tabs>
          <w:tab w:val="num" w:pos="5760"/>
        </w:tabs>
        <w:ind w:left="5760" w:hanging="360"/>
      </w:pPr>
      <w:rPr>
        <w:rFonts w:ascii="Courier New" w:hAnsi="Courier New" w:cs="Courier New" w:hint="default"/>
      </w:rPr>
    </w:lvl>
    <w:lvl w:ilvl="8" w:tplc="1C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4BD31297"/>
    <w:multiLevelType w:val="hybridMultilevel"/>
    <w:tmpl w:val="765297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E2922E2"/>
    <w:multiLevelType w:val="hybridMultilevel"/>
    <w:tmpl w:val="4F6693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2"/>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F003B"/>
    <w:rsid w:val="00002459"/>
    <w:rsid w:val="00003C41"/>
    <w:rsid w:val="00006A6C"/>
    <w:rsid w:val="00020855"/>
    <w:rsid w:val="00023990"/>
    <w:rsid w:val="0003216C"/>
    <w:rsid w:val="00043B9C"/>
    <w:rsid w:val="000451B7"/>
    <w:rsid w:val="00045468"/>
    <w:rsid w:val="00063F5F"/>
    <w:rsid w:val="00071495"/>
    <w:rsid w:val="000724C2"/>
    <w:rsid w:val="00082080"/>
    <w:rsid w:val="000862F2"/>
    <w:rsid w:val="000942AB"/>
    <w:rsid w:val="000B717F"/>
    <w:rsid w:val="000B7FAE"/>
    <w:rsid w:val="000C25F1"/>
    <w:rsid w:val="000C2E4F"/>
    <w:rsid w:val="000C4230"/>
    <w:rsid w:val="000C7256"/>
    <w:rsid w:val="000D568E"/>
    <w:rsid w:val="000D5B77"/>
    <w:rsid w:val="000E31A8"/>
    <w:rsid w:val="000E43E9"/>
    <w:rsid w:val="000E4BB2"/>
    <w:rsid w:val="000F085D"/>
    <w:rsid w:val="0010709C"/>
    <w:rsid w:val="00111D39"/>
    <w:rsid w:val="00112141"/>
    <w:rsid w:val="00114365"/>
    <w:rsid w:val="0012277F"/>
    <w:rsid w:val="001239A8"/>
    <w:rsid w:val="00123B01"/>
    <w:rsid w:val="00123ED7"/>
    <w:rsid w:val="001240CD"/>
    <w:rsid w:val="001404CA"/>
    <w:rsid w:val="00146E4E"/>
    <w:rsid w:val="001609D2"/>
    <w:rsid w:val="00162544"/>
    <w:rsid w:val="00162A30"/>
    <w:rsid w:val="00172221"/>
    <w:rsid w:val="00176DA2"/>
    <w:rsid w:val="001802CA"/>
    <w:rsid w:val="00180555"/>
    <w:rsid w:val="001B192D"/>
    <w:rsid w:val="001B3310"/>
    <w:rsid w:val="001C2E5B"/>
    <w:rsid w:val="001C53DF"/>
    <w:rsid w:val="001C7BE0"/>
    <w:rsid w:val="001C7D3D"/>
    <w:rsid w:val="001D2976"/>
    <w:rsid w:val="001D3F08"/>
    <w:rsid w:val="001E4D2C"/>
    <w:rsid w:val="001E5D52"/>
    <w:rsid w:val="00212690"/>
    <w:rsid w:val="00216CEF"/>
    <w:rsid w:val="00221A37"/>
    <w:rsid w:val="00223583"/>
    <w:rsid w:val="00225FD3"/>
    <w:rsid w:val="00226699"/>
    <w:rsid w:val="0022682E"/>
    <w:rsid w:val="0022760D"/>
    <w:rsid w:val="00234B34"/>
    <w:rsid w:val="002429EA"/>
    <w:rsid w:val="00251BDB"/>
    <w:rsid w:val="00252E30"/>
    <w:rsid w:val="0026630E"/>
    <w:rsid w:val="00272E25"/>
    <w:rsid w:val="002731EC"/>
    <w:rsid w:val="00295308"/>
    <w:rsid w:val="002A2A55"/>
    <w:rsid w:val="002A68B9"/>
    <w:rsid w:val="002B0D4E"/>
    <w:rsid w:val="002B5BD8"/>
    <w:rsid w:val="002B77D6"/>
    <w:rsid w:val="002C3256"/>
    <w:rsid w:val="002C4934"/>
    <w:rsid w:val="002C5F28"/>
    <w:rsid w:val="002D34C8"/>
    <w:rsid w:val="002D4FB6"/>
    <w:rsid w:val="002E5ACC"/>
    <w:rsid w:val="002F467D"/>
    <w:rsid w:val="002F4CC2"/>
    <w:rsid w:val="002F60B0"/>
    <w:rsid w:val="002F78B7"/>
    <w:rsid w:val="0031539D"/>
    <w:rsid w:val="00316E7C"/>
    <w:rsid w:val="0032430C"/>
    <w:rsid w:val="003259C6"/>
    <w:rsid w:val="00326B4E"/>
    <w:rsid w:val="00327DB6"/>
    <w:rsid w:val="0033547F"/>
    <w:rsid w:val="00343A7F"/>
    <w:rsid w:val="00350523"/>
    <w:rsid w:val="00355683"/>
    <w:rsid w:val="00365364"/>
    <w:rsid w:val="00367471"/>
    <w:rsid w:val="00374339"/>
    <w:rsid w:val="003745F8"/>
    <w:rsid w:val="00381686"/>
    <w:rsid w:val="0038318F"/>
    <w:rsid w:val="003860BC"/>
    <w:rsid w:val="003927B1"/>
    <w:rsid w:val="00393479"/>
    <w:rsid w:val="00396885"/>
    <w:rsid w:val="003A22BD"/>
    <w:rsid w:val="003A6489"/>
    <w:rsid w:val="003B3BA8"/>
    <w:rsid w:val="003B588B"/>
    <w:rsid w:val="003D085C"/>
    <w:rsid w:val="003D2036"/>
    <w:rsid w:val="003D24A2"/>
    <w:rsid w:val="003D306D"/>
    <w:rsid w:val="003D3DC7"/>
    <w:rsid w:val="003F003B"/>
    <w:rsid w:val="003F0383"/>
    <w:rsid w:val="003F074F"/>
    <w:rsid w:val="003F32C4"/>
    <w:rsid w:val="003F3F8F"/>
    <w:rsid w:val="003F5958"/>
    <w:rsid w:val="003F5B7C"/>
    <w:rsid w:val="003F68CC"/>
    <w:rsid w:val="00400139"/>
    <w:rsid w:val="00402592"/>
    <w:rsid w:val="00421188"/>
    <w:rsid w:val="00427FA6"/>
    <w:rsid w:val="00433F18"/>
    <w:rsid w:val="00450FDF"/>
    <w:rsid w:val="00493167"/>
    <w:rsid w:val="0049513D"/>
    <w:rsid w:val="004A117B"/>
    <w:rsid w:val="004A5CEA"/>
    <w:rsid w:val="004B2CA5"/>
    <w:rsid w:val="004E0E00"/>
    <w:rsid w:val="004E12EB"/>
    <w:rsid w:val="004F00A0"/>
    <w:rsid w:val="004F2B1D"/>
    <w:rsid w:val="00503C48"/>
    <w:rsid w:val="0050426A"/>
    <w:rsid w:val="005074E6"/>
    <w:rsid w:val="00510D79"/>
    <w:rsid w:val="005170F9"/>
    <w:rsid w:val="0051744E"/>
    <w:rsid w:val="0052216F"/>
    <w:rsid w:val="00527A5E"/>
    <w:rsid w:val="00527CD8"/>
    <w:rsid w:val="00534C51"/>
    <w:rsid w:val="0054079E"/>
    <w:rsid w:val="005408CE"/>
    <w:rsid w:val="00546958"/>
    <w:rsid w:val="00554D10"/>
    <w:rsid w:val="005609C8"/>
    <w:rsid w:val="00564796"/>
    <w:rsid w:val="00566C46"/>
    <w:rsid w:val="0057316C"/>
    <w:rsid w:val="00575BBF"/>
    <w:rsid w:val="005810D3"/>
    <w:rsid w:val="0059402C"/>
    <w:rsid w:val="005A2F14"/>
    <w:rsid w:val="005A3128"/>
    <w:rsid w:val="005B0DBE"/>
    <w:rsid w:val="005B358F"/>
    <w:rsid w:val="005B5C75"/>
    <w:rsid w:val="005C016C"/>
    <w:rsid w:val="005E52FA"/>
    <w:rsid w:val="005E56DB"/>
    <w:rsid w:val="005F165A"/>
    <w:rsid w:val="005F30BD"/>
    <w:rsid w:val="00602163"/>
    <w:rsid w:val="0060781B"/>
    <w:rsid w:val="006107CF"/>
    <w:rsid w:val="0061567B"/>
    <w:rsid w:val="00620500"/>
    <w:rsid w:val="00622AEC"/>
    <w:rsid w:val="00625434"/>
    <w:rsid w:val="00643572"/>
    <w:rsid w:val="00645AAD"/>
    <w:rsid w:val="00655A26"/>
    <w:rsid w:val="0066599F"/>
    <w:rsid w:val="00665B50"/>
    <w:rsid w:val="00667F75"/>
    <w:rsid w:val="0067042B"/>
    <w:rsid w:val="00670A21"/>
    <w:rsid w:val="00672F96"/>
    <w:rsid w:val="006829DB"/>
    <w:rsid w:val="00686718"/>
    <w:rsid w:val="00690567"/>
    <w:rsid w:val="00690AD0"/>
    <w:rsid w:val="006914DD"/>
    <w:rsid w:val="006A7FC7"/>
    <w:rsid w:val="006B1491"/>
    <w:rsid w:val="006B202C"/>
    <w:rsid w:val="006B2CDF"/>
    <w:rsid w:val="006B67B9"/>
    <w:rsid w:val="006C00F5"/>
    <w:rsid w:val="006C1310"/>
    <w:rsid w:val="006E4800"/>
    <w:rsid w:val="00720CBE"/>
    <w:rsid w:val="00720F47"/>
    <w:rsid w:val="0072145B"/>
    <w:rsid w:val="00734EAF"/>
    <w:rsid w:val="00735DD9"/>
    <w:rsid w:val="00745389"/>
    <w:rsid w:val="00764216"/>
    <w:rsid w:val="00765615"/>
    <w:rsid w:val="007757E0"/>
    <w:rsid w:val="00776803"/>
    <w:rsid w:val="00783EEA"/>
    <w:rsid w:val="0079773B"/>
    <w:rsid w:val="007A2DBB"/>
    <w:rsid w:val="007A3C2C"/>
    <w:rsid w:val="007A4357"/>
    <w:rsid w:val="007B4B1A"/>
    <w:rsid w:val="007C4BC5"/>
    <w:rsid w:val="007D17C6"/>
    <w:rsid w:val="007D4383"/>
    <w:rsid w:val="007E146E"/>
    <w:rsid w:val="007E4AC3"/>
    <w:rsid w:val="007F2442"/>
    <w:rsid w:val="007F53D2"/>
    <w:rsid w:val="007F741A"/>
    <w:rsid w:val="0080238F"/>
    <w:rsid w:val="00803CDE"/>
    <w:rsid w:val="008154D8"/>
    <w:rsid w:val="00815F88"/>
    <w:rsid w:val="00820D27"/>
    <w:rsid w:val="008232F7"/>
    <w:rsid w:val="00837A0D"/>
    <w:rsid w:val="0084141D"/>
    <w:rsid w:val="00843A9C"/>
    <w:rsid w:val="00845A8B"/>
    <w:rsid w:val="00845ED6"/>
    <w:rsid w:val="008513DE"/>
    <w:rsid w:val="00856B22"/>
    <w:rsid w:val="00856F73"/>
    <w:rsid w:val="00860505"/>
    <w:rsid w:val="00870980"/>
    <w:rsid w:val="008709DC"/>
    <w:rsid w:val="0088004A"/>
    <w:rsid w:val="00882D5C"/>
    <w:rsid w:val="00893A1A"/>
    <w:rsid w:val="008A1055"/>
    <w:rsid w:val="008A2E56"/>
    <w:rsid w:val="008A3AC1"/>
    <w:rsid w:val="008A46D8"/>
    <w:rsid w:val="008A4C13"/>
    <w:rsid w:val="008A63C9"/>
    <w:rsid w:val="008B05E1"/>
    <w:rsid w:val="008C5D02"/>
    <w:rsid w:val="008C7148"/>
    <w:rsid w:val="008F369A"/>
    <w:rsid w:val="0090419E"/>
    <w:rsid w:val="009052CE"/>
    <w:rsid w:val="009101AD"/>
    <w:rsid w:val="00912525"/>
    <w:rsid w:val="0092094C"/>
    <w:rsid w:val="00921CF6"/>
    <w:rsid w:val="00931769"/>
    <w:rsid w:val="009555F5"/>
    <w:rsid w:val="00972676"/>
    <w:rsid w:val="009827FE"/>
    <w:rsid w:val="009A1574"/>
    <w:rsid w:val="009B11FB"/>
    <w:rsid w:val="009B6BE9"/>
    <w:rsid w:val="009C1D33"/>
    <w:rsid w:val="009C667F"/>
    <w:rsid w:val="009D1AF9"/>
    <w:rsid w:val="009E62DC"/>
    <w:rsid w:val="009E690C"/>
    <w:rsid w:val="00A0591F"/>
    <w:rsid w:val="00A15D82"/>
    <w:rsid w:val="00A240D4"/>
    <w:rsid w:val="00A307BC"/>
    <w:rsid w:val="00A438AF"/>
    <w:rsid w:val="00A43AAA"/>
    <w:rsid w:val="00A52808"/>
    <w:rsid w:val="00A61BE2"/>
    <w:rsid w:val="00A623B3"/>
    <w:rsid w:val="00A651AB"/>
    <w:rsid w:val="00A70BB7"/>
    <w:rsid w:val="00A70EE7"/>
    <w:rsid w:val="00A7157C"/>
    <w:rsid w:val="00A82B88"/>
    <w:rsid w:val="00A85241"/>
    <w:rsid w:val="00A8751B"/>
    <w:rsid w:val="00A973A7"/>
    <w:rsid w:val="00AB3E8D"/>
    <w:rsid w:val="00AC2600"/>
    <w:rsid w:val="00AC26E5"/>
    <w:rsid w:val="00AC5C5A"/>
    <w:rsid w:val="00AD76F1"/>
    <w:rsid w:val="00AE3829"/>
    <w:rsid w:val="00AE6121"/>
    <w:rsid w:val="00AE61C2"/>
    <w:rsid w:val="00AF3517"/>
    <w:rsid w:val="00AF3795"/>
    <w:rsid w:val="00B00433"/>
    <w:rsid w:val="00B03673"/>
    <w:rsid w:val="00B05620"/>
    <w:rsid w:val="00B076E8"/>
    <w:rsid w:val="00B1103F"/>
    <w:rsid w:val="00B15CDE"/>
    <w:rsid w:val="00B55E2B"/>
    <w:rsid w:val="00B61D23"/>
    <w:rsid w:val="00B64D7B"/>
    <w:rsid w:val="00B651A7"/>
    <w:rsid w:val="00B72BDE"/>
    <w:rsid w:val="00B74442"/>
    <w:rsid w:val="00B80573"/>
    <w:rsid w:val="00B82007"/>
    <w:rsid w:val="00B8750C"/>
    <w:rsid w:val="00B9095B"/>
    <w:rsid w:val="00B91753"/>
    <w:rsid w:val="00B93829"/>
    <w:rsid w:val="00B95DC6"/>
    <w:rsid w:val="00BB3059"/>
    <w:rsid w:val="00BC101D"/>
    <w:rsid w:val="00BC1703"/>
    <w:rsid w:val="00BF0283"/>
    <w:rsid w:val="00BF1702"/>
    <w:rsid w:val="00BF3B17"/>
    <w:rsid w:val="00C04BE6"/>
    <w:rsid w:val="00C12AC7"/>
    <w:rsid w:val="00C12B5E"/>
    <w:rsid w:val="00C21D57"/>
    <w:rsid w:val="00C222AD"/>
    <w:rsid w:val="00C31B45"/>
    <w:rsid w:val="00C352EC"/>
    <w:rsid w:val="00C40886"/>
    <w:rsid w:val="00C44D6A"/>
    <w:rsid w:val="00C67E05"/>
    <w:rsid w:val="00C70B6B"/>
    <w:rsid w:val="00C75FBD"/>
    <w:rsid w:val="00C81F6E"/>
    <w:rsid w:val="00CA1681"/>
    <w:rsid w:val="00CB04B2"/>
    <w:rsid w:val="00CB0EE8"/>
    <w:rsid w:val="00CC2757"/>
    <w:rsid w:val="00CC3B51"/>
    <w:rsid w:val="00CD200A"/>
    <w:rsid w:val="00CE393C"/>
    <w:rsid w:val="00CF08E6"/>
    <w:rsid w:val="00CF689C"/>
    <w:rsid w:val="00D11886"/>
    <w:rsid w:val="00D163BA"/>
    <w:rsid w:val="00D20D81"/>
    <w:rsid w:val="00D24C6D"/>
    <w:rsid w:val="00D26317"/>
    <w:rsid w:val="00D31261"/>
    <w:rsid w:val="00D32F30"/>
    <w:rsid w:val="00D3528A"/>
    <w:rsid w:val="00D370CE"/>
    <w:rsid w:val="00D40A5F"/>
    <w:rsid w:val="00D45DB8"/>
    <w:rsid w:val="00D54084"/>
    <w:rsid w:val="00D623A2"/>
    <w:rsid w:val="00D65DB0"/>
    <w:rsid w:val="00D7482E"/>
    <w:rsid w:val="00D9587B"/>
    <w:rsid w:val="00D959BB"/>
    <w:rsid w:val="00DA07CA"/>
    <w:rsid w:val="00DA366D"/>
    <w:rsid w:val="00DC4868"/>
    <w:rsid w:val="00DE49EC"/>
    <w:rsid w:val="00DF34C0"/>
    <w:rsid w:val="00DF3E6A"/>
    <w:rsid w:val="00DF52D9"/>
    <w:rsid w:val="00DF7096"/>
    <w:rsid w:val="00E170BB"/>
    <w:rsid w:val="00E25213"/>
    <w:rsid w:val="00E26BD5"/>
    <w:rsid w:val="00E30E35"/>
    <w:rsid w:val="00E34B72"/>
    <w:rsid w:val="00E424C2"/>
    <w:rsid w:val="00E427B3"/>
    <w:rsid w:val="00E43699"/>
    <w:rsid w:val="00E44CB7"/>
    <w:rsid w:val="00E5649D"/>
    <w:rsid w:val="00E61FFD"/>
    <w:rsid w:val="00E63808"/>
    <w:rsid w:val="00E63FD8"/>
    <w:rsid w:val="00E65443"/>
    <w:rsid w:val="00E67020"/>
    <w:rsid w:val="00E70411"/>
    <w:rsid w:val="00E8001F"/>
    <w:rsid w:val="00E84042"/>
    <w:rsid w:val="00E93A32"/>
    <w:rsid w:val="00EA03F5"/>
    <w:rsid w:val="00EA21B0"/>
    <w:rsid w:val="00EA66DE"/>
    <w:rsid w:val="00EB0789"/>
    <w:rsid w:val="00EB1421"/>
    <w:rsid w:val="00EB2882"/>
    <w:rsid w:val="00EB617B"/>
    <w:rsid w:val="00EB7995"/>
    <w:rsid w:val="00EC4037"/>
    <w:rsid w:val="00EC4E79"/>
    <w:rsid w:val="00EC62B6"/>
    <w:rsid w:val="00EE5647"/>
    <w:rsid w:val="00EE5907"/>
    <w:rsid w:val="00EF2069"/>
    <w:rsid w:val="00F01AC3"/>
    <w:rsid w:val="00F06946"/>
    <w:rsid w:val="00F14860"/>
    <w:rsid w:val="00F210F2"/>
    <w:rsid w:val="00F273C8"/>
    <w:rsid w:val="00F31E1E"/>
    <w:rsid w:val="00F32E96"/>
    <w:rsid w:val="00F34154"/>
    <w:rsid w:val="00F3577F"/>
    <w:rsid w:val="00F430BB"/>
    <w:rsid w:val="00F45A0C"/>
    <w:rsid w:val="00F47FD9"/>
    <w:rsid w:val="00F569AE"/>
    <w:rsid w:val="00F56B98"/>
    <w:rsid w:val="00F577DE"/>
    <w:rsid w:val="00F664CB"/>
    <w:rsid w:val="00F76203"/>
    <w:rsid w:val="00F96B2C"/>
    <w:rsid w:val="00FA0154"/>
    <w:rsid w:val="00FA1143"/>
    <w:rsid w:val="00FA3057"/>
    <w:rsid w:val="00FB3368"/>
    <w:rsid w:val="00FB6B18"/>
    <w:rsid w:val="00FB7D49"/>
    <w:rsid w:val="00FC397F"/>
    <w:rsid w:val="00FC556C"/>
    <w:rsid w:val="00FD0855"/>
    <w:rsid w:val="00FE5670"/>
    <w:rsid w:val="00FE619D"/>
    <w:rsid w:val="00FF36FA"/>
    <w:rsid w:val="00FF6AE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F86C5B9"/>
  <w15:docId w15:val="{EE723129-BBFD-458E-93E1-C6A1BA61C4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23B01"/>
    <w:pPr>
      <w:spacing w:after="120" w:line="240" w:lineRule="auto"/>
    </w:pPr>
    <w:rPr>
      <w:rFonts w:ascii="Arial" w:eastAsia="Cambria" w:hAnsi="Arial" w:cs="Times New Roman"/>
      <w:sz w:val="18"/>
      <w:szCs w:val="24"/>
    </w:rPr>
  </w:style>
  <w:style w:type="paragraph" w:styleId="Heading1">
    <w:name w:val="heading 1"/>
    <w:basedOn w:val="Normal"/>
    <w:next w:val="Normal"/>
    <w:link w:val="Heading1Char"/>
    <w:uiPriority w:val="9"/>
    <w:qFormat/>
    <w:rsid w:val="00AB3E8D"/>
    <w:pPr>
      <w:keepNext/>
      <w:spacing w:after="60"/>
      <w:outlineLvl w:val="0"/>
    </w:pPr>
    <w:rPr>
      <w:rFonts w:eastAsia="Times New Roman"/>
      <w:b/>
      <w:bCs/>
      <w:caps/>
      <w:color w:val="215868" w:themeColor="accent5" w:themeShade="80"/>
      <w:kern w:val="32"/>
      <w:sz w:val="22"/>
      <w:szCs w:val="32"/>
    </w:rPr>
  </w:style>
  <w:style w:type="paragraph" w:styleId="Heading2">
    <w:name w:val="heading 2"/>
    <w:basedOn w:val="Normal"/>
    <w:next w:val="Normal"/>
    <w:link w:val="Heading2Char"/>
    <w:qFormat/>
    <w:rsid w:val="003F003B"/>
    <w:pPr>
      <w:keepNext/>
      <w:outlineLvl w:val="1"/>
    </w:pPr>
    <w:rPr>
      <w:rFonts w:eastAsia="Times New Roman"/>
      <w:b/>
      <w:bCs/>
      <w:iCs/>
      <w:color w:val="004876"/>
      <w:szCs w:val="28"/>
    </w:rPr>
  </w:style>
  <w:style w:type="paragraph" w:styleId="Heading3">
    <w:name w:val="heading 3"/>
    <w:basedOn w:val="Normal"/>
    <w:next w:val="Normal"/>
    <w:link w:val="Heading3Char"/>
    <w:uiPriority w:val="9"/>
    <w:unhideWhenUsed/>
    <w:qFormat/>
    <w:rsid w:val="009827FE"/>
    <w:pPr>
      <w:keepNext/>
      <w:keepLines/>
      <w:spacing w:before="40" w:after="0"/>
      <w:outlineLvl w:val="2"/>
    </w:pPr>
    <w:rPr>
      <w:rFonts w:asciiTheme="majorHAnsi" w:eastAsiaTheme="majorEastAsia" w:hAnsiTheme="majorHAnsi" w:cstheme="majorBidi"/>
      <w:color w:val="243F60" w:themeColor="accent1" w:themeShade="7F"/>
      <w:sz w:val="24"/>
    </w:rPr>
  </w:style>
  <w:style w:type="paragraph" w:styleId="Heading4">
    <w:name w:val="heading 4"/>
    <w:basedOn w:val="Normal"/>
    <w:next w:val="Normal"/>
    <w:link w:val="Heading4Char"/>
    <w:uiPriority w:val="9"/>
    <w:unhideWhenUsed/>
    <w:qFormat/>
    <w:rsid w:val="009827F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F003B"/>
    <w:pPr>
      <w:tabs>
        <w:tab w:val="center" w:pos="4513"/>
        <w:tab w:val="right" w:pos="9026"/>
      </w:tabs>
    </w:pPr>
  </w:style>
  <w:style w:type="character" w:customStyle="1" w:styleId="HeaderChar">
    <w:name w:val="Header Char"/>
    <w:basedOn w:val="DefaultParagraphFont"/>
    <w:link w:val="Header"/>
    <w:uiPriority w:val="99"/>
    <w:rsid w:val="003F003B"/>
    <w:rPr>
      <w:rFonts w:ascii="Arial" w:eastAsia="Cambria" w:hAnsi="Arial" w:cs="Times New Roman"/>
      <w:sz w:val="18"/>
      <w:szCs w:val="24"/>
    </w:rPr>
  </w:style>
  <w:style w:type="paragraph" w:styleId="Footer">
    <w:name w:val="footer"/>
    <w:basedOn w:val="Normal"/>
    <w:link w:val="FooterChar"/>
    <w:uiPriority w:val="99"/>
    <w:unhideWhenUsed/>
    <w:rsid w:val="003F003B"/>
    <w:pPr>
      <w:tabs>
        <w:tab w:val="center" w:pos="4513"/>
        <w:tab w:val="right" w:pos="9026"/>
      </w:tabs>
    </w:pPr>
  </w:style>
  <w:style w:type="character" w:customStyle="1" w:styleId="FooterChar">
    <w:name w:val="Footer Char"/>
    <w:basedOn w:val="DefaultParagraphFont"/>
    <w:link w:val="Footer"/>
    <w:uiPriority w:val="99"/>
    <w:rsid w:val="003F003B"/>
    <w:rPr>
      <w:rFonts w:ascii="Arial" w:eastAsia="Cambria" w:hAnsi="Arial" w:cs="Times New Roman"/>
      <w:sz w:val="18"/>
      <w:szCs w:val="24"/>
    </w:rPr>
  </w:style>
  <w:style w:type="character" w:customStyle="1" w:styleId="Heading1Char">
    <w:name w:val="Heading 1 Char"/>
    <w:basedOn w:val="DefaultParagraphFont"/>
    <w:link w:val="Heading1"/>
    <w:uiPriority w:val="9"/>
    <w:rsid w:val="00AB3E8D"/>
    <w:rPr>
      <w:rFonts w:ascii="Arial" w:eastAsia="Times New Roman" w:hAnsi="Arial" w:cs="Times New Roman"/>
      <w:b/>
      <w:bCs/>
      <w:caps/>
      <w:color w:val="215868" w:themeColor="accent5" w:themeShade="80"/>
      <w:kern w:val="32"/>
      <w:szCs w:val="32"/>
    </w:rPr>
  </w:style>
  <w:style w:type="character" w:customStyle="1" w:styleId="Heading2Char">
    <w:name w:val="Heading 2 Char"/>
    <w:basedOn w:val="DefaultParagraphFont"/>
    <w:link w:val="Heading2"/>
    <w:rsid w:val="003F003B"/>
    <w:rPr>
      <w:rFonts w:ascii="Arial" w:eastAsia="Times New Roman" w:hAnsi="Arial" w:cs="Times New Roman"/>
      <w:b/>
      <w:bCs/>
      <w:iCs/>
      <w:color w:val="004876"/>
      <w:sz w:val="18"/>
      <w:szCs w:val="28"/>
    </w:rPr>
  </w:style>
  <w:style w:type="paragraph" w:styleId="BalloonText">
    <w:name w:val="Balloon Text"/>
    <w:basedOn w:val="Normal"/>
    <w:link w:val="BalloonTextChar"/>
    <w:uiPriority w:val="99"/>
    <w:semiHidden/>
    <w:unhideWhenUsed/>
    <w:rsid w:val="003F003B"/>
    <w:rPr>
      <w:rFonts w:ascii="Tahoma" w:hAnsi="Tahoma" w:cs="Tahoma"/>
      <w:sz w:val="16"/>
      <w:szCs w:val="16"/>
    </w:rPr>
  </w:style>
  <w:style w:type="character" w:customStyle="1" w:styleId="BalloonTextChar">
    <w:name w:val="Balloon Text Char"/>
    <w:basedOn w:val="DefaultParagraphFont"/>
    <w:link w:val="BalloonText"/>
    <w:uiPriority w:val="99"/>
    <w:semiHidden/>
    <w:rsid w:val="003F003B"/>
    <w:rPr>
      <w:rFonts w:ascii="Tahoma" w:eastAsia="Cambria" w:hAnsi="Tahoma" w:cs="Tahoma"/>
      <w:sz w:val="16"/>
      <w:szCs w:val="16"/>
    </w:rPr>
  </w:style>
  <w:style w:type="table" w:styleId="TableGrid">
    <w:name w:val="Table Grid"/>
    <w:basedOn w:val="TableNormal"/>
    <w:rsid w:val="00176D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aption">
    <w:name w:val="table caption"/>
    <w:basedOn w:val="BodyTextIndent"/>
    <w:rsid w:val="00E26BD5"/>
    <w:pPr>
      <w:widowControl w:val="0"/>
      <w:spacing w:after="0"/>
      <w:ind w:left="851" w:hanging="851"/>
      <w:jc w:val="both"/>
    </w:pPr>
    <w:rPr>
      <w:rFonts w:asciiTheme="minorHAnsi" w:eastAsia="Times New Roman" w:hAnsiTheme="minorHAnsi"/>
      <w:b/>
      <w:bCs/>
      <w:szCs w:val="20"/>
    </w:rPr>
  </w:style>
  <w:style w:type="paragraph" w:styleId="BodyTextIndent">
    <w:name w:val="Body Text Indent"/>
    <w:basedOn w:val="Normal"/>
    <w:link w:val="BodyTextIndentChar"/>
    <w:uiPriority w:val="99"/>
    <w:semiHidden/>
    <w:unhideWhenUsed/>
    <w:rsid w:val="00E26BD5"/>
    <w:pPr>
      <w:ind w:left="283"/>
    </w:pPr>
  </w:style>
  <w:style w:type="character" w:customStyle="1" w:styleId="BodyTextIndentChar">
    <w:name w:val="Body Text Indent Char"/>
    <w:basedOn w:val="DefaultParagraphFont"/>
    <w:link w:val="BodyTextIndent"/>
    <w:uiPriority w:val="99"/>
    <w:semiHidden/>
    <w:rsid w:val="00E26BD5"/>
    <w:rPr>
      <w:rFonts w:ascii="Arial" w:eastAsia="Cambria" w:hAnsi="Arial" w:cs="Times New Roman"/>
      <w:sz w:val="18"/>
      <w:szCs w:val="24"/>
    </w:rPr>
  </w:style>
  <w:style w:type="paragraph" w:styleId="BodyText">
    <w:name w:val="Body Text"/>
    <w:basedOn w:val="Normal"/>
    <w:link w:val="BodyTextChar"/>
    <w:uiPriority w:val="99"/>
    <w:semiHidden/>
    <w:unhideWhenUsed/>
    <w:rsid w:val="00E26BD5"/>
  </w:style>
  <w:style w:type="character" w:customStyle="1" w:styleId="BodyTextChar">
    <w:name w:val="Body Text Char"/>
    <w:basedOn w:val="DefaultParagraphFont"/>
    <w:link w:val="BodyText"/>
    <w:uiPriority w:val="99"/>
    <w:semiHidden/>
    <w:rsid w:val="00E26BD5"/>
    <w:rPr>
      <w:rFonts w:ascii="Arial" w:eastAsia="Cambria" w:hAnsi="Arial" w:cs="Times New Roman"/>
      <w:sz w:val="18"/>
      <w:szCs w:val="24"/>
    </w:rPr>
  </w:style>
  <w:style w:type="character" w:customStyle="1" w:styleId="Heading3Char">
    <w:name w:val="Heading 3 Char"/>
    <w:basedOn w:val="DefaultParagraphFont"/>
    <w:link w:val="Heading3"/>
    <w:uiPriority w:val="9"/>
    <w:rsid w:val="009827FE"/>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9827FE"/>
    <w:rPr>
      <w:rFonts w:asciiTheme="majorHAnsi" w:eastAsiaTheme="majorEastAsia" w:hAnsiTheme="majorHAnsi" w:cstheme="majorBidi"/>
      <w:i/>
      <w:iCs/>
      <w:color w:val="365F91" w:themeColor="accent1" w:themeShade="BF"/>
      <w:sz w:val="18"/>
      <w:szCs w:val="24"/>
    </w:rPr>
  </w:style>
  <w:style w:type="paragraph" w:styleId="ListParagraph">
    <w:name w:val="List Paragraph"/>
    <w:basedOn w:val="Normal"/>
    <w:uiPriority w:val="34"/>
    <w:qFormat/>
    <w:rsid w:val="009E62DC"/>
    <w:pPr>
      <w:ind w:left="720"/>
      <w:contextualSpacing/>
    </w:pPr>
  </w:style>
  <w:style w:type="character" w:styleId="CommentReference">
    <w:name w:val="annotation reference"/>
    <w:basedOn w:val="DefaultParagraphFont"/>
    <w:uiPriority w:val="99"/>
    <w:semiHidden/>
    <w:unhideWhenUsed/>
    <w:rsid w:val="00602163"/>
    <w:rPr>
      <w:sz w:val="16"/>
      <w:szCs w:val="16"/>
    </w:rPr>
  </w:style>
  <w:style w:type="paragraph" w:styleId="CommentText">
    <w:name w:val="annotation text"/>
    <w:basedOn w:val="Normal"/>
    <w:link w:val="CommentTextChar"/>
    <w:uiPriority w:val="99"/>
    <w:semiHidden/>
    <w:unhideWhenUsed/>
    <w:rsid w:val="00602163"/>
    <w:rPr>
      <w:sz w:val="20"/>
      <w:szCs w:val="20"/>
    </w:rPr>
  </w:style>
  <w:style w:type="character" w:customStyle="1" w:styleId="CommentTextChar">
    <w:name w:val="Comment Text Char"/>
    <w:basedOn w:val="DefaultParagraphFont"/>
    <w:link w:val="CommentText"/>
    <w:uiPriority w:val="99"/>
    <w:semiHidden/>
    <w:rsid w:val="00602163"/>
    <w:rPr>
      <w:rFonts w:ascii="Arial" w:eastAsia="Cambria" w:hAnsi="Arial" w:cs="Times New Roman"/>
      <w:sz w:val="20"/>
      <w:szCs w:val="20"/>
    </w:rPr>
  </w:style>
  <w:style w:type="paragraph" w:styleId="CommentSubject">
    <w:name w:val="annotation subject"/>
    <w:basedOn w:val="CommentText"/>
    <w:next w:val="CommentText"/>
    <w:link w:val="CommentSubjectChar"/>
    <w:uiPriority w:val="99"/>
    <w:semiHidden/>
    <w:unhideWhenUsed/>
    <w:rsid w:val="00602163"/>
    <w:rPr>
      <w:b/>
      <w:bCs/>
    </w:rPr>
  </w:style>
  <w:style w:type="character" w:customStyle="1" w:styleId="CommentSubjectChar">
    <w:name w:val="Comment Subject Char"/>
    <w:basedOn w:val="CommentTextChar"/>
    <w:link w:val="CommentSubject"/>
    <w:uiPriority w:val="99"/>
    <w:semiHidden/>
    <w:rsid w:val="00602163"/>
    <w:rPr>
      <w:rFonts w:ascii="Arial" w:eastAsia="Cambria" w:hAnsi="Arial"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4da834bacf8456d94e18d5d66490b90 xmlns="72567383-1e26-4692-bdad-5f5be69e1590">
      <Terms xmlns="http://schemas.microsoft.com/office/infopath/2007/PartnerControls">
        <TermInfo xmlns="http://schemas.microsoft.com/office/infopath/2007/PartnerControls">
          <TermName xmlns="http://schemas.microsoft.com/office/infopath/2007/PartnerControls">Victorian Fisheries Authority</TermName>
          <TermId xmlns="http://schemas.microsoft.com/office/infopath/2007/PartnerControls">03cedbca-4e15-4e6c-98c1-001cb1a1da76</TermId>
        </TermInfo>
      </Terms>
    </e4da834bacf8456d94e18d5d66490b90>
    <be9de15831a746f4b3f0ba041df97669 xmlns="72567383-1e26-4692-bdad-5f5be69e1590">
      <Terms xmlns="http://schemas.microsoft.com/office/infopath/2007/PartnerControls">
        <TermInfo xmlns="http://schemas.microsoft.com/office/infopath/2007/PartnerControls">
          <TermName xmlns="http://schemas.microsoft.com/office/infopath/2007/PartnerControls">Management ＆ Science</TermName>
          <TermId xmlns="http://schemas.microsoft.com/office/infopath/2007/PartnerControls">34c30a66-7301-4d74-b833-86e02b73fddf</TermId>
        </TermInfo>
      </Terms>
    </be9de15831a746f4b3f0ba041df97669>
    <TaxCatchAll xmlns="7c172610-25bb-46a1-b16f-66bb4eaf823a">
      <Value>2</Value>
      <Value>1</Value>
    </TaxCatchAll>
    <f3ed7f362db545f782d865836adbb2f0 xmlns="72567383-1e26-4692-bdad-5f5be69e1590">
      <Terms xmlns="http://schemas.microsoft.com/office/infopath/2007/PartnerControls"/>
    </f3ed7f362db545f782d865836adbb2f0>
    <f05bd79f208a407db67995dd77812e30 xmlns="72567383-1e26-4692-bdad-5f5be69e1590">
      <Terms xmlns="http://schemas.microsoft.com/office/infopath/2007/PartnerControls"/>
    </f05bd79f208a407db67995dd77812e30>
    <d8b18ebf729c4d56932fa517449ed5cb xmlns="72567383-1e26-4692-bdad-5f5be69e1590">
      <Terms xmlns="http://schemas.microsoft.com/office/infopath/2007/PartnerControls"/>
    </d8b18ebf729c4d56932fa517449ed5cb>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EDJTR Document" ma:contentTypeID="0x010100611F6414DFB111E7BA88F9DF1743E317009352B53F7B4531429E64425F88C8348C" ma:contentTypeVersion="23" ma:contentTypeDescription="DEDJTR Document" ma:contentTypeScope="" ma:versionID="8b153be0eaed73d2365a0c908fce8761">
  <xsd:schema xmlns:xsd="http://www.w3.org/2001/XMLSchema" xmlns:xs="http://www.w3.org/2001/XMLSchema" xmlns:p="http://schemas.microsoft.com/office/2006/metadata/properties" xmlns:ns2="72567383-1e26-4692-bdad-5f5be69e1590" xmlns:ns3="7c172610-25bb-46a1-b16f-66bb4eaf823a" xmlns:ns4="695a8670-8810-4d9d-b8f3-c67e634357a6" targetNamespace="http://schemas.microsoft.com/office/2006/metadata/properties" ma:root="true" ma:fieldsID="b1abb8be802870c2b664e14b585cf7c1" ns2:_="" ns3:_="" ns4:_="">
    <xsd:import namespace="72567383-1e26-4692-bdad-5f5be69e1590"/>
    <xsd:import namespace="7c172610-25bb-46a1-b16f-66bb4eaf823a"/>
    <xsd:import namespace="695a8670-8810-4d9d-b8f3-c67e634357a6"/>
    <xsd:element name="properties">
      <xsd:complexType>
        <xsd:sequence>
          <xsd:element name="documentManagement">
            <xsd:complexType>
              <xsd:all>
                <xsd:element ref="ns2:e4da834bacf8456d94e18d5d66490b90" minOccurs="0"/>
                <xsd:element ref="ns3:TaxCatchAll" minOccurs="0"/>
                <xsd:element ref="ns3:TaxCatchAllLabel" minOccurs="0"/>
                <xsd:element ref="ns2:be9de15831a746f4b3f0ba041df97669" minOccurs="0"/>
                <xsd:element ref="ns2:f3ed7f362db545f782d865836adbb2f0" minOccurs="0"/>
                <xsd:element ref="ns2:f05bd79f208a407db67995dd77812e30" minOccurs="0"/>
                <xsd:element ref="ns2:d8b18ebf729c4d56932fa517449ed5cb"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3:SharedWithUsers" minOccurs="0"/>
                <xsd:element ref="ns3:SharedWithDetails"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567383-1e26-4692-bdad-5f5be69e1590" elementFormDefault="qualified">
    <xsd:import namespace="http://schemas.microsoft.com/office/2006/documentManagement/types"/>
    <xsd:import namespace="http://schemas.microsoft.com/office/infopath/2007/PartnerControls"/>
    <xsd:element name="e4da834bacf8456d94e18d5d66490b90" ma:index="8" nillable="true" ma:taxonomy="true" ma:internalName="e4da834bacf8456d94e18d5d66490b90" ma:taxonomyFieldName="DEDJTRGroup" ma:displayName="Group" ma:indexed="true" ma:fieldId="{e4da834b-acf8-456d-94e1-8d5d66490b9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be9de15831a746f4b3f0ba041df97669" ma:index="12" nillable="true" ma:taxonomy="true" ma:internalName="be9de15831a746f4b3f0ba041df97669" ma:taxonomyFieldName="DEDJTRDivision" ma:displayName="Division" ma:indexed="true" ma:fieldId="{be9de158-31a7-46f4-b3f0-ba041df97669}"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3ed7f362db545f782d865836adbb2f0" ma:index="14" nillable="true" ma:taxonomy="true" ma:internalName="f3ed7f362db545f782d865836adbb2f0" ma:taxonomyFieldName="DEDJTRBranch" ma:displayName="Branch" ma:indexed="true" ma:fieldId="{f3ed7f36-2db5-45f7-82d8-65836adbb2f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f05bd79f208a407db67995dd77812e30" ma:index="16" nillable="true" ma:taxonomy="true" ma:internalName="f05bd79f208a407db67995dd77812e30" ma:taxonomyFieldName="DEDJTRSection" ma:displayName="Section" ma:indexed="true" ma:fieldId="{f05bd79f-208a-407d-b679-95dd77812e30}" ma:sspId="9292314e-c97d-49c1-8ae7-4cb6e1c4f97c" ma:termSetId="da3e7bcb-eeaa-4707-acea-ba4da45cec05" ma:anchorId="00000000-0000-0000-0000-000000000000" ma:open="false" ma:isKeyword="false">
      <xsd:complexType>
        <xsd:sequence>
          <xsd:element ref="pc:Terms" minOccurs="0" maxOccurs="1"/>
        </xsd:sequence>
      </xsd:complexType>
    </xsd:element>
    <xsd:element name="d8b18ebf729c4d56932fa517449ed5cb" ma:index="18" nillable="true" ma:taxonomy="true" ma:internalName="d8b18ebf729c4d56932fa517449ed5cb" ma:taxonomyFieldName="DEDJTRSecurityClassification" ma:displayName="Security Classification" ma:fieldId="{d8b18ebf-729c-4d56-932f-a517449ed5cb}" ma:sspId="9292314e-c97d-49c1-8ae7-4cb6e1c4f97c" ma:termSetId="e639de15-6b57-4d67-aed9-4113af6bf4b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c172610-25bb-46a1-b16f-66bb4eaf823a"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cfc55e24-ad83-413a-8bc7-ed8d08f8b94d}" ma:internalName="TaxCatchAll" ma:showField="CatchAllData"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cfc55e24-ad83-413a-8bc7-ed8d08f8b94d}" ma:internalName="TaxCatchAllLabel" ma:readOnly="true" ma:showField="CatchAllDataLabel" ma:web="7c172610-25bb-46a1-b16f-66bb4eaf823a">
      <xsd:complexType>
        <xsd:complexContent>
          <xsd:extension base="dms:MultiChoiceLookup">
            <xsd:sequence>
              <xsd:element name="Value" type="dms:Lookup" maxOccurs="unbounded" minOccurs="0" nillable="true"/>
            </xsd:sequence>
          </xsd:extension>
        </xsd:complexContent>
      </xsd:complexType>
    </xsd:element>
    <xsd:element name="SharedWithUsers" ma:index="2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7"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5a8670-8810-4d9d-b8f3-c67e634357a6" elementFormDefault="qualified">
    <xsd:import namespace="http://schemas.microsoft.com/office/2006/documentManagement/types"/>
    <xsd:import namespace="http://schemas.microsoft.com/office/infopath/2007/PartnerControls"/>
    <xsd:element name="MediaServiceMetadata" ma:index="20" nillable="true" ma:displayName="MediaServiceMetadata" ma:hidden="true" ma:internalName="MediaServiceMetadata" ma:readOnly="true">
      <xsd:simpleType>
        <xsd:restriction base="dms:Note"/>
      </xsd:simpleType>
    </xsd:element>
    <xsd:element name="MediaServiceFastMetadata" ma:index="21" nillable="true" ma:displayName="MediaServiceFastMetadata" ma:hidden="true" ma:internalName="MediaServiceFastMetadata" ma:readOnly="true">
      <xsd:simpleType>
        <xsd:restriction base="dms:Note"/>
      </xsd:simpleType>
    </xsd:element>
    <xsd:element name="MediaServiceDateTaken" ma:index="22" nillable="true" ma:displayName="MediaServiceDateTaken" ma:hidden="true" ma:internalName="MediaServiceDateTaken" ma:readOnly="true">
      <xsd:simpleType>
        <xsd:restriction base="dms:Text"/>
      </xsd:simpleType>
    </xsd:element>
    <xsd:element name="MediaServiceAutoTags" ma:index="23" nillable="true" ma:displayName="Tags" ma:internalName="MediaServiceAutoTags" ma:readOnly="true">
      <xsd:simpleType>
        <xsd:restriction base="dms:Text"/>
      </xsd:simpleType>
    </xsd:element>
    <xsd:element name="MediaServiceOCR" ma:index="24" nillable="true" ma:displayName="Extracted Text" ma:internalName="MediaServiceOCR" ma:readOnly="true">
      <xsd:simpleType>
        <xsd:restriction base="dms:Note">
          <xsd:maxLength value="255"/>
        </xsd:restriction>
      </xsd:simpleType>
    </xsd:element>
    <xsd:element name="MediaServiceLocation" ma:index="25" nillable="true" ma:displayName="Location" ma:internalName="MediaServiceLocation" ma:readOnly="true">
      <xsd:simpleType>
        <xsd:restriction base="dms:Text"/>
      </xsd:simpleType>
    </xsd:element>
    <xsd:element name="MediaServiceGenerationTime" ma:index="28" nillable="true" ma:displayName="MediaServiceGenerationTime" ma:hidden="true" ma:internalName="MediaServiceGenerationTime" ma:readOnly="true">
      <xsd:simpleType>
        <xsd:restriction base="dms:Text"/>
      </xsd:simpleType>
    </xsd:element>
    <xsd:element name="MediaServiceEventHashCode" ma:index="2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D7EB3B-A9B5-4E19-99CB-A676C863386B}">
  <ds:schemaRefs>
    <ds:schemaRef ds:uri="http://schemas.microsoft.com/office/2006/documentManagement/types"/>
    <ds:schemaRef ds:uri="http://schemas.openxmlformats.org/package/2006/metadata/core-properties"/>
    <ds:schemaRef ds:uri="695a8670-8810-4d9d-b8f3-c67e634357a6"/>
    <ds:schemaRef ds:uri="7c172610-25bb-46a1-b16f-66bb4eaf823a"/>
    <ds:schemaRef ds:uri="http://purl.org/dc/elements/1.1/"/>
    <ds:schemaRef ds:uri="http://schemas.microsoft.com/office/2006/metadata/properties"/>
    <ds:schemaRef ds:uri="http://purl.org/dc/terms/"/>
    <ds:schemaRef ds:uri="72567383-1e26-4692-bdad-5f5be69e1590"/>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46AA8F22-109C-4439-B122-7933C30FA018}">
  <ds:schemaRefs>
    <ds:schemaRef ds:uri="http://schemas.microsoft.com/sharepoint/v3/contenttype/forms"/>
  </ds:schemaRefs>
</ds:datastoreItem>
</file>

<file path=customXml/itemProps3.xml><?xml version="1.0" encoding="utf-8"?>
<ds:datastoreItem xmlns:ds="http://schemas.openxmlformats.org/officeDocument/2006/customXml" ds:itemID="{DE358DEF-AA2B-40C0-907F-6F006956D55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567383-1e26-4692-bdad-5f5be69e1590"/>
    <ds:schemaRef ds:uri="7c172610-25bb-46a1-b16f-66bb4eaf823a"/>
    <ds:schemaRef ds:uri="695a8670-8810-4d9d-b8f3-c67e634357a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282795D-C64F-4708-B115-85DDA3E217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1540</Words>
  <Characters>8779</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Stephanie Balint (DEDJTR)</dc:creator>
  <cp:lastModifiedBy>Kate A Simpson (VFA)</cp:lastModifiedBy>
  <cp:revision>2</cp:revision>
  <cp:lastPrinted>2018-06-28T01:07:00Z</cp:lastPrinted>
  <dcterms:created xsi:type="dcterms:W3CDTF">2019-07-18T06:32:00Z</dcterms:created>
  <dcterms:modified xsi:type="dcterms:W3CDTF">2019-07-18T06:32:00Z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EDJTRDivision">
    <vt:lpwstr>2;#Management ＆ Science|34c30a66-7301-4d74-b833-86e02b73fddf</vt:lpwstr>
  </property>
  <property fmtid="{D5CDD505-2E9C-101B-9397-08002B2CF9AE}" pid="3" name="ContentTypeId">
    <vt:lpwstr>0x010100611F6414DFB111E7BA88F9DF1743E317009352B53F7B4531429E64425F88C8348C</vt:lpwstr>
  </property>
  <property fmtid="{D5CDD505-2E9C-101B-9397-08002B2CF9AE}" pid="4" name="DEDJTRSecurityClassification">
    <vt:lpwstr/>
  </property>
  <property fmtid="{D5CDD505-2E9C-101B-9397-08002B2CF9AE}" pid="5" name="DEDJTRSection">
    <vt:lpwstr/>
  </property>
  <property fmtid="{D5CDD505-2E9C-101B-9397-08002B2CF9AE}" pid="6" name="DEDJTRBranch">
    <vt:lpwstr/>
  </property>
  <property fmtid="{D5CDD505-2E9C-101B-9397-08002B2CF9AE}" pid="7" name="DEDJTRGroup">
    <vt:lpwstr>1;#Victorian Fisheries Authority|03cedbca-4e15-4e6c-98c1-001cb1a1da76</vt:lpwstr>
  </property>
</Properties>
</file>