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3858" w14:textId="199C194A" w:rsidR="000E0939" w:rsidRPr="00526B09" w:rsidRDefault="007531FE">
      <w:pPr>
        <w:rPr>
          <w:b/>
          <w:sz w:val="32"/>
        </w:rPr>
      </w:pPr>
      <w:r>
        <w:rPr>
          <w:b/>
          <w:sz w:val="32"/>
        </w:rPr>
        <w:t>Public s</w:t>
      </w:r>
      <w:r w:rsidR="00526B09" w:rsidRPr="00526B09">
        <w:rPr>
          <w:b/>
          <w:sz w:val="32"/>
        </w:rPr>
        <w:t xml:space="preserve">ubmissions on the </w:t>
      </w:r>
      <w:r w:rsidR="00047A21">
        <w:rPr>
          <w:b/>
          <w:sz w:val="32"/>
        </w:rPr>
        <w:t xml:space="preserve">2019/20 </w:t>
      </w:r>
      <w:r w:rsidR="00412EB8">
        <w:rPr>
          <w:b/>
          <w:sz w:val="32"/>
        </w:rPr>
        <w:t xml:space="preserve">Western </w:t>
      </w:r>
      <w:r w:rsidR="00047A21">
        <w:rPr>
          <w:b/>
          <w:sz w:val="32"/>
        </w:rPr>
        <w:t>Zone</w:t>
      </w:r>
      <w:r w:rsidR="00526B09" w:rsidRPr="00526B09">
        <w:rPr>
          <w:b/>
          <w:sz w:val="32"/>
        </w:rPr>
        <w:t xml:space="preserve"> </w:t>
      </w:r>
      <w:r w:rsidR="000E0939" w:rsidRPr="00526B09">
        <w:rPr>
          <w:b/>
          <w:sz w:val="32"/>
        </w:rPr>
        <w:t>Abalone Total Allowable Commercial Catch</w:t>
      </w:r>
      <w:r w:rsidR="00526B09" w:rsidRPr="00526B09">
        <w:rPr>
          <w:b/>
          <w:sz w:val="32"/>
        </w:rPr>
        <w:t xml:space="preserve"> (TACC)</w:t>
      </w:r>
    </w:p>
    <w:tbl>
      <w:tblPr>
        <w:tblStyle w:val="TableGrid"/>
        <w:tblW w:w="14850" w:type="dxa"/>
        <w:tblLook w:val="04A0" w:firstRow="1" w:lastRow="0" w:firstColumn="1" w:lastColumn="0" w:noHBand="0" w:noVBand="1"/>
        <w:tblCaption w:val="Submissions on the 2017/18 Abalone Total Allowable Commercial Catch"/>
      </w:tblPr>
      <w:tblGrid>
        <w:gridCol w:w="2376"/>
        <w:gridCol w:w="12474"/>
      </w:tblGrid>
      <w:tr w:rsidR="00047A21" w:rsidRPr="0005338C" w14:paraId="758C917E" w14:textId="77777777" w:rsidTr="0071612A">
        <w:trPr>
          <w:tblHeader/>
        </w:trPr>
        <w:tc>
          <w:tcPr>
            <w:tcW w:w="2376" w:type="dxa"/>
          </w:tcPr>
          <w:p w14:paraId="7E0F5C76" w14:textId="77777777" w:rsidR="00047A21" w:rsidRPr="0005338C" w:rsidRDefault="00047A21" w:rsidP="00855B91">
            <w:pPr>
              <w:spacing w:line="240" w:lineRule="atLeast"/>
              <w:rPr>
                <w:rFonts w:cs="Arial"/>
                <w:b/>
                <w:i/>
                <w:sz w:val="24"/>
                <w:szCs w:val="24"/>
              </w:rPr>
            </w:pPr>
            <w:r w:rsidRPr="0005338C">
              <w:rPr>
                <w:rFonts w:cs="Arial"/>
                <w:b/>
                <w:i/>
                <w:sz w:val="24"/>
                <w:szCs w:val="24"/>
              </w:rPr>
              <w:t>Submitter</w:t>
            </w:r>
          </w:p>
        </w:tc>
        <w:tc>
          <w:tcPr>
            <w:tcW w:w="12474" w:type="dxa"/>
          </w:tcPr>
          <w:p w14:paraId="2E5B099D" w14:textId="77777777" w:rsidR="00047A21" w:rsidRPr="0005338C" w:rsidRDefault="00047A21" w:rsidP="00855B91">
            <w:pPr>
              <w:spacing w:line="240" w:lineRule="atLeast"/>
              <w:rPr>
                <w:rFonts w:cs="Arial"/>
                <w:b/>
                <w:i/>
                <w:sz w:val="24"/>
                <w:szCs w:val="24"/>
              </w:rPr>
            </w:pPr>
            <w:r w:rsidRPr="0005338C">
              <w:rPr>
                <w:rFonts w:cs="Arial"/>
                <w:b/>
                <w:i/>
                <w:sz w:val="24"/>
                <w:szCs w:val="24"/>
              </w:rPr>
              <w:t>Submission</w:t>
            </w:r>
            <w:bookmarkStart w:id="0" w:name="_GoBack"/>
            <w:bookmarkEnd w:id="0"/>
          </w:p>
        </w:tc>
      </w:tr>
      <w:tr w:rsidR="00047A21" w:rsidRPr="0005338C" w14:paraId="32994EFA" w14:textId="77777777" w:rsidTr="0071612A">
        <w:tc>
          <w:tcPr>
            <w:tcW w:w="2376" w:type="dxa"/>
          </w:tcPr>
          <w:p w14:paraId="6F08A7A3" w14:textId="15630E86" w:rsidR="00047A21" w:rsidRPr="00855B91" w:rsidRDefault="00AF3BFB" w:rsidP="00855B91">
            <w:pPr>
              <w:spacing w:line="240" w:lineRule="atLeast"/>
              <w:rPr>
                <w:rFonts w:cs="Arial"/>
              </w:rPr>
            </w:pPr>
            <w:r>
              <w:rPr>
                <w:rFonts w:cs="Arial"/>
              </w:rPr>
              <w:t>Kerry Rowe</w:t>
            </w:r>
          </w:p>
        </w:tc>
        <w:tc>
          <w:tcPr>
            <w:tcW w:w="12474" w:type="dxa"/>
          </w:tcPr>
          <w:p w14:paraId="14A8FA55" w14:textId="77777777" w:rsidR="00187836" w:rsidRPr="00350BA2" w:rsidRDefault="00187836" w:rsidP="00187836">
            <w:pPr>
              <w:rPr>
                <w:rFonts w:eastAsia="Times New Roman" w:cstheme="minorHAnsi"/>
              </w:rPr>
            </w:pPr>
            <w:r w:rsidRPr="00350BA2">
              <w:rPr>
                <w:rFonts w:eastAsia="Times New Roman" w:cstheme="minorHAnsi"/>
              </w:rPr>
              <w:t>I agree with the summary and the outcomes from the Western Zone meeting held in Port fairy on 15/01/2019.</w:t>
            </w:r>
          </w:p>
          <w:p w14:paraId="2C8CDA24" w14:textId="3FF17C62" w:rsidR="00047A21" w:rsidRPr="00187836" w:rsidRDefault="00187836" w:rsidP="00187836">
            <w:pPr>
              <w:rPr>
                <w:rFonts w:eastAsia="Times New Roman" w:cstheme="minorHAnsi"/>
              </w:rPr>
            </w:pPr>
            <w:r w:rsidRPr="00350BA2">
              <w:rPr>
                <w:rFonts w:eastAsia="Times New Roman" w:cstheme="minorHAnsi"/>
              </w:rPr>
              <w:t xml:space="preserve">It is a </w:t>
            </w:r>
            <w:r w:rsidRPr="00350BA2">
              <w:rPr>
                <w:rFonts w:eastAsia="Times New Roman" w:cstheme="minorHAnsi"/>
              </w:rPr>
              <w:t>well-structured</w:t>
            </w:r>
            <w:r w:rsidRPr="00350BA2">
              <w:rPr>
                <w:rFonts w:eastAsia="Times New Roman" w:cstheme="minorHAnsi"/>
              </w:rPr>
              <w:t xml:space="preserve"> process that has a very credible and safe outcome. </w:t>
            </w:r>
          </w:p>
        </w:tc>
      </w:tr>
      <w:tr w:rsidR="00047A21" w:rsidRPr="0005338C" w14:paraId="550AFBFF" w14:textId="77777777" w:rsidTr="0071612A">
        <w:tc>
          <w:tcPr>
            <w:tcW w:w="2376" w:type="dxa"/>
          </w:tcPr>
          <w:p w14:paraId="0C6753EB" w14:textId="21E2AE24" w:rsidR="00047A21" w:rsidRPr="00855B91" w:rsidRDefault="00187836" w:rsidP="00855B91">
            <w:pPr>
              <w:spacing w:line="240" w:lineRule="atLeast"/>
              <w:rPr>
                <w:rFonts w:cs="Arial"/>
              </w:rPr>
            </w:pPr>
            <w:r>
              <w:rPr>
                <w:rFonts w:cs="Arial"/>
              </w:rPr>
              <w:t>Harry Peeters (WADA)</w:t>
            </w:r>
          </w:p>
        </w:tc>
        <w:tc>
          <w:tcPr>
            <w:tcW w:w="12474" w:type="dxa"/>
          </w:tcPr>
          <w:p w14:paraId="6D82FC03" w14:textId="0D8A49AF" w:rsidR="00047A21" w:rsidRPr="00F34EB9" w:rsidRDefault="00F34EB9" w:rsidP="00F34EB9">
            <w:pPr>
              <w:rPr>
                <w:rFonts w:eastAsia="Times New Roman" w:cstheme="minorHAnsi"/>
              </w:rPr>
            </w:pPr>
            <w:r w:rsidRPr="00350BA2">
              <w:rPr>
                <w:rFonts w:eastAsia="Times New Roman" w:cstheme="minorHAnsi"/>
              </w:rPr>
              <w:t>The draft Further Abalone Quota Order and Draft Fisheries Notice specifies outcomes that are in accordance with our Western Zone Quota Workshop held in Port Fairy on 15/1/19.  WADA is in agreeance with both the Draft order and draft notice.</w:t>
            </w:r>
          </w:p>
        </w:tc>
      </w:tr>
      <w:tr w:rsidR="00047A21" w:rsidRPr="0005338C" w14:paraId="51725532" w14:textId="77777777" w:rsidTr="0071612A">
        <w:tc>
          <w:tcPr>
            <w:tcW w:w="2376" w:type="dxa"/>
          </w:tcPr>
          <w:p w14:paraId="35CF0A71" w14:textId="7A640C87" w:rsidR="00047A21" w:rsidRPr="00855B91" w:rsidRDefault="0041089E" w:rsidP="00855B91">
            <w:pPr>
              <w:spacing w:line="240" w:lineRule="atLeast"/>
              <w:rPr>
                <w:rFonts w:cs="Arial"/>
              </w:rPr>
            </w:pPr>
            <w:r>
              <w:rPr>
                <w:rFonts w:cs="Arial"/>
              </w:rPr>
              <w:t>Shannon Hurley (VNPA)</w:t>
            </w:r>
          </w:p>
        </w:tc>
        <w:tc>
          <w:tcPr>
            <w:tcW w:w="12474" w:type="dxa"/>
          </w:tcPr>
          <w:p w14:paraId="238A0EFA" w14:textId="77777777" w:rsidR="0041089E" w:rsidRPr="00F95AF0" w:rsidRDefault="0041089E" w:rsidP="0041089E">
            <w:pPr>
              <w:rPr>
                <w:rFonts w:eastAsia="Times New Roman" w:cstheme="minorHAnsi"/>
              </w:rPr>
            </w:pPr>
            <w:r w:rsidRPr="00F95AF0">
              <w:rPr>
                <w:rFonts w:eastAsia="Times New Roman" w:cstheme="minorHAnsi"/>
              </w:rPr>
              <w:t>The Victorian National Parks Association (VNPA) thanks the Victorian Fisheries Authority for the opportunity to comment on the draft Further Abalone Quota Orders (FAQOs) and associated draft Fisheries Notices for the 2019/20 commercial abalone fishing season.</w:t>
            </w:r>
          </w:p>
          <w:p w14:paraId="026D59C7" w14:textId="77777777" w:rsidR="0041089E" w:rsidRPr="00F95AF0" w:rsidRDefault="0041089E" w:rsidP="0041089E">
            <w:pPr>
              <w:rPr>
                <w:rFonts w:eastAsia="Times New Roman" w:cstheme="minorHAnsi"/>
              </w:rPr>
            </w:pPr>
            <w:r w:rsidRPr="00F95AF0">
              <w:rPr>
                <w:rFonts w:eastAsia="Times New Roman" w:cstheme="minorHAnsi"/>
              </w:rPr>
              <w:t>The VNPA is a leading community conservation organisation and has been advocating for the protection of Victoria’s biodiversity for over 60 years.</w:t>
            </w:r>
          </w:p>
          <w:p w14:paraId="3819C950" w14:textId="77777777" w:rsidR="0041089E" w:rsidRPr="00F95AF0" w:rsidRDefault="0041089E" w:rsidP="0041089E">
            <w:pPr>
              <w:rPr>
                <w:rFonts w:eastAsia="Times New Roman" w:cstheme="minorHAnsi"/>
              </w:rPr>
            </w:pPr>
            <w:r w:rsidRPr="00F95AF0">
              <w:rPr>
                <w:rFonts w:eastAsia="Times New Roman" w:cstheme="minorHAnsi"/>
              </w:rPr>
              <w:t>The Abalone Fishery is one of Victoria’s main and highly valuable fisheries. Given their importance, it is critical they are managed based incorporating ecological sustainable principles, at an ecosystem-wide level, and not a single species approach.</w:t>
            </w:r>
          </w:p>
          <w:p w14:paraId="504CC75F" w14:textId="77777777" w:rsidR="0041089E" w:rsidRPr="00F95AF0" w:rsidRDefault="0041089E" w:rsidP="0041089E">
            <w:pPr>
              <w:rPr>
                <w:rFonts w:eastAsia="Times New Roman" w:cstheme="minorHAnsi"/>
              </w:rPr>
            </w:pPr>
            <w:r w:rsidRPr="00F95AF0">
              <w:rPr>
                <w:rFonts w:eastAsia="Times New Roman" w:cstheme="minorHAnsi"/>
              </w:rPr>
              <w:t>Given many of the biological processes and ecological relationships are not well understood, we question whether the current recommended Total Allowable Commercial Catches (TACC) will be enough to sustain the fishery in the long-term, considering the imminent impacts.</w:t>
            </w:r>
          </w:p>
          <w:p w14:paraId="2C897908" w14:textId="77777777" w:rsidR="0041089E" w:rsidRPr="00F95AF0" w:rsidRDefault="0041089E" w:rsidP="0041089E">
            <w:pPr>
              <w:rPr>
                <w:rFonts w:eastAsia="Times New Roman" w:cstheme="minorHAnsi"/>
              </w:rPr>
            </w:pPr>
            <w:r w:rsidRPr="00F95AF0">
              <w:rPr>
                <w:rFonts w:eastAsia="Times New Roman" w:cstheme="minorHAnsi"/>
              </w:rPr>
              <w:t>Imminent impacts likely to impact the fishery include climate change and sea urchin invasions from warming waters, which could provide direct competition with the abalone fishery.</w:t>
            </w:r>
          </w:p>
          <w:p w14:paraId="30F4E280" w14:textId="77777777" w:rsidR="0041089E" w:rsidRPr="00F95AF0" w:rsidRDefault="0041089E" w:rsidP="0041089E">
            <w:pPr>
              <w:rPr>
                <w:rFonts w:eastAsia="Times New Roman" w:cstheme="minorHAnsi"/>
              </w:rPr>
            </w:pPr>
            <w:r w:rsidRPr="00F95AF0">
              <w:rPr>
                <w:rFonts w:eastAsia="Times New Roman" w:cstheme="minorHAnsi"/>
              </w:rPr>
              <w:t xml:space="preserve">In our view, it is important that these threats are factored into the </w:t>
            </w:r>
            <w:proofErr w:type="gramStart"/>
            <w:r w:rsidRPr="00F95AF0">
              <w:rPr>
                <w:rFonts w:eastAsia="Times New Roman" w:cstheme="minorHAnsi"/>
              </w:rPr>
              <w:t>decision making</w:t>
            </w:r>
            <w:proofErr w:type="gramEnd"/>
            <w:r w:rsidRPr="00F95AF0">
              <w:rPr>
                <w:rFonts w:eastAsia="Times New Roman" w:cstheme="minorHAnsi"/>
              </w:rPr>
              <w:t xml:space="preserve"> process in setting the TACC for the central and western zones.</w:t>
            </w:r>
          </w:p>
          <w:p w14:paraId="3DA223FD" w14:textId="77777777" w:rsidR="0041089E" w:rsidRPr="00F95AF0" w:rsidRDefault="0041089E" w:rsidP="0041089E">
            <w:pPr>
              <w:rPr>
                <w:rFonts w:eastAsia="Times New Roman" w:cstheme="minorHAnsi"/>
              </w:rPr>
            </w:pPr>
            <w:r w:rsidRPr="00F95AF0">
              <w:rPr>
                <w:rFonts w:eastAsia="Times New Roman" w:cstheme="minorHAnsi"/>
              </w:rPr>
              <w:t xml:space="preserve">The reduction of the TACC for </w:t>
            </w:r>
            <w:proofErr w:type="spellStart"/>
            <w:r w:rsidRPr="00F95AF0">
              <w:rPr>
                <w:rFonts w:eastAsia="Times New Roman" w:cstheme="minorHAnsi"/>
              </w:rPr>
              <w:t>blacklip</w:t>
            </w:r>
            <w:proofErr w:type="spellEnd"/>
            <w:r w:rsidRPr="00F95AF0">
              <w:rPr>
                <w:rFonts w:eastAsia="Times New Roman" w:cstheme="minorHAnsi"/>
              </w:rPr>
              <w:t xml:space="preserve"> abalone in the central zone and additional management requirements for </w:t>
            </w:r>
            <w:proofErr w:type="spellStart"/>
            <w:r w:rsidRPr="00F95AF0">
              <w:rPr>
                <w:rFonts w:eastAsia="Times New Roman" w:cstheme="minorHAnsi"/>
              </w:rPr>
              <w:t>greenlip</w:t>
            </w:r>
            <w:proofErr w:type="spellEnd"/>
            <w:r w:rsidRPr="00F95AF0">
              <w:rPr>
                <w:rFonts w:eastAsia="Times New Roman" w:cstheme="minorHAnsi"/>
              </w:rPr>
              <w:t xml:space="preserve"> are welcome, however even the FRDC lists the central zone </w:t>
            </w:r>
            <w:proofErr w:type="spellStart"/>
            <w:r w:rsidRPr="00F95AF0">
              <w:rPr>
                <w:rFonts w:eastAsia="Times New Roman" w:cstheme="minorHAnsi"/>
              </w:rPr>
              <w:t>blacklip</w:t>
            </w:r>
            <w:proofErr w:type="spellEnd"/>
            <w:r w:rsidRPr="00F95AF0">
              <w:rPr>
                <w:rFonts w:eastAsia="Times New Roman" w:cstheme="minorHAnsi"/>
              </w:rPr>
              <w:t xml:space="preserve"> fishery as transitional depleting and </w:t>
            </w:r>
            <w:proofErr w:type="spellStart"/>
            <w:r w:rsidRPr="00F95AF0">
              <w:rPr>
                <w:rFonts w:eastAsia="Times New Roman" w:cstheme="minorHAnsi"/>
              </w:rPr>
              <w:t>greenlip</w:t>
            </w:r>
            <w:proofErr w:type="spellEnd"/>
            <w:r w:rsidRPr="00F95AF0">
              <w:rPr>
                <w:rFonts w:eastAsia="Times New Roman" w:cstheme="minorHAnsi"/>
              </w:rPr>
              <w:t xml:space="preserve"> as overfished.</w:t>
            </w:r>
          </w:p>
          <w:p w14:paraId="104B726F" w14:textId="77777777" w:rsidR="0041089E" w:rsidRPr="00F95AF0" w:rsidRDefault="0041089E" w:rsidP="0041089E">
            <w:pPr>
              <w:rPr>
                <w:rFonts w:eastAsia="Times New Roman" w:cstheme="minorHAnsi"/>
              </w:rPr>
            </w:pPr>
            <w:r w:rsidRPr="00F95AF0">
              <w:rPr>
                <w:rFonts w:eastAsia="Times New Roman" w:cstheme="minorHAnsi"/>
              </w:rPr>
              <w:t>Feedback from the western zone workshop summary states:</w:t>
            </w:r>
          </w:p>
          <w:p w14:paraId="3971D7C7" w14:textId="77777777" w:rsidR="0041089E" w:rsidRDefault="0041089E" w:rsidP="0041089E">
            <w:pPr>
              <w:rPr>
                <w:rFonts w:eastAsia="Times New Roman" w:cstheme="minorHAnsi"/>
              </w:rPr>
            </w:pPr>
            <w:r w:rsidRPr="00F95AF0">
              <w:rPr>
                <w:rFonts w:eastAsia="Times New Roman" w:cstheme="minorHAnsi"/>
              </w:rPr>
              <w:t>“</w:t>
            </w:r>
            <w:proofErr w:type="gramStart"/>
            <w:r w:rsidRPr="00F95AF0">
              <w:rPr>
                <w:rFonts w:eastAsia="Times New Roman" w:cstheme="minorHAnsi"/>
              </w:rPr>
              <w:t>…..</w:t>
            </w:r>
            <w:proofErr w:type="gramEnd"/>
            <w:r w:rsidRPr="00F95AF0">
              <w:rPr>
                <w:rFonts w:eastAsia="Times New Roman" w:cstheme="minorHAnsi"/>
              </w:rPr>
              <w:t>this is still a recovering fishery and a cautious approach should be taken”</w:t>
            </w:r>
          </w:p>
          <w:p w14:paraId="5F6FC3C2" w14:textId="77777777" w:rsidR="0041089E" w:rsidRDefault="0041089E" w:rsidP="0041089E">
            <w:pPr>
              <w:pStyle w:val="Default"/>
              <w:rPr>
                <w:sz w:val="22"/>
                <w:szCs w:val="22"/>
              </w:rPr>
            </w:pPr>
            <w:r>
              <w:rPr>
                <w:sz w:val="22"/>
                <w:szCs w:val="22"/>
              </w:rPr>
              <w:t xml:space="preserve">Given this, we question the need to increase TACC from 70 to 73.2 tonnes for </w:t>
            </w:r>
            <w:proofErr w:type="spellStart"/>
            <w:r>
              <w:rPr>
                <w:sz w:val="22"/>
                <w:szCs w:val="22"/>
              </w:rPr>
              <w:t>blacklip</w:t>
            </w:r>
            <w:proofErr w:type="spellEnd"/>
            <w:r>
              <w:rPr>
                <w:sz w:val="22"/>
                <w:szCs w:val="22"/>
              </w:rPr>
              <w:t xml:space="preserve"> abalone in the western zone, and if </w:t>
            </w:r>
            <w:proofErr w:type="spellStart"/>
            <w:r>
              <w:rPr>
                <w:sz w:val="22"/>
                <w:szCs w:val="22"/>
              </w:rPr>
              <w:t>greenlip</w:t>
            </w:r>
            <w:proofErr w:type="spellEnd"/>
            <w:r>
              <w:rPr>
                <w:sz w:val="22"/>
                <w:szCs w:val="22"/>
              </w:rPr>
              <w:t xml:space="preserve"> TACC should be reviewed for decrease, and additionally considering ecosystem impacts likely to impact on the fishery. </w:t>
            </w:r>
          </w:p>
          <w:p w14:paraId="5DB5DAD7" w14:textId="77777777" w:rsidR="0041089E" w:rsidRDefault="0041089E" w:rsidP="0041089E">
            <w:pPr>
              <w:pStyle w:val="Default"/>
              <w:rPr>
                <w:sz w:val="22"/>
                <w:szCs w:val="22"/>
              </w:rPr>
            </w:pPr>
            <w:r>
              <w:rPr>
                <w:sz w:val="22"/>
                <w:szCs w:val="22"/>
              </w:rPr>
              <w:t xml:space="preserve">We reiterate the need for a cautious and ecosystem-based approach. We note that the primary management objective to rebuild the abalone resource to ensure sustainability economic </w:t>
            </w:r>
            <w:proofErr w:type="gramStart"/>
            <w:r>
              <w:rPr>
                <w:sz w:val="22"/>
                <w:szCs w:val="22"/>
              </w:rPr>
              <w:t>productivity, and</w:t>
            </w:r>
            <w:proofErr w:type="gramEnd"/>
            <w:r>
              <w:rPr>
                <w:sz w:val="22"/>
                <w:szCs w:val="22"/>
              </w:rPr>
              <w:t xml:space="preserve"> suggest it should also include one that ensures ecological sustainability and production. </w:t>
            </w:r>
          </w:p>
          <w:p w14:paraId="10CE3274" w14:textId="2B8A9624" w:rsidR="00047A21" w:rsidRPr="00855B91" w:rsidRDefault="0041089E" w:rsidP="0041089E">
            <w:pPr>
              <w:spacing w:line="240" w:lineRule="atLeast"/>
            </w:pPr>
            <w:r>
              <w:t>Thank you again for the opportunity to express our views. Please do not hesitate to contact me for further information.</w:t>
            </w:r>
          </w:p>
        </w:tc>
      </w:tr>
    </w:tbl>
    <w:p w14:paraId="1CF14996" w14:textId="77777777" w:rsidR="004F0211" w:rsidRDefault="004F0211"/>
    <w:sectPr w:rsidR="004F0211" w:rsidSect="0041089E">
      <w:footerReference w:type="default" r:id="rId10"/>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D943" w14:textId="77777777" w:rsidR="006E4191" w:rsidRDefault="006E4191" w:rsidP="006E4191">
      <w:pPr>
        <w:spacing w:after="0" w:line="240" w:lineRule="auto"/>
      </w:pPr>
      <w:r>
        <w:separator/>
      </w:r>
    </w:p>
  </w:endnote>
  <w:endnote w:type="continuationSeparator" w:id="0">
    <w:p w14:paraId="1898EE7D" w14:textId="77777777" w:rsidR="006E4191" w:rsidRDefault="006E4191" w:rsidP="006E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96011"/>
      <w:docPartObj>
        <w:docPartGallery w:val="Page Numbers (Bottom of Page)"/>
        <w:docPartUnique/>
      </w:docPartObj>
    </w:sdtPr>
    <w:sdtEndPr>
      <w:rPr>
        <w:noProof/>
      </w:rPr>
    </w:sdtEndPr>
    <w:sdtContent>
      <w:p w14:paraId="6CF844A1" w14:textId="77777777" w:rsidR="006E4191" w:rsidRDefault="006E4191">
        <w:pPr>
          <w:pStyle w:val="Footer"/>
          <w:jc w:val="right"/>
        </w:pPr>
        <w:r>
          <w:fldChar w:fldCharType="begin"/>
        </w:r>
        <w:r>
          <w:instrText xml:space="preserve"> PAGE   \* MERGEFORMAT </w:instrText>
        </w:r>
        <w:r>
          <w:fldChar w:fldCharType="separate"/>
        </w:r>
        <w:r w:rsidR="0005338C">
          <w:rPr>
            <w:noProof/>
          </w:rPr>
          <w:t>2</w:t>
        </w:r>
        <w:r>
          <w:rPr>
            <w:noProof/>
          </w:rPr>
          <w:fldChar w:fldCharType="end"/>
        </w:r>
      </w:p>
    </w:sdtContent>
  </w:sdt>
  <w:p w14:paraId="0B6DCE66" w14:textId="77777777" w:rsidR="006E4191" w:rsidRDefault="006E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1A099" w14:textId="77777777" w:rsidR="006E4191" w:rsidRDefault="006E4191" w:rsidP="006E4191">
      <w:pPr>
        <w:spacing w:after="0" w:line="240" w:lineRule="auto"/>
      </w:pPr>
      <w:r>
        <w:separator/>
      </w:r>
    </w:p>
  </w:footnote>
  <w:footnote w:type="continuationSeparator" w:id="0">
    <w:p w14:paraId="367CC24C" w14:textId="77777777" w:rsidR="006E4191" w:rsidRDefault="006E4191" w:rsidP="006E4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64390"/>
    <w:multiLevelType w:val="hybridMultilevel"/>
    <w:tmpl w:val="5BAE9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15DFF"/>
    <w:multiLevelType w:val="hybridMultilevel"/>
    <w:tmpl w:val="B8E22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3C031C"/>
    <w:multiLevelType w:val="hybridMultilevel"/>
    <w:tmpl w:val="14C8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3D3"/>
    <w:rsid w:val="00047A21"/>
    <w:rsid w:val="0005338C"/>
    <w:rsid w:val="000E0939"/>
    <w:rsid w:val="000E37C1"/>
    <w:rsid w:val="00153203"/>
    <w:rsid w:val="00187836"/>
    <w:rsid w:val="002863C8"/>
    <w:rsid w:val="002E3CCF"/>
    <w:rsid w:val="003233E5"/>
    <w:rsid w:val="003A135C"/>
    <w:rsid w:val="0041089E"/>
    <w:rsid w:val="00412EB8"/>
    <w:rsid w:val="004F0211"/>
    <w:rsid w:val="00526B09"/>
    <w:rsid w:val="00542D75"/>
    <w:rsid w:val="005B327E"/>
    <w:rsid w:val="006E4191"/>
    <w:rsid w:val="0071612A"/>
    <w:rsid w:val="007531FE"/>
    <w:rsid w:val="00846372"/>
    <w:rsid w:val="00855B91"/>
    <w:rsid w:val="00AF3BFB"/>
    <w:rsid w:val="00BF0125"/>
    <w:rsid w:val="00C453E8"/>
    <w:rsid w:val="00D243D3"/>
    <w:rsid w:val="00E820A3"/>
    <w:rsid w:val="00E9072D"/>
    <w:rsid w:val="00ED0206"/>
    <w:rsid w:val="00F34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CF6A"/>
  <w15:docId w15:val="{DF0C9AF0-6CAD-4C90-AD27-09CB1958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CCF"/>
    <w:pPr>
      <w:ind w:left="720"/>
      <w:contextualSpacing/>
    </w:pPr>
  </w:style>
  <w:style w:type="paragraph" w:styleId="BodyText">
    <w:name w:val="Body Text"/>
    <w:basedOn w:val="Normal"/>
    <w:link w:val="BodyTextChar"/>
    <w:uiPriority w:val="1"/>
    <w:qFormat/>
    <w:rsid w:val="004F0211"/>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F0211"/>
    <w:rPr>
      <w:rFonts w:ascii="Calibri" w:eastAsia="Calibri" w:hAnsi="Calibri" w:cs="Calibri"/>
      <w:sz w:val="24"/>
      <w:szCs w:val="24"/>
      <w:lang w:val="en-US"/>
    </w:rPr>
  </w:style>
  <w:style w:type="paragraph" w:styleId="Header">
    <w:name w:val="header"/>
    <w:basedOn w:val="Normal"/>
    <w:link w:val="HeaderChar"/>
    <w:uiPriority w:val="99"/>
    <w:unhideWhenUsed/>
    <w:rsid w:val="006E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91"/>
  </w:style>
  <w:style w:type="paragraph" w:customStyle="1" w:styleId="Default">
    <w:name w:val="Default"/>
    <w:rsid w:val="004108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19" ma:contentTypeDescription="DEDJTR Document" ma:contentTypeScope="" ma:versionID="80e2332244de5be9d7a746bb9c4a545e">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13a46f9cc90b357f73b2c3e0d95ce8a5"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FA58D-C800-46D3-B111-8A9DA601B2DD}">
  <ds:schemaRefs>
    <ds:schemaRef ds:uri="7c172610-25bb-46a1-b16f-66bb4eaf823a"/>
    <ds:schemaRef ds:uri="http://purl.org/dc/elements/1.1/"/>
    <ds:schemaRef ds:uri="http://schemas.microsoft.com/office/2006/metadata/properties"/>
    <ds:schemaRef ds:uri="72567383-1e26-4692-bdad-5f5be69e1590"/>
    <ds:schemaRef ds:uri="http://purl.org/dc/terms/"/>
    <ds:schemaRef ds:uri="http://schemas.microsoft.com/office/2006/documentManagement/types"/>
    <ds:schemaRef ds:uri="http://schemas.openxmlformats.org/package/2006/metadata/core-properties"/>
    <ds:schemaRef ds:uri="695a8670-8810-4d9d-b8f3-c67e634357a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2E9CD5A-9B09-4315-AB6D-DFD474DC435B}">
  <ds:schemaRefs>
    <ds:schemaRef ds:uri="http://schemas.microsoft.com/sharepoint/v3/contenttype/forms"/>
  </ds:schemaRefs>
</ds:datastoreItem>
</file>

<file path=customXml/itemProps3.xml><?xml version="1.0" encoding="utf-8"?>
<ds:datastoreItem xmlns:ds="http://schemas.openxmlformats.org/officeDocument/2006/customXml" ds:itemID="{6FB6870E-9086-40BA-BA55-45A9BB4A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Lussier</dc:creator>
  <cp:lastModifiedBy>Kate A Simpson (VFA)</cp:lastModifiedBy>
  <cp:revision>8</cp:revision>
  <dcterms:created xsi:type="dcterms:W3CDTF">2019-03-15T06:07:00Z</dcterms:created>
  <dcterms:modified xsi:type="dcterms:W3CDTF">2019-03-15T06:10:00Z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DEDJTRBranch">
    <vt:lpwstr/>
  </property>
  <property fmtid="{D5CDD505-2E9C-101B-9397-08002B2CF9AE}" pid="5" name="DEDJTRSection">
    <vt:lpwstr/>
  </property>
  <property fmtid="{D5CDD505-2E9C-101B-9397-08002B2CF9AE}" pid="6" name="DEDJTRGroup">
    <vt:lpwstr>1;#Victorian Fisheries Authority|03cedbca-4e15-4e6c-98c1-001cb1a1da76</vt:lpwstr>
  </property>
  <property fmtid="{D5CDD505-2E9C-101B-9397-08002B2CF9AE}" pid="7" name="DEDJTRSecurityClassification">
    <vt:lpwstr/>
  </property>
  <property fmtid="{D5CDD505-2E9C-101B-9397-08002B2CF9AE}" pid="8" name="AuthorIds_UIVersion_1024">
    <vt:lpwstr>54</vt:lpwstr>
  </property>
</Properties>
</file>