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63AF" w14:textId="77777777" w:rsidR="00910D3A" w:rsidRPr="004A2E75" w:rsidRDefault="004A2E75" w:rsidP="00910D3A">
      <w:pPr>
        <w:pStyle w:val="Heading2"/>
        <w:spacing w:after="240"/>
      </w:pPr>
      <w:r w:rsidRPr="004A2E75">
        <w:t>Rational</w:t>
      </w:r>
      <w:r w:rsidR="00F44A5F">
        <w:t>e</w:t>
      </w:r>
      <w:r w:rsidRPr="004A2E75">
        <w:t xml:space="preserve"> for setting the </w:t>
      </w:r>
      <w:r w:rsidR="00D553DD">
        <w:t xml:space="preserve">2019/20 </w:t>
      </w:r>
      <w:r w:rsidR="00910D3A" w:rsidRPr="004A2E75">
        <w:t>abalone total allowable commercial catches</w:t>
      </w:r>
    </w:p>
    <w:p w14:paraId="182BE0AE" w14:textId="77777777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590F72">
        <w:rPr>
          <w:rFonts w:asciiTheme="minorHAnsi" w:hAnsiTheme="minorHAnsi" w:cs="Calibri"/>
          <w:sz w:val="22"/>
          <w:szCs w:val="22"/>
        </w:rPr>
        <w:t xml:space="preserve">Victorian Fisheries Authority (VFA) </w:t>
      </w:r>
      <w:r>
        <w:rPr>
          <w:rFonts w:asciiTheme="minorHAnsi" w:hAnsiTheme="minorHAnsi" w:cs="Calibri"/>
          <w:sz w:val="22"/>
          <w:szCs w:val="22"/>
        </w:rPr>
        <w:t xml:space="preserve">uses a </w:t>
      </w:r>
      <w:r w:rsidR="00C640DD">
        <w:rPr>
          <w:rFonts w:asciiTheme="minorHAnsi" w:hAnsiTheme="minorHAnsi" w:cs="Calibri"/>
          <w:sz w:val="22"/>
          <w:szCs w:val="22"/>
        </w:rPr>
        <w:t>multiple-lines</w:t>
      </w:r>
      <w:r>
        <w:rPr>
          <w:rFonts w:asciiTheme="minorHAnsi" w:hAnsiTheme="minorHAnsi" w:cs="Calibri"/>
          <w:sz w:val="22"/>
          <w:szCs w:val="22"/>
        </w:rPr>
        <w:t xml:space="preserve">-of-evidence assessment approach to assess the state of the abalone resource and set the annual </w:t>
      </w:r>
      <w:r w:rsidRPr="004A2E75">
        <w:rPr>
          <w:rFonts w:asciiTheme="minorHAnsi" w:hAnsiTheme="minorHAnsi" w:cs="Calibri"/>
          <w:sz w:val="22"/>
          <w:szCs w:val="22"/>
        </w:rPr>
        <w:t>total al</w:t>
      </w:r>
      <w:r>
        <w:rPr>
          <w:rFonts w:asciiTheme="minorHAnsi" w:hAnsiTheme="minorHAnsi" w:cs="Calibri"/>
          <w:sz w:val="22"/>
          <w:szCs w:val="22"/>
        </w:rPr>
        <w:t>lowable commercial catch (TACC)</w:t>
      </w:r>
      <w:r w:rsidR="00CB7820">
        <w:rPr>
          <w:rFonts w:asciiTheme="minorHAnsi" w:hAnsiTheme="minorHAnsi" w:cs="Calibri"/>
          <w:sz w:val="22"/>
          <w:szCs w:val="22"/>
        </w:rPr>
        <w:t xml:space="preserve"> for each of the three commercial abalone zones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66573E36" w14:textId="77777777" w:rsidR="00C640DD" w:rsidRPr="00C640DD" w:rsidRDefault="00C640DD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C640DD">
        <w:rPr>
          <w:rFonts w:asciiTheme="minorHAnsi" w:hAnsiTheme="minorHAnsi" w:cs="Calibri"/>
          <w:sz w:val="22"/>
          <w:szCs w:val="22"/>
        </w:rPr>
        <w:t>The information considered in arriving at the TACCs includes:</w:t>
      </w:r>
    </w:p>
    <w:p w14:paraId="3BFA9700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dependent information</w:t>
      </w:r>
      <w:r w:rsidRPr="00C640DD">
        <w:rPr>
          <w:rFonts w:asciiTheme="minorHAnsi" w:hAnsiTheme="minorHAnsi" w:cs="Calibri"/>
          <w:sz w:val="22"/>
          <w:szCs w:val="22"/>
        </w:rPr>
        <w:t>: catch history, catch per unit effort (CPUE) and diver observations;</w:t>
      </w:r>
      <w:r w:rsidR="00590F72">
        <w:rPr>
          <w:rFonts w:asciiTheme="minorHAnsi" w:hAnsiTheme="minorHAnsi" w:cs="Calibri"/>
          <w:sz w:val="22"/>
          <w:szCs w:val="22"/>
        </w:rPr>
        <w:t xml:space="preserve"> and</w:t>
      </w:r>
    </w:p>
    <w:p w14:paraId="177FBEBB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independent information</w:t>
      </w:r>
      <w:r w:rsidRPr="00C640DD">
        <w:rPr>
          <w:rFonts w:asciiTheme="minorHAnsi" w:hAnsiTheme="minorHAnsi" w:cs="Calibri"/>
          <w:sz w:val="22"/>
          <w:szCs w:val="22"/>
        </w:rPr>
        <w:t xml:space="preserve">: independent </w:t>
      </w:r>
      <w:r w:rsidR="00A353B0">
        <w:rPr>
          <w:rFonts w:asciiTheme="minorHAnsi" w:hAnsiTheme="minorHAnsi" w:cs="Calibri"/>
          <w:sz w:val="22"/>
          <w:szCs w:val="22"/>
        </w:rPr>
        <w:t xml:space="preserve">dive </w:t>
      </w:r>
      <w:r w:rsidRPr="00C640DD">
        <w:rPr>
          <w:rFonts w:asciiTheme="minorHAnsi" w:hAnsiTheme="minorHAnsi" w:cs="Calibri"/>
          <w:sz w:val="22"/>
          <w:szCs w:val="22"/>
        </w:rPr>
        <w:t xml:space="preserve">survey data that includes pre-recruit </w:t>
      </w:r>
      <w:r w:rsidR="00590F72">
        <w:rPr>
          <w:rFonts w:asciiTheme="minorHAnsi" w:hAnsiTheme="minorHAnsi" w:cs="Calibri"/>
          <w:sz w:val="22"/>
          <w:szCs w:val="22"/>
        </w:rPr>
        <w:t xml:space="preserve">and recruit </w:t>
      </w:r>
      <w:r w:rsidRPr="00C640DD">
        <w:rPr>
          <w:rFonts w:asciiTheme="minorHAnsi" w:hAnsiTheme="minorHAnsi" w:cs="Calibri"/>
          <w:sz w:val="22"/>
          <w:szCs w:val="22"/>
        </w:rPr>
        <w:t>abundance</w:t>
      </w:r>
      <w:r w:rsidR="00590F72">
        <w:rPr>
          <w:rFonts w:asciiTheme="minorHAnsi" w:hAnsiTheme="minorHAnsi" w:cs="Calibri"/>
          <w:sz w:val="22"/>
          <w:szCs w:val="22"/>
        </w:rPr>
        <w:t>.</w:t>
      </w:r>
    </w:p>
    <w:p w14:paraId="1AC4DCB5" w14:textId="5D53F605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Following a </w:t>
      </w:r>
      <w:r w:rsidR="00CB7820">
        <w:rPr>
          <w:rFonts w:asciiTheme="minorHAnsi" w:hAnsiTheme="minorHAnsi" w:cs="Calibri"/>
          <w:sz w:val="22"/>
          <w:szCs w:val="22"/>
        </w:rPr>
        <w:t xml:space="preserve">comprehensive </w:t>
      </w:r>
      <w:r>
        <w:rPr>
          <w:rFonts w:asciiTheme="minorHAnsi" w:hAnsiTheme="minorHAnsi" w:cs="Calibri"/>
          <w:sz w:val="22"/>
          <w:szCs w:val="22"/>
        </w:rPr>
        <w:t xml:space="preserve">consultation </w:t>
      </w:r>
      <w:r w:rsidR="00CB7820">
        <w:rPr>
          <w:rFonts w:asciiTheme="minorHAnsi" w:hAnsiTheme="minorHAnsi" w:cs="Calibri"/>
          <w:sz w:val="22"/>
          <w:szCs w:val="22"/>
        </w:rPr>
        <w:t xml:space="preserve">process </w:t>
      </w:r>
      <w:r>
        <w:rPr>
          <w:rFonts w:asciiTheme="minorHAnsi" w:hAnsiTheme="minorHAnsi" w:cs="Calibri"/>
          <w:sz w:val="22"/>
          <w:szCs w:val="22"/>
        </w:rPr>
        <w:t>that included workshops and</w:t>
      </w:r>
      <w:r w:rsidR="00CB7820">
        <w:rPr>
          <w:rFonts w:asciiTheme="minorHAnsi" w:hAnsiTheme="minorHAnsi" w:cs="Calibri"/>
          <w:sz w:val="22"/>
          <w:szCs w:val="22"/>
        </w:rPr>
        <w:t xml:space="preserve"> a call for submissions from key stakeholders, </w:t>
      </w:r>
      <w:r>
        <w:rPr>
          <w:rFonts w:asciiTheme="minorHAnsi" w:hAnsiTheme="minorHAnsi" w:cs="Calibri"/>
          <w:sz w:val="22"/>
          <w:szCs w:val="22"/>
        </w:rPr>
        <w:t xml:space="preserve">I have made the following decision on the TACC for the </w:t>
      </w:r>
      <w:r w:rsidR="00D97827">
        <w:rPr>
          <w:rFonts w:asciiTheme="minorHAnsi" w:hAnsiTheme="minorHAnsi" w:cs="Calibri"/>
          <w:sz w:val="22"/>
          <w:szCs w:val="22"/>
        </w:rPr>
        <w:t>Western and Central Zone</w:t>
      </w:r>
      <w:r w:rsidR="00590F72">
        <w:rPr>
          <w:rFonts w:asciiTheme="minorHAnsi" w:hAnsiTheme="minorHAnsi" w:cs="Calibri"/>
          <w:sz w:val="22"/>
          <w:szCs w:val="22"/>
        </w:rPr>
        <w:t xml:space="preserve"> </w:t>
      </w:r>
      <w:r w:rsidR="00D553DD">
        <w:rPr>
          <w:rFonts w:asciiTheme="minorHAnsi" w:hAnsiTheme="minorHAnsi" w:cs="Calibri"/>
          <w:sz w:val="22"/>
          <w:szCs w:val="22"/>
        </w:rPr>
        <w:t>abalone zone</w:t>
      </w:r>
      <w:r w:rsidR="00D97827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.</w:t>
      </w:r>
      <w:r w:rsidR="00590F72">
        <w:rPr>
          <w:rFonts w:asciiTheme="minorHAnsi" w:hAnsiTheme="minorHAnsi" w:cs="Calibri"/>
          <w:sz w:val="22"/>
          <w:szCs w:val="22"/>
        </w:rPr>
        <w:t xml:space="preserve"> Consultation on the </w:t>
      </w:r>
      <w:r w:rsidR="00D97827">
        <w:rPr>
          <w:rFonts w:asciiTheme="minorHAnsi" w:hAnsiTheme="minorHAnsi" w:cs="Calibri"/>
          <w:sz w:val="22"/>
          <w:szCs w:val="22"/>
        </w:rPr>
        <w:t xml:space="preserve">Eastern </w:t>
      </w:r>
      <w:r w:rsidR="00590F72">
        <w:rPr>
          <w:rFonts w:asciiTheme="minorHAnsi" w:hAnsiTheme="minorHAnsi" w:cs="Calibri"/>
          <w:sz w:val="22"/>
          <w:szCs w:val="22"/>
        </w:rPr>
        <w:t xml:space="preserve">Zone </w:t>
      </w:r>
      <w:r w:rsidR="00D97827">
        <w:rPr>
          <w:rFonts w:asciiTheme="minorHAnsi" w:hAnsiTheme="minorHAnsi" w:cs="Calibri"/>
          <w:sz w:val="22"/>
          <w:szCs w:val="22"/>
        </w:rPr>
        <w:t>was completed earlier and</w:t>
      </w:r>
      <w:r w:rsidR="00590F72">
        <w:rPr>
          <w:rFonts w:asciiTheme="minorHAnsi" w:hAnsiTheme="minorHAnsi" w:cs="Calibri"/>
          <w:sz w:val="22"/>
          <w:szCs w:val="22"/>
        </w:rPr>
        <w:t xml:space="preserve"> published separately. </w:t>
      </w:r>
    </w:p>
    <w:p w14:paraId="0D53DE41" w14:textId="310EA6A5" w:rsidR="00C640DD" w:rsidRPr="00315A2A" w:rsidRDefault="00D97827" w:rsidP="00C640DD">
      <w:pPr>
        <w:pStyle w:val="DPIBodytext"/>
        <w:spacing w:after="120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>Wester</w:t>
      </w:r>
      <w:r w:rsidR="00C640DD" w:rsidRPr="00315A2A">
        <w:rPr>
          <w:rFonts w:asciiTheme="minorHAnsi" w:hAnsiTheme="minorHAnsi" w:cs="Calibri"/>
          <w:b/>
          <w:i/>
          <w:sz w:val="22"/>
          <w:szCs w:val="22"/>
        </w:rPr>
        <w:t xml:space="preserve">n zone </w:t>
      </w:r>
    </w:p>
    <w:p w14:paraId="65821690" w14:textId="4D29FB70" w:rsidR="00C640DD" w:rsidRDefault="00D553DD" w:rsidP="0074479A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blacklip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</w:t>
      </w:r>
      <w:r w:rsidR="0074479A">
        <w:rPr>
          <w:rFonts w:asciiTheme="minorHAnsi" w:hAnsiTheme="minorHAnsi" w:cs="Calibri"/>
          <w:sz w:val="22"/>
          <w:szCs w:val="22"/>
        </w:rPr>
        <w:t>73.2</w:t>
      </w:r>
      <w:r w:rsidR="00C640DD" w:rsidRPr="00315A2A">
        <w:rPr>
          <w:rFonts w:asciiTheme="minorHAnsi" w:hAnsiTheme="minorHAnsi" w:cs="Calibri"/>
          <w:sz w:val="22"/>
          <w:szCs w:val="22"/>
        </w:rPr>
        <w:t xml:space="preserve"> tonnes </w:t>
      </w:r>
      <w:r w:rsidR="0074479A">
        <w:rPr>
          <w:rFonts w:asciiTheme="minorHAnsi" w:hAnsiTheme="minorHAnsi" w:cs="Calibri"/>
          <w:sz w:val="22"/>
          <w:szCs w:val="22"/>
        </w:rPr>
        <w:t xml:space="preserve">which includes a sub-zonal allocation for Discovery Bay of 4.2 tonnes; </w:t>
      </w:r>
      <w:r w:rsidR="00BC13E6">
        <w:rPr>
          <w:rFonts w:asciiTheme="minorHAnsi" w:hAnsiTheme="minorHAnsi" w:cs="Calibri"/>
          <w:sz w:val="22"/>
          <w:szCs w:val="22"/>
        </w:rPr>
        <w:t>and</w:t>
      </w:r>
    </w:p>
    <w:p w14:paraId="4AA87FEF" w14:textId="282DC3FF" w:rsidR="00C640DD" w:rsidRDefault="0074479A" w:rsidP="00BC13E6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greenlip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1.4</w:t>
      </w:r>
      <w:r w:rsidRPr="00315A2A">
        <w:rPr>
          <w:rFonts w:asciiTheme="minorHAnsi" w:hAnsiTheme="minorHAnsi" w:cs="Calibri"/>
          <w:sz w:val="22"/>
          <w:szCs w:val="22"/>
        </w:rPr>
        <w:t xml:space="preserve"> tonnes</w:t>
      </w:r>
      <w:r w:rsidR="00BC13E6">
        <w:rPr>
          <w:rFonts w:asciiTheme="minorHAnsi" w:hAnsiTheme="minorHAnsi" w:cs="Calibri"/>
          <w:sz w:val="22"/>
          <w:szCs w:val="22"/>
        </w:rPr>
        <w:t>.</w:t>
      </w:r>
    </w:p>
    <w:p w14:paraId="0DC30DF8" w14:textId="5B593508" w:rsidR="00205CF6" w:rsidRDefault="008A5F97" w:rsidP="00FD6D47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315A2A">
        <w:rPr>
          <w:rFonts w:asciiTheme="minorHAnsi" w:hAnsiTheme="minorHAnsi" w:cs="Calibri"/>
          <w:sz w:val="22"/>
          <w:szCs w:val="22"/>
        </w:rPr>
        <w:t xml:space="preserve">The </w:t>
      </w:r>
      <w:r>
        <w:rPr>
          <w:rFonts w:asciiTheme="minorHAnsi" w:hAnsiTheme="minorHAnsi" w:cs="Calibri"/>
          <w:sz w:val="22"/>
          <w:szCs w:val="22"/>
        </w:rPr>
        <w:t>Western</w:t>
      </w:r>
      <w:r w:rsidR="00360DD3">
        <w:rPr>
          <w:rFonts w:asciiTheme="minorHAnsi" w:hAnsiTheme="minorHAnsi" w:cs="Calibri"/>
          <w:sz w:val="22"/>
          <w:szCs w:val="22"/>
        </w:rPr>
        <w:t xml:space="preserve"> Zone fishery is still a recovering fishery and a cautious approach</w:t>
      </w:r>
      <w:r w:rsidR="005867EE">
        <w:rPr>
          <w:rFonts w:asciiTheme="minorHAnsi" w:hAnsiTheme="minorHAnsi" w:cs="Calibri"/>
          <w:sz w:val="22"/>
          <w:szCs w:val="22"/>
        </w:rPr>
        <w:t>,</w:t>
      </w:r>
      <w:r w:rsidR="00360DD3">
        <w:rPr>
          <w:rFonts w:asciiTheme="minorHAnsi" w:hAnsiTheme="minorHAnsi" w:cs="Calibri"/>
          <w:sz w:val="22"/>
          <w:szCs w:val="22"/>
        </w:rPr>
        <w:t xml:space="preserve"> consistent with the harvest strategy</w:t>
      </w:r>
      <w:r w:rsidR="005867EE">
        <w:rPr>
          <w:rFonts w:asciiTheme="minorHAnsi" w:hAnsiTheme="minorHAnsi" w:cs="Calibri"/>
          <w:sz w:val="22"/>
          <w:szCs w:val="22"/>
        </w:rPr>
        <w:t xml:space="preserve">, is continuing to be taken to ensure the </w:t>
      </w:r>
      <w:r w:rsidR="003F3D7A">
        <w:rPr>
          <w:rFonts w:asciiTheme="minorHAnsi" w:hAnsiTheme="minorHAnsi" w:cs="Calibri"/>
          <w:sz w:val="22"/>
          <w:szCs w:val="22"/>
        </w:rPr>
        <w:t>long-term</w:t>
      </w:r>
      <w:r w:rsidR="005867EE">
        <w:rPr>
          <w:rFonts w:asciiTheme="minorHAnsi" w:hAnsiTheme="minorHAnsi" w:cs="Calibri"/>
          <w:sz w:val="22"/>
          <w:szCs w:val="22"/>
        </w:rPr>
        <w:t xml:space="preserve"> sustainability of the </w:t>
      </w:r>
      <w:r w:rsidR="003F3D7A">
        <w:rPr>
          <w:rFonts w:asciiTheme="minorHAnsi" w:hAnsiTheme="minorHAnsi" w:cs="Calibri"/>
          <w:sz w:val="22"/>
          <w:szCs w:val="22"/>
        </w:rPr>
        <w:t xml:space="preserve">fishery. </w:t>
      </w:r>
      <w:r w:rsidR="009E31B8">
        <w:rPr>
          <w:rFonts w:asciiTheme="minorHAnsi" w:hAnsiTheme="minorHAnsi" w:cs="Calibri"/>
          <w:sz w:val="22"/>
          <w:szCs w:val="22"/>
        </w:rPr>
        <w:t xml:space="preserve">Discovery Bay is an area of the fishery </w:t>
      </w:r>
      <w:r w:rsidR="00665531">
        <w:rPr>
          <w:rFonts w:asciiTheme="minorHAnsi" w:hAnsiTheme="minorHAnsi" w:cs="Calibri"/>
          <w:sz w:val="22"/>
          <w:szCs w:val="22"/>
        </w:rPr>
        <w:t>where no fishing activity has occurred for an extended period and the sub-zonal allocation</w:t>
      </w:r>
      <w:r w:rsidR="00D07AD6">
        <w:rPr>
          <w:rFonts w:asciiTheme="minorHAnsi" w:hAnsiTheme="minorHAnsi" w:cs="Calibri"/>
          <w:sz w:val="22"/>
          <w:szCs w:val="22"/>
        </w:rPr>
        <w:t xml:space="preserve"> is designed</w:t>
      </w:r>
      <w:r w:rsidR="00665531">
        <w:rPr>
          <w:rFonts w:asciiTheme="minorHAnsi" w:hAnsiTheme="minorHAnsi" w:cs="Calibri"/>
          <w:sz w:val="22"/>
          <w:szCs w:val="22"/>
        </w:rPr>
        <w:t xml:space="preserve"> </w:t>
      </w:r>
      <w:r w:rsidR="00D07AD6" w:rsidRPr="00D07AD6">
        <w:rPr>
          <w:rFonts w:asciiTheme="minorHAnsi" w:hAnsiTheme="minorHAnsi" w:cs="Calibri"/>
          <w:sz w:val="22"/>
          <w:szCs w:val="22"/>
        </w:rPr>
        <w:t>to promote exploration and assessment of t</w:t>
      </w:r>
      <w:r w:rsidR="00D07AD6">
        <w:rPr>
          <w:rFonts w:asciiTheme="minorHAnsi" w:hAnsiTheme="minorHAnsi" w:cs="Calibri"/>
          <w:sz w:val="22"/>
          <w:szCs w:val="22"/>
        </w:rPr>
        <w:t>his</w:t>
      </w:r>
      <w:r w:rsidR="00D07AD6" w:rsidRPr="00D07AD6">
        <w:rPr>
          <w:rFonts w:asciiTheme="minorHAnsi" w:hAnsiTheme="minorHAnsi" w:cs="Calibri"/>
          <w:sz w:val="22"/>
          <w:szCs w:val="22"/>
        </w:rPr>
        <w:t xml:space="preserve"> area</w:t>
      </w:r>
      <w:r w:rsidR="00D07AD6">
        <w:rPr>
          <w:rFonts w:asciiTheme="minorHAnsi" w:hAnsiTheme="minorHAnsi" w:cs="Calibri"/>
          <w:sz w:val="22"/>
          <w:szCs w:val="22"/>
        </w:rPr>
        <w:t>.</w:t>
      </w:r>
      <w:r w:rsidR="00472A5A">
        <w:rPr>
          <w:rFonts w:asciiTheme="minorHAnsi" w:hAnsiTheme="minorHAnsi" w:cs="Calibri"/>
          <w:sz w:val="22"/>
          <w:szCs w:val="22"/>
        </w:rPr>
        <w:t xml:space="preserve"> </w:t>
      </w:r>
      <w:r w:rsidR="003F142B">
        <w:rPr>
          <w:rFonts w:asciiTheme="minorHAnsi" w:hAnsiTheme="minorHAnsi" w:cs="Calibri"/>
          <w:sz w:val="22"/>
          <w:szCs w:val="22"/>
        </w:rPr>
        <w:t>The Western Abalone Divers Association</w:t>
      </w:r>
      <w:r w:rsidR="005208FF">
        <w:rPr>
          <w:rFonts w:asciiTheme="minorHAnsi" w:hAnsiTheme="minorHAnsi" w:cs="Calibri"/>
          <w:sz w:val="22"/>
          <w:szCs w:val="22"/>
        </w:rPr>
        <w:t xml:space="preserve"> and VFA are continuing to work together to </w:t>
      </w:r>
      <w:r w:rsidR="001F7E0E">
        <w:rPr>
          <w:rFonts w:asciiTheme="minorHAnsi" w:hAnsiTheme="minorHAnsi" w:cs="Calibri"/>
          <w:sz w:val="22"/>
          <w:szCs w:val="22"/>
        </w:rPr>
        <w:t>rebuild the fishery</w:t>
      </w:r>
      <w:r w:rsidR="00205CF6">
        <w:rPr>
          <w:rFonts w:asciiTheme="minorHAnsi" w:hAnsiTheme="minorHAnsi" w:cs="Calibri"/>
          <w:sz w:val="22"/>
          <w:szCs w:val="22"/>
        </w:rPr>
        <w:t xml:space="preserve">, and these arrangements are expected to </w:t>
      </w:r>
      <w:r w:rsidR="000A2A24">
        <w:rPr>
          <w:rFonts w:asciiTheme="minorHAnsi" w:hAnsiTheme="minorHAnsi" w:cs="Calibri"/>
          <w:sz w:val="22"/>
          <w:szCs w:val="22"/>
        </w:rPr>
        <w:t xml:space="preserve">be </w:t>
      </w:r>
      <w:r w:rsidR="00205CF6">
        <w:rPr>
          <w:rFonts w:asciiTheme="minorHAnsi" w:hAnsiTheme="minorHAnsi" w:cs="Calibri"/>
          <w:sz w:val="22"/>
          <w:szCs w:val="22"/>
        </w:rPr>
        <w:t xml:space="preserve">formalised through a co-management arrangement this year. </w:t>
      </w:r>
    </w:p>
    <w:p w14:paraId="0A078B03" w14:textId="1C88B6B9" w:rsidR="008A5F97" w:rsidRDefault="00205CF6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5F44D7FE" w14:textId="6203A4B3" w:rsidR="0074479A" w:rsidRPr="00315A2A" w:rsidRDefault="0074479A" w:rsidP="0074479A">
      <w:pPr>
        <w:pStyle w:val="DPIBodytext"/>
        <w:spacing w:after="120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 xml:space="preserve">Central </w:t>
      </w:r>
      <w:r w:rsidRPr="00315A2A">
        <w:rPr>
          <w:rFonts w:asciiTheme="minorHAnsi" w:hAnsiTheme="minorHAnsi" w:cs="Calibri"/>
          <w:b/>
          <w:i/>
          <w:sz w:val="22"/>
          <w:szCs w:val="22"/>
        </w:rPr>
        <w:t xml:space="preserve">zone </w:t>
      </w:r>
    </w:p>
    <w:p w14:paraId="6F1F0BA1" w14:textId="50EC0526" w:rsidR="0074479A" w:rsidRDefault="0074479A" w:rsidP="00337C4E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blacklip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</w:t>
      </w:r>
      <w:r w:rsidR="00337C4E">
        <w:rPr>
          <w:rFonts w:asciiTheme="minorHAnsi" w:hAnsiTheme="minorHAnsi" w:cs="Calibri"/>
          <w:sz w:val="22"/>
          <w:szCs w:val="22"/>
        </w:rPr>
        <w:t>2</w:t>
      </w:r>
      <w:r w:rsidR="006336A0">
        <w:rPr>
          <w:rFonts w:asciiTheme="minorHAnsi" w:hAnsiTheme="minorHAnsi" w:cs="Calibri"/>
          <w:sz w:val="22"/>
          <w:szCs w:val="22"/>
        </w:rPr>
        <w:t>62</w:t>
      </w:r>
      <w:r w:rsidR="00337C4E">
        <w:rPr>
          <w:rFonts w:asciiTheme="minorHAnsi" w:hAnsiTheme="minorHAnsi" w:cs="Calibri"/>
          <w:sz w:val="22"/>
          <w:szCs w:val="22"/>
        </w:rPr>
        <w:t>.5</w:t>
      </w:r>
      <w:r w:rsidRPr="00315A2A">
        <w:rPr>
          <w:rFonts w:asciiTheme="minorHAnsi" w:hAnsiTheme="minorHAnsi" w:cs="Calibri"/>
          <w:sz w:val="22"/>
          <w:szCs w:val="22"/>
        </w:rPr>
        <w:t xml:space="preserve"> tonnes</w:t>
      </w:r>
      <w:r w:rsidR="00337C4E">
        <w:rPr>
          <w:rFonts w:asciiTheme="minorHAnsi" w:hAnsiTheme="minorHAnsi" w:cs="Calibri"/>
          <w:sz w:val="22"/>
          <w:szCs w:val="22"/>
        </w:rPr>
        <w:t xml:space="preserve">; </w:t>
      </w:r>
      <w:r w:rsidR="00BC13E6">
        <w:rPr>
          <w:rFonts w:asciiTheme="minorHAnsi" w:hAnsiTheme="minorHAnsi" w:cs="Calibri"/>
          <w:sz w:val="22"/>
          <w:szCs w:val="22"/>
        </w:rPr>
        <w:t>and</w:t>
      </w:r>
    </w:p>
    <w:p w14:paraId="150E0FF5" w14:textId="58E14219" w:rsidR="00BC13E6" w:rsidRPr="00315A2A" w:rsidRDefault="0074479A" w:rsidP="00BC13E6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greenlip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</w:t>
      </w:r>
      <w:r w:rsidR="00337C4E">
        <w:rPr>
          <w:rFonts w:asciiTheme="minorHAnsi" w:hAnsiTheme="minorHAnsi" w:cs="Calibri"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>.4</w:t>
      </w:r>
      <w:r w:rsidRPr="00315A2A">
        <w:rPr>
          <w:rFonts w:asciiTheme="minorHAnsi" w:hAnsiTheme="minorHAnsi" w:cs="Calibri"/>
          <w:sz w:val="22"/>
          <w:szCs w:val="22"/>
        </w:rPr>
        <w:t xml:space="preserve"> tonnes</w:t>
      </w:r>
      <w:r w:rsidR="00BC13E6">
        <w:rPr>
          <w:rFonts w:asciiTheme="minorHAnsi" w:hAnsiTheme="minorHAnsi" w:cs="Calibri"/>
          <w:sz w:val="22"/>
          <w:szCs w:val="22"/>
        </w:rPr>
        <w:t xml:space="preserve">. </w:t>
      </w:r>
    </w:p>
    <w:p w14:paraId="67836AC9" w14:textId="0EE35E01" w:rsidR="002A206F" w:rsidRDefault="00FD6D47" w:rsidP="00BC13E6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7765CD">
        <w:rPr>
          <w:rFonts w:asciiTheme="minorHAnsi" w:hAnsiTheme="minorHAnsi" w:cs="Calibri"/>
          <w:sz w:val="22"/>
          <w:szCs w:val="22"/>
        </w:rPr>
        <w:t xml:space="preserve">abalone biomass in the </w:t>
      </w:r>
      <w:r>
        <w:rPr>
          <w:rFonts w:asciiTheme="minorHAnsi" w:hAnsiTheme="minorHAnsi" w:cs="Calibri"/>
          <w:sz w:val="22"/>
          <w:szCs w:val="22"/>
        </w:rPr>
        <w:t>Central Zone fishery</w:t>
      </w:r>
      <w:r w:rsidR="007765CD">
        <w:rPr>
          <w:rFonts w:asciiTheme="minorHAnsi" w:hAnsiTheme="minorHAnsi" w:cs="Calibri"/>
          <w:sz w:val="22"/>
          <w:szCs w:val="22"/>
        </w:rPr>
        <w:t xml:space="preserve"> has </w:t>
      </w:r>
      <w:r w:rsidR="006E1D09">
        <w:rPr>
          <w:rFonts w:asciiTheme="minorHAnsi" w:hAnsiTheme="minorHAnsi" w:cs="Calibri"/>
          <w:sz w:val="22"/>
          <w:szCs w:val="22"/>
        </w:rPr>
        <w:t xml:space="preserve">been declining for a protracted period and </w:t>
      </w:r>
      <w:r w:rsidR="00784AD0">
        <w:rPr>
          <w:rFonts w:asciiTheme="minorHAnsi" w:hAnsiTheme="minorHAnsi" w:cs="Calibri"/>
          <w:sz w:val="22"/>
          <w:szCs w:val="22"/>
        </w:rPr>
        <w:t xml:space="preserve">a further reduction to the TACC has been made this year </w:t>
      </w:r>
      <w:r w:rsidR="00C96C07">
        <w:rPr>
          <w:rFonts w:asciiTheme="minorHAnsi" w:hAnsiTheme="minorHAnsi" w:cs="Calibri"/>
          <w:sz w:val="22"/>
          <w:szCs w:val="22"/>
        </w:rPr>
        <w:t>to prevent further decline</w:t>
      </w:r>
      <w:r w:rsidR="000A2A24">
        <w:rPr>
          <w:rFonts w:asciiTheme="minorHAnsi" w:hAnsiTheme="minorHAnsi" w:cs="Calibri"/>
          <w:sz w:val="22"/>
          <w:szCs w:val="22"/>
        </w:rPr>
        <w:t>s</w:t>
      </w:r>
      <w:r w:rsidR="00C96C07">
        <w:rPr>
          <w:rFonts w:asciiTheme="minorHAnsi" w:hAnsiTheme="minorHAnsi" w:cs="Calibri"/>
          <w:sz w:val="22"/>
          <w:szCs w:val="22"/>
        </w:rPr>
        <w:t xml:space="preserve"> an</w:t>
      </w:r>
      <w:r w:rsidR="003E2132">
        <w:rPr>
          <w:rFonts w:asciiTheme="minorHAnsi" w:hAnsiTheme="minorHAnsi" w:cs="Calibri"/>
          <w:sz w:val="22"/>
          <w:szCs w:val="22"/>
        </w:rPr>
        <w:t>d</w:t>
      </w:r>
      <w:r w:rsidR="003E2132" w:rsidRPr="003E2132">
        <w:rPr>
          <w:rFonts w:asciiTheme="minorHAnsi" w:hAnsiTheme="minorHAnsi" w:cs="Calibri"/>
          <w:sz w:val="22"/>
          <w:szCs w:val="22"/>
        </w:rPr>
        <w:t xml:space="preserve"> to enable the stock to rebuild to support an increase to a larger quota in the future.</w:t>
      </w:r>
      <w:r w:rsidR="003E2132">
        <w:rPr>
          <w:rFonts w:asciiTheme="minorHAnsi" w:hAnsiTheme="minorHAnsi" w:cs="Calibri"/>
          <w:sz w:val="22"/>
          <w:szCs w:val="22"/>
        </w:rPr>
        <w:t xml:space="preserve"> The approach outlined in the draft harvest strategy was </w:t>
      </w:r>
      <w:r w:rsidR="00AD2FFF">
        <w:rPr>
          <w:rFonts w:asciiTheme="minorHAnsi" w:hAnsiTheme="minorHAnsi" w:cs="Calibri"/>
          <w:sz w:val="22"/>
          <w:szCs w:val="22"/>
        </w:rPr>
        <w:t xml:space="preserve">used to determine the final TACC. A review of size limits </w:t>
      </w:r>
      <w:r w:rsidR="002A206F">
        <w:rPr>
          <w:rFonts w:asciiTheme="minorHAnsi" w:hAnsiTheme="minorHAnsi" w:cs="Calibri"/>
          <w:sz w:val="22"/>
          <w:szCs w:val="22"/>
        </w:rPr>
        <w:t>will be completed early in 2019 with the aim of setting size limits</w:t>
      </w:r>
      <w:r w:rsidR="005E769B">
        <w:rPr>
          <w:rFonts w:asciiTheme="minorHAnsi" w:hAnsiTheme="minorHAnsi" w:cs="Calibri"/>
          <w:sz w:val="22"/>
          <w:szCs w:val="22"/>
        </w:rPr>
        <w:t xml:space="preserve"> in 2019</w:t>
      </w:r>
      <w:r w:rsidR="002A206F">
        <w:rPr>
          <w:rFonts w:asciiTheme="minorHAnsi" w:hAnsiTheme="minorHAnsi" w:cs="Calibri"/>
          <w:sz w:val="22"/>
          <w:szCs w:val="22"/>
        </w:rPr>
        <w:t xml:space="preserve"> that will provide additional protection to spawning stock and further promote stock recovery. </w:t>
      </w:r>
    </w:p>
    <w:p w14:paraId="11615D4C" w14:textId="77777777" w:rsidR="0074479A" w:rsidRPr="00315A2A" w:rsidRDefault="0074479A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78A075A0" w14:textId="77777777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3ECD85E5" w14:textId="77777777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6D9664F3" w14:textId="77777777" w:rsidR="00785923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Travis Dowling</w:t>
      </w:r>
    </w:p>
    <w:p w14:paraId="3DABB869" w14:textId="77777777" w:rsidR="00785923" w:rsidRDefault="00D553D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Chief Executive Officer</w:t>
      </w:r>
      <w:r w:rsidR="0078592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Victorian </w:t>
      </w:r>
      <w:r w:rsidR="00785923">
        <w:rPr>
          <w:rFonts w:asciiTheme="minorHAnsi" w:hAnsiTheme="minorHAnsi" w:cs="Calibri"/>
          <w:sz w:val="22"/>
          <w:szCs w:val="22"/>
        </w:rPr>
        <w:t xml:space="preserve">Fisheries </w:t>
      </w:r>
      <w:r>
        <w:rPr>
          <w:rFonts w:asciiTheme="minorHAnsi" w:hAnsiTheme="minorHAnsi" w:cs="Calibri"/>
          <w:sz w:val="22"/>
          <w:szCs w:val="22"/>
        </w:rPr>
        <w:t>Authority</w:t>
      </w:r>
    </w:p>
    <w:p w14:paraId="7FCE70FA" w14:textId="3DE8535D" w:rsidR="00785923" w:rsidRDefault="002A206F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1659F4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  / </w:t>
      </w:r>
      <w:r w:rsidR="001659F4">
        <w:rPr>
          <w:rFonts w:asciiTheme="minorHAnsi" w:hAnsiTheme="minorHAnsi" w:cs="Calibri"/>
          <w:sz w:val="22"/>
          <w:szCs w:val="22"/>
        </w:rPr>
        <w:t>3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 xml:space="preserve">   </w:t>
      </w:r>
      <w:r w:rsidR="00D553DD">
        <w:rPr>
          <w:rFonts w:asciiTheme="minorHAnsi" w:hAnsiTheme="minorHAnsi" w:cs="Calibri"/>
          <w:sz w:val="22"/>
          <w:szCs w:val="22"/>
        </w:rPr>
        <w:t>/2019</w:t>
      </w:r>
    </w:p>
    <w:sectPr w:rsidR="0078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57B"/>
    <w:multiLevelType w:val="hybridMultilevel"/>
    <w:tmpl w:val="BD1A2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3ED"/>
    <w:multiLevelType w:val="hybridMultilevel"/>
    <w:tmpl w:val="C018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EF49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7F50"/>
    <w:multiLevelType w:val="hybridMultilevel"/>
    <w:tmpl w:val="EE6C38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725EAB"/>
    <w:multiLevelType w:val="hybridMultilevel"/>
    <w:tmpl w:val="28C22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5B4"/>
    <w:multiLevelType w:val="hybridMultilevel"/>
    <w:tmpl w:val="0530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00DC"/>
    <w:multiLevelType w:val="hybridMultilevel"/>
    <w:tmpl w:val="38F47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3A"/>
    <w:rsid w:val="000A2A24"/>
    <w:rsid w:val="001272A6"/>
    <w:rsid w:val="00151ABD"/>
    <w:rsid w:val="001659F4"/>
    <w:rsid w:val="001F7E0E"/>
    <w:rsid w:val="00205CF6"/>
    <w:rsid w:val="002218F1"/>
    <w:rsid w:val="00227B67"/>
    <w:rsid w:val="002A206F"/>
    <w:rsid w:val="002E289C"/>
    <w:rsid w:val="002E4646"/>
    <w:rsid w:val="00315A2A"/>
    <w:rsid w:val="00337C4E"/>
    <w:rsid w:val="00360DD3"/>
    <w:rsid w:val="00375BA4"/>
    <w:rsid w:val="003A0BBD"/>
    <w:rsid w:val="003C461E"/>
    <w:rsid w:val="003D030A"/>
    <w:rsid w:val="003E2132"/>
    <w:rsid w:val="003E562C"/>
    <w:rsid w:val="003F142B"/>
    <w:rsid w:val="003F3D7A"/>
    <w:rsid w:val="00401E46"/>
    <w:rsid w:val="004407B6"/>
    <w:rsid w:val="00472A5A"/>
    <w:rsid w:val="004A2E75"/>
    <w:rsid w:val="004B73C7"/>
    <w:rsid w:val="005208FF"/>
    <w:rsid w:val="005867EE"/>
    <w:rsid w:val="00590F72"/>
    <w:rsid w:val="005B2AB5"/>
    <w:rsid w:val="005E769B"/>
    <w:rsid w:val="006336A0"/>
    <w:rsid w:val="006625BD"/>
    <w:rsid w:val="00665531"/>
    <w:rsid w:val="006E1D09"/>
    <w:rsid w:val="00706FD7"/>
    <w:rsid w:val="007442CF"/>
    <w:rsid w:val="0074479A"/>
    <w:rsid w:val="00761495"/>
    <w:rsid w:val="007765CD"/>
    <w:rsid w:val="00784AD0"/>
    <w:rsid w:val="00785923"/>
    <w:rsid w:val="0079371D"/>
    <w:rsid w:val="007E0A9E"/>
    <w:rsid w:val="008741EB"/>
    <w:rsid w:val="008861E3"/>
    <w:rsid w:val="008A5F97"/>
    <w:rsid w:val="008C1A96"/>
    <w:rsid w:val="00910D3A"/>
    <w:rsid w:val="00946D7D"/>
    <w:rsid w:val="009B1880"/>
    <w:rsid w:val="009E31B8"/>
    <w:rsid w:val="00A353B0"/>
    <w:rsid w:val="00A81BDA"/>
    <w:rsid w:val="00AB69ED"/>
    <w:rsid w:val="00AD2FFF"/>
    <w:rsid w:val="00BC13E6"/>
    <w:rsid w:val="00C640DD"/>
    <w:rsid w:val="00C64EE9"/>
    <w:rsid w:val="00C96C07"/>
    <w:rsid w:val="00CB7820"/>
    <w:rsid w:val="00CC63AD"/>
    <w:rsid w:val="00D07AD6"/>
    <w:rsid w:val="00D553DD"/>
    <w:rsid w:val="00D97827"/>
    <w:rsid w:val="00DA768D"/>
    <w:rsid w:val="00E05088"/>
    <w:rsid w:val="00E25FFD"/>
    <w:rsid w:val="00E3278C"/>
    <w:rsid w:val="00F14D80"/>
    <w:rsid w:val="00F44A5F"/>
    <w:rsid w:val="00FA6456"/>
    <w:rsid w:val="00FC0E4B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823"/>
  <w15:docId w15:val="{BCF706ED-7184-470F-9840-8DBB554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IBodytext">
    <w:name w:val="DPI Body text"/>
    <w:basedOn w:val="Normal"/>
    <w:qFormat/>
    <w:rsid w:val="00910D3A"/>
    <w:pPr>
      <w:spacing w:before="120" w:line="260" w:lineRule="exact"/>
    </w:pPr>
    <w:rPr>
      <w:sz w:val="23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6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4FC4C-82B2-480E-B2BC-658131627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AB62E-05F4-466C-BFBE-416DC53CFC99}">
  <ds:schemaRefs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7c172610-25bb-46a1-b16f-66bb4eaf82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15DBFC-3F22-4DB8-847E-026D04E46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Lussier</dc:creator>
  <cp:lastModifiedBy>Kate A Simpson (VFA)</cp:lastModifiedBy>
  <cp:revision>2</cp:revision>
  <cp:lastPrinted>2018-02-05T02:22:00Z</cp:lastPrinted>
  <dcterms:created xsi:type="dcterms:W3CDTF">2019-03-15T06:06:00Z</dcterms:created>
  <dcterms:modified xsi:type="dcterms:W3CDTF">2019-03-15T06:06:00Z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AuthorIds_UIVersion_512">
    <vt:lpwstr>54</vt:lpwstr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