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9C2C06" w14:textId="77777777" w:rsidR="00FB0A3F" w:rsidRDefault="00000000">
      <w:bookmarkStart w:id="0" w:name="_Hlk64371243"/>
      <w:r>
        <w:rPr>
          <w:noProof/>
        </w:rPr>
        <w:drawing>
          <wp:anchor distT="0" distB="0" distL="114300" distR="114300" simplePos="0" relativeHeight="251656704" behindDoc="1" locked="0" layoutInCell="1" allowOverlap="1" wp14:anchorId="4C2C3114" wp14:editId="5663B9E2">
            <wp:simplePos x="0" y="0"/>
            <wp:positionH relativeFrom="margin">
              <wp:posOffset>7620</wp:posOffset>
            </wp:positionH>
            <wp:positionV relativeFrom="paragraph">
              <wp:posOffset>-162560</wp:posOffset>
            </wp:positionV>
            <wp:extent cx="7536180" cy="10676255"/>
            <wp:effectExtent l="0" t="0" r="762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536180" cy="10676256"/>
                    </a:xfrm>
                    <a:prstGeom prst="rect">
                      <a:avLst/>
                    </a:prstGeom>
                  </pic:spPr>
                </pic:pic>
              </a:graphicData>
            </a:graphic>
          </wp:anchor>
        </w:drawing>
      </w:r>
    </w:p>
    <w:p w14:paraId="5B4E7C58" w14:textId="77777777" w:rsidR="00FB0A3F" w:rsidRDefault="00000000">
      <w:pPr>
        <w:spacing w:before="0" w:after="160" w:line="259" w:lineRule="auto"/>
        <w:sectPr w:rsidR="00FB0A3F" w:rsidSect="003D2180">
          <w:headerReference w:type="default" r:id="rId10"/>
          <w:footerReference w:type="default" r:id="rId11"/>
          <w:pgSz w:w="11906" w:h="16838"/>
          <w:pgMar w:top="0" w:right="0" w:bottom="0" w:left="0" w:header="0" w:footer="0" w:gutter="0"/>
          <w:pgNumType w:start="1"/>
          <w:cols w:space="708"/>
          <w:docGrid w:linePitch="360"/>
        </w:sectPr>
      </w:pPr>
      <w:r>
        <w:rPr>
          <w:noProof/>
        </w:rPr>
        <mc:AlternateContent>
          <mc:Choice Requires="wps">
            <w:drawing>
              <wp:anchor distT="0" distB="0" distL="114300" distR="114300" simplePos="0" relativeHeight="251658752" behindDoc="0" locked="0" layoutInCell="1" allowOverlap="1" wp14:anchorId="4ADF0957" wp14:editId="69761A35">
                <wp:simplePos x="0" y="0"/>
                <wp:positionH relativeFrom="column">
                  <wp:posOffset>2324100</wp:posOffset>
                </wp:positionH>
                <wp:positionV relativeFrom="paragraph">
                  <wp:posOffset>5145405</wp:posOffset>
                </wp:positionV>
                <wp:extent cx="5126990" cy="2625725"/>
                <wp:effectExtent l="0" t="0" r="0" b="0"/>
                <wp:wrapTight wrapText="bothSides">
                  <wp:wrapPolygon edited="0">
                    <wp:start x="161" y="470"/>
                    <wp:lineTo x="161" y="21156"/>
                    <wp:lineTo x="21349" y="21156"/>
                    <wp:lineTo x="21349" y="470"/>
                    <wp:lineTo x="161" y="470"/>
                  </wp:wrapPolygon>
                </wp:wrapTight>
                <wp:docPr id="246583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6990" cy="2625725"/>
                        </a:xfrm>
                        <a:prstGeom prst="rect">
                          <a:avLst/>
                        </a:prstGeom>
                        <a:noFill/>
                        <a:ln>
                          <a:noFill/>
                        </a:ln>
                      </wps:spPr>
                      <wps:txbx>
                        <w:txbxContent>
                          <w:p w14:paraId="25CC30AF" w14:textId="19DDE071" w:rsidR="00FB0A3F" w:rsidRDefault="00000000">
                            <w:pPr>
                              <w:pStyle w:val="MRAGDocHeading"/>
                              <w:rPr>
                                <w:rFonts w:cs="Arial"/>
                                <w:caps/>
                                <w:sz w:val="40"/>
                                <w:szCs w:val="40"/>
                              </w:rPr>
                            </w:pPr>
                            <w:r>
                              <w:rPr>
                                <w:rFonts w:cs="Arial"/>
                                <w:caps/>
                                <w:sz w:val="40"/>
                                <w:szCs w:val="40"/>
                              </w:rPr>
                              <w:t>Stock assessment FOR the central zone of the victorian abalone fishery</w:t>
                            </w:r>
                          </w:p>
                          <w:p w14:paraId="257466F1" w14:textId="7610E372" w:rsidR="00FB0A3F" w:rsidRDefault="00000000">
                            <w:pPr>
                              <w:pStyle w:val="MRAGDocHeading"/>
                              <w:rPr>
                                <w:rFonts w:cs="Arial"/>
                                <w:caps/>
                                <w:sz w:val="40"/>
                                <w:szCs w:val="40"/>
                              </w:rPr>
                            </w:pPr>
                            <w:r>
                              <w:rPr>
                                <w:rFonts w:cs="Arial"/>
                                <w:caps/>
                                <w:sz w:val="40"/>
                                <w:szCs w:val="40"/>
                              </w:rPr>
                              <w:t xml:space="preserve"> 202</w:t>
                            </w:r>
                            <w:r w:rsidR="007B3672">
                              <w:rPr>
                                <w:rFonts w:cs="Arial"/>
                                <w:caps/>
                                <w:sz w:val="40"/>
                                <w:szCs w:val="40"/>
                              </w:rPr>
                              <w:t>3</w:t>
                            </w:r>
                            <w:r>
                              <w:rPr>
                                <w:rFonts w:cs="Arial"/>
                                <w:caps/>
                                <w:sz w:val="40"/>
                                <w:szCs w:val="40"/>
                              </w:rPr>
                              <w:t>/2</w:t>
                            </w:r>
                            <w:r w:rsidR="007B3672">
                              <w:rPr>
                                <w:rFonts w:cs="Arial"/>
                                <w:caps/>
                                <w:sz w:val="40"/>
                                <w:szCs w:val="40"/>
                              </w:rPr>
                              <w:t>4</w:t>
                            </w:r>
                          </w:p>
                          <w:p w14:paraId="7D9DFC52" w14:textId="77777777" w:rsidR="00FB0A3F" w:rsidRDefault="00FB0A3F">
                            <w:pPr>
                              <w:pStyle w:val="MRAGDocHeading"/>
                              <w:rPr>
                                <w:rFonts w:cs="Arial"/>
                                <w:caps/>
                                <w:szCs w:val="36"/>
                              </w:rPr>
                            </w:pPr>
                          </w:p>
                          <w:p w14:paraId="30E5CEA6" w14:textId="77777777" w:rsidR="00FB0A3F" w:rsidRDefault="00FB0A3F">
                            <w:pPr>
                              <w:pStyle w:val="MRAGDocHeading"/>
                              <w:rPr>
                                <w:rFonts w:cs="Arial"/>
                                <w:caps/>
                                <w:szCs w:val="36"/>
                              </w:rPr>
                            </w:pPr>
                          </w:p>
                          <w:p w14:paraId="7B358FB1" w14:textId="77777777" w:rsidR="00FB0A3F" w:rsidRDefault="00000000">
                            <w:pPr>
                              <w:pStyle w:val="MRAGDocCoverOther"/>
                            </w:pPr>
                            <w:r>
                              <w:t>C. Dixon and J. Lowe</w:t>
                            </w:r>
                          </w:p>
                          <w:p w14:paraId="50D66DE3" w14:textId="77777777" w:rsidR="00FB0A3F" w:rsidRDefault="00FB0A3F">
                            <w:pPr>
                              <w:pStyle w:val="MRAGDocCoverOther"/>
                            </w:pPr>
                          </w:p>
                          <w:p w14:paraId="4D428F95" w14:textId="1BD3728A" w:rsidR="00FB0A3F" w:rsidRDefault="00F83410">
                            <w:pPr>
                              <w:pStyle w:val="MRAGDocCoverOther"/>
                            </w:pPr>
                            <w:r>
                              <w:t>Ma</w:t>
                            </w:r>
                            <w:r w:rsidR="003E38AD">
                              <w:t>y</w:t>
                            </w:r>
                            <w:r>
                              <w:t xml:space="preserve"> 202</w:t>
                            </w:r>
                            <w:r w:rsidR="007B3672">
                              <w:t>5</w:t>
                            </w:r>
                          </w:p>
                          <w:p w14:paraId="0D8B131C" w14:textId="77777777" w:rsidR="00FB0A3F" w:rsidRDefault="00FB0A3F">
                            <w:pPr>
                              <w:pStyle w:val="MRAGDocHeading"/>
                              <w:rPr>
                                <w:rFonts w:cs="Arial"/>
                                <w:caps/>
                                <w:szCs w:val="36"/>
                              </w:rPr>
                            </w:pPr>
                          </w:p>
                          <w:p w14:paraId="2B68D3B1" w14:textId="77777777" w:rsidR="00FB0A3F" w:rsidRDefault="00FB0A3F">
                            <w:pPr>
                              <w:pStyle w:val="MRAGDocCoverOther"/>
                              <w:rPr>
                                <w:sz w:val="28"/>
                                <w:szCs w:val="24"/>
                              </w:rPr>
                            </w:pPr>
                          </w:p>
                          <w:p w14:paraId="6F8E01D1" w14:textId="77777777" w:rsidR="00FB0A3F" w:rsidRDefault="00FB0A3F">
                            <w:pPr>
                              <w:pStyle w:val="MRAGDocCoverOther"/>
                              <w:rPr>
                                <w:sz w:val="28"/>
                                <w:szCs w:val="24"/>
                              </w:rPr>
                            </w:pPr>
                          </w:p>
                          <w:p w14:paraId="35E8AAEF" w14:textId="77777777" w:rsidR="00FB0A3F" w:rsidRDefault="00000000">
                            <w:pPr>
                              <w:pStyle w:val="MRAGDocCoverOther"/>
                              <w:rPr>
                                <w:sz w:val="28"/>
                                <w:szCs w:val="24"/>
                              </w:rPr>
                            </w:pPr>
                            <w:r>
                              <w:rPr>
                                <w:sz w:val="28"/>
                                <w:szCs w:val="24"/>
                              </w:rPr>
                              <w:t>Draft 17 February 2021</w:t>
                            </w:r>
                          </w:p>
                          <w:p w14:paraId="39F25DFA" w14:textId="77777777" w:rsidR="00FB0A3F" w:rsidRDefault="00FB0A3F">
                            <w:pPr>
                              <w:pStyle w:val="MRAGDocCoverOther"/>
                              <w:rPr>
                                <w:sz w:val="28"/>
                                <w:szCs w:val="24"/>
                              </w:rPr>
                            </w:pPr>
                          </w:p>
                          <w:p w14:paraId="220C20C8" w14:textId="77777777" w:rsidR="00FB0A3F" w:rsidRDefault="00FB0A3F">
                            <w:pPr>
                              <w:pStyle w:val="MRAGDocCoverOther"/>
                              <w:rPr>
                                <w:sz w:val="28"/>
                                <w:szCs w:val="24"/>
                              </w:rPr>
                            </w:pPr>
                          </w:p>
                        </w:txbxContent>
                      </wps:txbx>
                      <wps:bodyPr rot="0" vert="horz" wrap="square" lIns="91440" tIns="91440" rIns="91440" bIns="91440" anchor="t" anchorCtr="0" upright="1">
                        <a:noAutofit/>
                      </wps:bodyPr>
                    </wps:wsp>
                  </a:graphicData>
                </a:graphic>
              </wp:anchor>
            </w:drawing>
          </mc:Choice>
          <mc:Fallback>
            <w:pict>
              <v:shapetype w14:anchorId="4ADF0957" id="_x0000_t202" coordsize="21600,21600" o:spt="202" path="m,l,21600r21600,l21600,xe">
                <v:stroke joinstyle="miter"/>
                <v:path gradientshapeok="t" o:connecttype="rect"/>
              </v:shapetype>
              <v:shape id="Text Box 2" o:spid="_x0000_s1026" type="#_x0000_t202" style="position:absolute;margin-left:183pt;margin-top:405.15pt;width:403.7pt;height:206.7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" filled="f" stroked="f">
                <v:textbox inset=",7.2pt,,7.2pt">
                  <w:txbxContent>
                    <w:p w14:paraId="25CC30AF" w14:textId="19DDE071" w:rsidR="00FB0A3F" w:rsidRDefault="00000000">
                      <w:pPr>
                        <w:pStyle w:val="MRAGDocHeading"/>
                        <w:rPr>
                          <w:rFonts w:cs="Arial"/>
                          <w:caps/>
                          <w:sz w:val="40"/>
                          <w:szCs w:val="40"/>
                        </w:rPr>
                      </w:pPr>
                      <w:r>
                        <w:rPr>
                          <w:rFonts w:cs="Arial"/>
                          <w:caps/>
                          <w:sz w:val="40"/>
                          <w:szCs w:val="40"/>
                        </w:rPr>
                        <w:t>Stock assessment FOR the central zone of the victorian abalone fishery</w:t>
                      </w:r>
                    </w:p>
                    <w:p w14:paraId="257466F1" w14:textId="7610E372" w:rsidR="00FB0A3F" w:rsidRDefault="00000000">
                      <w:pPr>
                        <w:pStyle w:val="MRAGDocHeading"/>
                        <w:rPr>
                          <w:rFonts w:cs="Arial"/>
                          <w:caps/>
                          <w:sz w:val="40"/>
                          <w:szCs w:val="40"/>
                        </w:rPr>
                      </w:pPr>
                      <w:r>
                        <w:rPr>
                          <w:rFonts w:cs="Arial"/>
                          <w:caps/>
                          <w:sz w:val="40"/>
                          <w:szCs w:val="40"/>
                        </w:rPr>
                        <w:t xml:space="preserve"> 202</w:t>
                      </w:r>
                      <w:r w:rsidR="007B3672">
                        <w:rPr>
                          <w:rFonts w:cs="Arial"/>
                          <w:caps/>
                          <w:sz w:val="40"/>
                          <w:szCs w:val="40"/>
                        </w:rPr>
                        <w:t>3</w:t>
                      </w:r>
                      <w:r>
                        <w:rPr>
                          <w:rFonts w:cs="Arial"/>
                          <w:caps/>
                          <w:sz w:val="40"/>
                          <w:szCs w:val="40"/>
                        </w:rPr>
                        <w:t>/2</w:t>
                      </w:r>
                      <w:r w:rsidR="007B3672">
                        <w:rPr>
                          <w:rFonts w:cs="Arial"/>
                          <w:caps/>
                          <w:sz w:val="40"/>
                          <w:szCs w:val="40"/>
                        </w:rPr>
                        <w:t>4</w:t>
                      </w:r>
                    </w:p>
                    <w:p w14:paraId="7D9DFC52" w14:textId="77777777" w:rsidR="00FB0A3F" w:rsidRDefault="00FB0A3F">
                      <w:pPr>
                        <w:pStyle w:val="MRAGDocHeading"/>
                        <w:rPr>
                          <w:rFonts w:cs="Arial"/>
                          <w:caps/>
                          <w:szCs w:val="36"/>
                        </w:rPr>
                      </w:pPr>
                    </w:p>
                    <w:p w14:paraId="30E5CEA6" w14:textId="77777777" w:rsidR="00FB0A3F" w:rsidRDefault="00FB0A3F">
                      <w:pPr>
                        <w:pStyle w:val="MRAGDocHeading"/>
                        <w:rPr>
                          <w:rFonts w:cs="Arial"/>
                          <w:caps/>
                          <w:szCs w:val="36"/>
                        </w:rPr>
                      </w:pPr>
                    </w:p>
                    <w:p w14:paraId="7B358FB1" w14:textId="77777777" w:rsidR="00FB0A3F" w:rsidRDefault="00000000">
                      <w:pPr>
                        <w:pStyle w:val="MRAGDocCoverOther"/>
                      </w:pPr>
                      <w:r>
                        <w:t>C. Dixon and J. Lowe</w:t>
                      </w:r>
                    </w:p>
                    <w:p w14:paraId="50D66DE3" w14:textId="77777777" w:rsidR="00FB0A3F" w:rsidRDefault="00FB0A3F">
                      <w:pPr>
                        <w:pStyle w:val="MRAGDocCoverOther"/>
                      </w:pPr>
                    </w:p>
                    <w:p w14:paraId="4D428F95" w14:textId="1BD3728A" w:rsidR="00FB0A3F" w:rsidRDefault="00F83410">
                      <w:pPr>
                        <w:pStyle w:val="MRAGDocCoverOther"/>
                      </w:pPr>
                      <w:r>
                        <w:t>Ma</w:t>
                      </w:r>
                      <w:r w:rsidR="003E38AD">
                        <w:t>y</w:t>
                      </w:r>
                      <w:r>
                        <w:t xml:space="preserve"> 202</w:t>
                      </w:r>
                      <w:r w:rsidR="007B3672">
                        <w:t>5</w:t>
                      </w:r>
                    </w:p>
                    <w:p w14:paraId="0D8B131C" w14:textId="77777777" w:rsidR="00FB0A3F" w:rsidRDefault="00FB0A3F">
                      <w:pPr>
                        <w:pStyle w:val="MRAGDocHeading"/>
                        <w:rPr>
                          <w:rFonts w:cs="Arial"/>
                          <w:caps/>
                          <w:szCs w:val="36"/>
                        </w:rPr>
                      </w:pPr>
                    </w:p>
                    <w:p w14:paraId="2B68D3B1" w14:textId="77777777" w:rsidR="00FB0A3F" w:rsidRDefault="00FB0A3F">
                      <w:pPr>
                        <w:pStyle w:val="MRAGDocCoverOther"/>
                        <w:rPr>
                          <w:sz w:val="28"/>
                          <w:szCs w:val="24"/>
                        </w:rPr>
                      </w:pPr>
                    </w:p>
                    <w:p w14:paraId="6F8E01D1" w14:textId="77777777" w:rsidR="00FB0A3F" w:rsidRDefault="00FB0A3F">
                      <w:pPr>
                        <w:pStyle w:val="MRAGDocCoverOther"/>
                        <w:rPr>
                          <w:sz w:val="28"/>
                          <w:szCs w:val="24"/>
                        </w:rPr>
                      </w:pPr>
                    </w:p>
                    <w:p w14:paraId="35E8AAEF" w14:textId="77777777" w:rsidR="00FB0A3F" w:rsidRDefault="00000000">
                      <w:pPr>
                        <w:pStyle w:val="MRAGDocCoverOther"/>
                        <w:rPr>
                          <w:sz w:val="28"/>
                          <w:szCs w:val="24"/>
                        </w:rPr>
                      </w:pPr>
                      <w:r>
                        <w:rPr>
                          <w:sz w:val="28"/>
                          <w:szCs w:val="24"/>
                        </w:rPr>
                        <w:t>Draft 17 February 2021</w:t>
                      </w:r>
                    </w:p>
                    <w:p w14:paraId="39F25DFA" w14:textId="77777777" w:rsidR="00FB0A3F" w:rsidRDefault="00FB0A3F">
                      <w:pPr>
                        <w:pStyle w:val="MRAGDocCoverOther"/>
                        <w:rPr>
                          <w:sz w:val="28"/>
                          <w:szCs w:val="24"/>
                        </w:rPr>
                      </w:pPr>
                    </w:p>
                    <w:p w14:paraId="220C20C8" w14:textId="77777777" w:rsidR="00FB0A3F" w:rsidRDefault="00FB0A3F">
                      <w:pPr>
                        <w:pStyle w:val="MRAGDocCoverOther"/>
                        <w:rPr>
                          <w:sz w:val="28"/>
                          <w:szCs w:val="24"/>
                        </w:rPr>
                      </w:pPr>
                    </w:p>
                  </w:txbxContent>
                </v:textbox>
                <w10:wrap type="tight"/>
              </v:shape>
            </w:pict>
          </mc:Fallback>
        </mc:AlternateContent>
      </w:r>
      <w:r>
        <w:br w:type="page"/>
      </w:r>
    </w:p>
    <w:p w14:paraId="46524DC8" w14:textId="77777777" w:rsidR="00FB0A3F" w:rsidRDefault="00000000">
      <w:pPr>
        <w:pStyle w:val="About"/>
        <w:rPr>
          <w:color w:val="auto"/>
          <w:sz w:val="24"/>
          <w:szCs w:val="24"/>
        </w:rPr>
      </w:pPr>
      <w:r>
        <w:rPr>
          <w:color w:val="2F5496" w:themeColor="accent5" w:themeShade="BF"/>
          <w:sz w:val="24"/>
          <w:szCs w:val="24"/>
        </w:rPr>
        <w:lastRenderedPageBreak/>
        <w:t xml:space="preserve">About MRAG </w:t>
      </w:r>
      <w:r>
        <w:rPr>
          <w:color w:val="2F5496"/>
          <w:sz w:val="24"/>
          <w:szCs w:val="24"/>
        </w:rPr>
        <w:t>Asia</w:t>
      </w:r>
      <w:r>
        <w:rPr>
          <w:color w:val="2F5496" w:themeColor="accent5" w:themeShade="BF"/>
          <w:sz w:val="24"/>
          <w:szCs w:val="24"/>
        </w:rPr>
        <w:t xml:space="preserve"> Pacific</w:t>
      </w:r>
    </w:p>
    <w:p w14:paraId="5E7EC32D" w14:textId="77777777" w:rsidR="00FB0A3F" w:rsidRDefault="00000000">
      <w:pPr>
        <w:pStyle w:val="About"/>
        <w:rPr>
          <w:b w:val="0"/>
          <w:color w:val="auto"/>
          <w:sz w:val="22"/>
          <w:szCs w:val="22"/>
        </w:rPr>
      </w:pPr>
      <w:r>
        <w:rPr>
          <w:b w:val="0"/>
          <w:color w:val="auto"/>
          <w:sz w:val="22"/>
          <w:szCs w:val="22"/>
        </w:rPr>
        <w:t xml:space="preserve">MRAG Asia Pacific is an independent fisheries and aquatic resource consulting company dedicated to the sustainable use of natural resources through sound, integrated management practices and policies. We are part of the global MRAG group with sister companies in Europe, North America and the Asia Pacific. </w:t>
      </w:r>
    </w:p>
    <w:p w14:paraId="4012872A" w14:textId="77777777" w:rsidR="00FB0A3F" w:rsidRDefault="00000000">
      <w:pPr>
        <w:pStyle w:val="About"/>
        <w:spacing w:before="0" w:after="0"/>
        <w:rPr>
          <w:b w:val="0"/>
          <w:color w:val="auto"/>
          <w:sz w:val="22"/>
          <w:szCs w:val="22"/>
        </w:rPr>
      </w:pPr>
      <w:r>
        <w:rPr>
          <w:b w:val="0"/>
          <w:color w:val="auto"/>
          <w:sz w:val="22"/>
          <w:szCs w:val="22"/>
        </w:rPr>
        <w:t>2/29 Woodstock Rd</w:t>
      </w:r>
      <w:r>
        <w:rPr>
          <w:b w:val="0"/>
          <w:color w:val="auto"/>
          <w:sz w:val="22"/>
          <w:szCs w:val="22"/>
        </w:rPr>
        <w:tab/>
      </w:r>
      <w:r>
        <w:rPr>
          <w:b w:val="0"/>
          <w:color w:val="auto"/>
          <w:sz w:val="22"/>
          <w:szCs w:val="22"/>
        </w:rPr>
        <w:tab/>
      </w:r>
      <w:r>
        <w:rPr>
          <w:b w:val="0"/>
          <w:color w:val="auto"/>
          <w:sz w:val="22"/>
          <w:szCs w:val="22"/>
        </w:rPr>
        <w:tab/>
      </w:r>
      <w:r>
        <w:rPr>
          <w:b w:val="0"/>
          <w:color w:val="auto"/>
          <w:sz w:val="22"/>
          <w:szCs w:val="22"/>
        </w:rPr>
        <w:tab/>
        <w:t xml:space="preserve">                          PO Box 732                                      </w:t>
      </w:r>
      <w:r>
        <w:rPr>
          <w:b w:val="0"/>
          <w:color w:val="auto"/>
          <w:sz w:val="22"/>
          <w:szCs w:val="22"/>
        </w:rPr>
        <w:tab/>
      </w:r>
      <w:r>
        <w:rPr>
          <w:b w:val="0"/>
          <w:color w:val="auto"/>
          <w:sz w:val="22"/>
          <w:szCs w:val="22"/>
        </w:rPr>
        <w:tab/>
      </w:r>
      <w:r>
        <w:rPr>
          <w:b w:val="0"/>
          <w:color w:val="auto"/>
          <w:sz w:val="22"/>
          <w:szCs w:val="22"/>
        </w:rPr>
        <w:tab/>
        <w:t>P: +61 7 3371 1500</w:t>
      </w:r>
    </w:p>
    <w:p w14:paraId="21D82CBA" w14:textId="77777777" w:rsidR="00FB0A3F" w:rsidRDefault="00000000">
      <w:pPr>
        <w:pStyle w:val="About"/>
        <w:spacing w:before="0" w:after="0"/>
        <w:rPr>
          <w:b w:val="0"/>
          <w:color w:val="auto"/>
          <w:sz w:val="22"/>
          <w:szCs w:val="22"/>
        </w:rPr>
      </w:pPr>
      <w:r>
        <w:rPr>
          <w:b w:val="0"/>
          <w:color w:val="auto"/>
          <w:sz w:val="22"/>
          <w:szCs w:val="22"/>
        </w:rPr>
        <w:t xml:space="preserve">Toowong Qld 4066                           </w:t>
      </w:r>
      <w:r>
        <w:rPr>
          <w:b w:val="0"/>
          <w:color w:val="auto"/>
          <w:sz w:val="22"/>
          <w:szCs w:val="22"/>
        </w:rPr>
        <w:tab/>
      </w:r>
      <w:r>
        <w:rPr>
          <w:b w:val="0"/>
          <w:color w:val="auto"/>
          <w:sz w:val="22"/>
          <w:szCs w:val="22"/>
        </w:rPr>
        <w:tab/>
        <w:t>Toowong Qld 4066</w:t>
      </w:r>
      <w:r>
        <w:rPr>
          <w:b w:val="0"/>
          <w:color w:val="auto"/>
          <w:sz w:val="22"/>
          <w:szCs w:val="22"/>
        </w:rPr>
        <w:tab/>
      </w:r>
      <w:r>
        <w:rPr>
          <w:b w:val="0"/>
          <w:color w:val="auto"/>
          <w:sz w:val="22"/>
          <w:szCs w:val="22"/>
        </w:rPr>
        <w:tab/>
        <w:t xml:space="preserve">                           F: +61 7 3100 8035</w:t>
      </w:r>
    </w:p>
    <w:p w14:paraId="7D38A692" w14:textId="77777777" w:rsidR="00FB0A3F" w:rsidRDefault="00000000">
      <w:pPr>
        <w:pStyle w:val="About"/>
        <w:spacing w:before="0"/>
        <w:rPr>
          <w:b w:val="0"/>
          <w:color w:val="auto"/>
          <w:sz w:val="22"/>
          <w:szCs w:val="22"/>
        </w:rPr>
      </w:pPr>
      <w:r>
        <w:rPr>
          <w:b w:val="0"/>
          <w:color w:val="auto"/>
          <w:sz w:val="22"/>
          <w:szCs w:val="22"/>
        </w:rPr>
        <w:t xml:space="preserve">Australia </w:t>
      </w:r>
      <w:r>
        <w:rPr>
          <w:b w:val="0"/>
          <w:color w:val="auto"/>
          <w:sz w:val="22"/>
          <w:szCs w:val="22"/>
        </w:rPr>
        <w:tab/>
      </w:r>
      <w:r>
        <w:rPr>
          <w:b w:val="0"/>
          <w:color w:val="auto"/>
          <w:sz w:val="22"/>
          <w:szCs w:val="22"/>
        </w:rPr>
        <w:tab/>
      </w:r>
      <w:r>
        <w:rPr>
          <w:b w:val="0"/>
          <w:color w:val="auto"/>
          <w:sz w:val="22"/>
          <w:szCs w:val="22"/>
        </w:rPr>
        <w:tab/>
        <w:t xml:space="preserve">                                           Australia                                           </w:t>
      </w:r>
      <w:r>
        <w:rPr>
          <w:b w:val="0"/>
          <w:color w:val="auto"/>
          <w:sz w:val="22"/>
          <w:szCs w:val="22"/>
        </w:rPr>
        <w:tab/>
      </w:r>
      <w:r>
        <w:rPr>
          <w:b w:val="0"/>
          <w:color w:val="auto"/>
          <w:sz w:val="22"/>
          <w:szCs w:val="22"/>
        </w:rPr>
        <w:tab/>
      </w:r>
      <w:r>
        <w:rPr>
          <w:b w:val="0"/>
          <w:color w:val="auto"/>
          <w:sz w:val="22"/>
          <w:szCs w:val="22"/>
        </w:rPr>
        <w:tab/>
      </w:r>
      <w:r>
        <w:rPr>
          <w:b w:val="0"/>
          <w:color w:val="auto"/>
          <w:sz w:val="22"/>
          <w:szCs w:val="22"/>
        </w:rPr>
        <w:tab/>
        <w:t xml:space="preserve">E: info@mragasiapacific.com.au </w:t>
      </w:r>
    </w:p>
    <w:p w14:paraId="015B286D" w14:textId="77777777" w:rsidR="00FB0A3F" w:rsidRDefault="00FB0A3F">
      <w:pPr>
        <w:rPr>
          <w:rFonts w:ascii="Arial Narrow" w:hAnsi="Arial Narrow"/>
        </w:rPr>
      </w:pPr>
    </w:p>
    <w:p w14:paraId="212A9AF7" w14:textId="6FF80D63" w:rsidR="00FB0A3F" w:rsidRDefault="00000000">
      <w:pPr>
        <w:spacing w:before="360"/>
        <w:rPr>
          <w:rFonts w:ascii="Arial Narrow" w:hAnsi="Arial Narrow"/>
        </w:rPr>
      </w:pPr>
      <w:r>
        <w:rPr>
          <w:rFonts w:ascii="Arial Narrow" w:hAnsi="Arial Narrow"/>
        </w:rPr>
        <w:t>Preferred citation: Dixon, C.D., and Lowe, J. (202</w:t>
      </w:r>
      <w:r w:rsidR="007B3672">
        <w:rPr>
          <w:rFonts w:ascii="Arial Narrow" w:hAnsi="Arial Narrow"/>
        </w:rPr>
        <w:t>5</w:t>
      </w:r>
      <w:r>
        <w:rPr>
          <w:rFonts w:ascii="Arial Narrow" w:hAnsi="Arial Narrow"/>
        </w:rPr>
        <w:t>). Stock Assessment for the Central Zone of the Victorian Abalone Fishery 202</w:t>
      </w:r>
      <w:r w:rsidR="007B3672">
        <w:rPr>
          <w:rFonts w:ascii="Arial Narrow" w:hAnsi="Arial Narrow"/>
        </w:rPr>
        <w:t>3</w:t>
      </w:r>
      <w:r>
        <w:rPr>
          <w:rFonts w:ascii="Arial Narrow" w:hAnsi="Arial Narrow"/>
        </w:rPr>
        <w:t>/2</w:t>
      </w:r>
      <w:r w:rsidR="007B3672">
        <w:rPr>
          <w:rFonts w:ascii="Arial Narrow" w:hAnsi="Arial Narrow"/>
        </w:rPr>
        <w:t>4</w:t>
      </w:r>
      <w:r>
        <w:rPr>
          <w:rFonts w:ascii="Arial Narrow" w:hAnsi="Arial Narrow"/>
        </w:rPr>
        <w:t>. MRAG Asia Pacific, Brisbane, Australia.</w:t>
      </w:r>
    </w:p>
    <w:p w14:paraId="7A87C680" w14:textId="77777777" w:rsidR="00FB0A3F" w:rsidRDefault="00FB0A3F">
      <w:pPr>
        <w:rPr>
          <w:rFonts w:ascii="Arial Narrow" w:hAnsi="Arial Narrow"/>
        </w:rPr>
      </w:pPr>
    </w:p>
    <w:p w14:paraId="45D720DC" w14:textId="61A2183D" w:rsidR="00FB0A3F" w:rsidRDefault="00000000">
      <w:pPr>
        <w:rPr>
          <w:rFonts w:ascii="Arial Narrow" w:hAnsi="Arial Narrow"/>
        </w:rPr>
      </w:pPr>
      <w:r>
        <w:rPr>
          <w:rFonts w:ascii="Arial Narrow" w:hAnsi="Arial Narrow"/>
        </w:rPr>
        <w:t>ISBN:</w:t>
      </w:r>
      <w:r w:rsidR="00333B2A">
        <w:rPr>
          <w:rFonts w:ascii="Arial Narrow" w:hAnsi="Arial Narrow"/>
        </w:rPr>
        <w:t xml:space="preserve"> </w:t>
      </w:r>
      <w:r w:rsidR="003E38AD" w:rsidRPr="003E38AD">
        <w:rPr>
          <w:rFonts w:ascii="Arial Narrow" w:hAnsi="Arial Narrow"/>
        </w:rPr>
        <w:t>978-0-6454622-8-9</w:t>
      </w:r>
    </w:p>
    <w:p w14:paraId="69147FFF" w14:textId="77777777" w:rsidR="00FB0A3F" w:rsidRDefault="00FB0A3F">
      <w:pPr>
        <w:spacing w:after="240"/>
        <w:rPr>
          <w:rFonts w:ascii="Arial Narrow" w:hAnsi="Arial Narrow"/>
        </w:rPr>
      </w:pPr>
    </w:p>
    <w:p w14:paraId="527F3EF0" w14:textId="4335846B" w:rsidR="00FB0A3F" w:rsidRDefault="00000000">
      <w:pPr>
        <w:spacing w:after="240"/>
        <w:rPr>
          <w:rFonts w:ascii="Arial Narrow" w:hAnsi="Arial Narrow"/>
        </w:rPr>
      </w:pPr>
      <w:r>
        <w:rPr>
          <w:rFonts w:ascii="Arial Narrow" w:hAnsi="Arial Narrow"/>
        </w:rPr>
        <w:t xml:space="preserve">Published: </w:t>
      </w:r>
      <w:r w:rsidR="00BF48B3" w:rsidRPr="00BF48B3">
        <w:rPr>
          <w:rFonts w:ascii="Arial Narrow" w:hAnsi="Arial Narrow"/>
        </w:rPr>
        <w:t>1</w:t>
      </w:r>
      <w:r w:rsidR="003E38AD">
        <w:rPr>
          <w:rFonts w:ascii="Arial Narrow" w:hAnsi="Arial Narrow"/>
        </w:rPr>
        <w:t>5</w:t>
      </w:r>
      <w:r w:rsidR="00BF48B3" w:rsidRPr="00BF48B3">
        <w:rPr>
          <w:rFonts w:ascii="Arial Narrow" w:hAnsi="Arial Narrow"/>
        </w:rPr>
        <w:t xml:space="preserve"> </w:t>
      </w:r>
      <w:r w:rsidRPr="00BF48B3">
        <w:rPr>
          <w:rFonts w:ascii="Arial Narrow" w:hAnsi="Arial Narrow"/>
        </w:rPr>
        <w:t>Ma</w:t>
      </w:r>
      <w:r w:rsidR="003E38AD">
        <w:rPr>
          <w:rFonts w:ascii="Arial Narrow" w:hAnsi="Arial Narrow"/>
        </w:rPr>
        <w:t>y</w:t>
      </w:r>
      <w:r w:rsidRPr="00BF48B3">
        <w:rPr>
          <w:rFonts w:ascii="Arial Narrow" w:hAnsi="Arial Narrow"/>
        </w:rPr>
        <w:t xml:space="preserve"> 202</w:t>
      </w:r>
      <w:r w:rsidR="00BF48B3" w:rsidRPr="00BF48B3">
        <w:rPr>
          <w:rFonts w:ascii="Arial Narrow" w:hAnsi="Arial Narrow"/>
        </w:rPr>
        <w:t>5</w:t>
      </w:r>
    </w:p>
    <w:p w14:paraId="769E6D34" w14:textId="77777777" w:rsidR="00FB0A3F" w:rsidRDefault="00FB0A3F">
      <w:pPr>
        <w:spacing w:after="240"/>
        <w:rPr>
          <w:rFonts w:ascii="Arial Narrow" w:hAnsi="Arial Narrow"/>
        </w:rPr>
      </w:pPr>
    </w:p>
    <w:p w14:paraId="36D052EF" w14:textId="77777777" w:rsidR="00FB0A3F" w:rsidRDefault="00FB0A3F">
      <w:pPr>
        <w:spacing w:after="240"/>
        <w:rPr>
          <w:rFonts w:ascii="Arial Narrow" w:hAnsi="Arial Narrow"/>
          <w:sz w:val="20"/>
          <w:szCs w:val="20"/>
        </w:rPr>
      </w:pPr>
    </w:p>
    <w:p w14:paraId="710A7C27" w14:textId="77777777" w:rsidR="00FB0A3F" w:rsidRDefault="00FB0A3F">
      <w:pPr>
        <w:spacing w:after="240"/>
        <w:rPr>
          <w:rFonts w:ascii="Arial Narrow" w:hAnsi="Arial Narrow"/>
          <w:sz w:val="20"/>
          <w:szCs w:val="20"/>
        </w:rPr>
      </w:pPr>
    </w:p>
    <w:p w14:paraId="3A49E27F" w14:textId="77777777" w:rsidR="00FB0A3F" w:rsidRDefault="00FB0A3F">
      <w:pPr>
        <w:spacing w:after="240"/>
        <w:rPr>
          <w:rFonts w:ascii="Arial Narrow" w:hAnsi="Arial Narrow"/>
          <w:sz w:val="20"/>
          <w:szCs w:val="20"/>
        </w:rPr>
      </w:pPr>
    </w:p>
    <w:p w14:paraId="3F830591" w14:textId="77777777" w:rsidR="00FB0A3F" w:rsidRDefault="00FB0A3F">
      <w:pPr>
        <w:spacing w:after="240"/>
      </w:pPr>
    </w:p>
    <w:p w14:paraId="207966F1" w14:textId="77777777" w:rsidR="00FB0A3F" w:rsidRDefault="00000000">
      <w:pPr>
        <w:rPr>
          <w:rStyle w:val="IntenseReference1"/>
          <w:sz w:val="24"/>
          <w:szCs w:val="24"/>
        </w:rPr>
      </w:pPr>
      <w:r>
        <w:rPr>
          <w:rStyle w:val="IntenseReference1"/>
          <w:sz w:val="24"/>
          <w:szCs w:val="24"/>
        </w:rPr>
        <w:t>Acknowledgements</w:t>
      </w:r>
    </w:p>
    <w:p w14:paraId="6C6EE82A" w14:textId="3AB23F70" w:rsidR="00FB0A3F" w:rsidRDefault="00000000">
      <w:pPr>
        <w:rPr>
          <w:rFonts w:ascii="Arial Narrow" w:hAnsi="Arial Narrow"/>
        </w:rPr>
      </w:pPr>
      <w:r>
        <w:rPr>
          <w:rFonts w:ascii="Arial Narrow" w:hAnsi="Arial Narrow"/>
        </w:rPr>
        <w:t xml:space="preserve">Funds for this work were obtained through the Victorian Fisheries Authority (VFA), obtained through licence fees. We are grateful to Michael Cleland for his assistance in the provision and interpretation of data. Anthony McGrath and </w:t>
      </w:r>
      <w:r w:rsidR="00F21CA8">
        <w:rPr>
          <w:rFonts w:ascii="Arial Narrow" w:hAnsi="Arial Narrow"/>
        </w:rPr>
        <w:t>Melissa Schubert</w:t>
      </w:r>
      <w:r>
        <w:rPr>
          <w:rFonts w:ascii="Arial Narrow" w:hAnsi="Arial Narrow"/>
        </w:rPr>
        <w:t xml:space="preserve"> provided constructive reviews of the document. </w:t>
      </w:r>
    </w:p>
    <w:p w14:paraId="75CD916F" w14:textId="77777777" w:rsidR="00FB0A3F" w:rsidRDefault="00000000">
      <w:pPr>
        <w:spacing w:after="240"/>
      </w:pPr>
      <w:r>
        <w:rPr>
          <w:rStyle w:val="IntenseReference1"/>
          <w:noProof/>
        </w:rPr>
        <w:drawing>
          <wp:anchor distT="0" distB="0" distL="114300" distR="114300" simplePos="0" relativeHeight="251657728" behindDoc="0" locked="0" layoutInCell="1" allowOverlap="1" wp14:anchorId="72D847A8" wp14:editId="6E41E127">
            <wp:simplePos x="0" y="0"/>
            <wp:positionH relativeFrom="margin">
              <wp:posOffset>5057775</wp:posOffset>
            </wp:positionH>
            <wp:positionV relativeFrom="paragraph">
              <wp:posOffset>241935</wp:posOffset>
            </wp:positionV>
            <wp:extent cx="664210" cy="664210"/>
            <wp:effectExtent l="0" t="0" r="2540" b="254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noChangeArrowheads="1"/>
                    </pic:cNvPicPr>
                  </pic:nvPicPr>
                  <pic:blipFill>
                    <a:blip r:embed="rId12" cstate="screen"/>
                    <a:srcRect/>
                    <a:stretch>
                      <a:fillRect/>
                    </a:stretch>
                  </pic:blipFill>
                  <pic:spPr>
                    <a:xfrm>
                      <a:off x="0" y="0"/>
                      <a:ext cx="664210" cy="664210"/>
                    </a:xfrm>
                    <a:prstGeom prst="rect">
                      <a:avLst/>
                    </a:prstGeom>
                    <a:noFill/>
                  </pic:spPr>
                </pic:pic>
              </a:graphicData>
            </a:graphic>
          </wp:anchor>
        </w:drawing>
      </w:r>
    </w:p>
    <w:p w14:paraId="6A514B07" w14:textId="77777777" w:rsidR="00FB0A3F" w:rsidRDefault="00FB0A3F">
      <w:pPr>
        <w:spacing w:after="240"/>
      </w:pPr>
    </w:p>
    <w:p w14:paraId="4BB8478D" w14:textId="77777777" w:rsidR="00FB0A3F" w:rsidRDefault="00FB0A3F">
      <w:pPr>
        <w:spacing w:after="240"/>
      </w:pPr>
    </w:p>
    <w:p w14:paraId="779DB74C" w14:textId="77777777" w:rsidR="00FB0A3F" w:rsidRDefault="00FB0A3F">
      <w:pPr>
        <w:spacing w:after="240"/>
      </w:pPr>
    </w:p>
    <w:tbl>
      <w:tblPr>
        <w:tblStyle w:val="TableGrid"/>
        <w:tblW w:w="0" w:type="auto"/>
        <w:tblLook w:val="04A0" w:firstRow="1" w:lastRow="0" w:firstColumn="1" w:lastColumn="0" w:noHBand="0" w:noVBand="1"/>
      </w:tblPr>
      <w:tblGrid>
        <w:gridCol w:w="9016"/>
      </w:tblGrid>
      <w:tr w:rsidR="00FB0A3F" w14:paraId="75AF630C" w14:textId="77777777">
        <w:tc>
          <w:tcPr>
            <w:tcW w:w="9016" w:type="dxa"/>
          </w:tcPr>
          <w:p w14:paraId="788DDEF5" w14:textId="77777777" w:rsidR="00FB0A3F" w:rsidRDefault="00000000">
            <w:pPr>
              <w:spacing w:after="240"/>
              <w:rPr>
                <w:rFonts w:ascii="Arial Narrow" w:hAnsi="Arial Narrow" w:cstheme="majorHAnsi"/>
                <w:sz w:val="20"/>
                <w:szCs w:val="20"/>
              </w:rPr>
            </w:pPr>
            <w:r>
              <w:rPr>
                <w:rFonts w:ascii="Arial Narrow" w:hAnsi="Arial Narrow" w:cstheme="majorHAnsi"/>
              </w:rPr>
              <w:t xml:space="preserve">Disclaimer: The results and analyses contained in this Report are based on </w:t>
            </w:r>
            <w:proofErr w:type="gramStart"/>
            <w:r>
              <w:rPr>
                <w:rFonts w:ascii="Arial Narrow" w:hAnsi="Arial Narrow" w:cstheme="majorHAnsi"/>
              </w:rPr>
              <w:t>a number of</w:t>
            </w:r>
            <w:proofErr w:type="gramEnd"/>
            <w:r>
              <w:rPr>
                <w:rFonts w:ascii="Arial Narrow" w:hAnsi="Arial Narrow" w:cstheme="majorHAnsi"/>
              </w:rPr>
              <w:t xml:space="preserve"> technical or otherwise specified assumptions and parameters. The user must make their own assessment of the suitability for its use of the information or material contained in or generated from the Report.  Although all reasonable efforts have been made to ensure quality, MRAG does not warrant that the information in this report is free from errors or omissions.  To the extent permitted by law, MRAG does not accept any liability to any party for expenses, losses, damages and costs arising directly or indirectly from using this Report.</w:t>
            </w:r>
          </w:p>
        </w:tc>
      </w:tr>
    </w:tbl>
    <w:p w14:paraId="6477C1E9" w14:textId="77777777" w:rsidR="00FB0A3F" w:rsidRDefault="00FB0A3F">
      <w:pPr>
        <w:rPr>
          <w:sz w:val="4"/>
          <w:szCs w:val="4"/>
        </w:rPr>
      </w:pPr>
    </w:p>
    <w:sdt>
      <w:sdtPr>
        <w:rPr>
          <w:rFonts w:asciiTheme="minorHAnsi" w:eastAsiaTheme="minorHAnsi" w:hAnsiTheme="minorHAnsi" w:cstheme="minorBidi"/>
          <w:color w:val="auto"/>
          <w:sz w:val="22"/>
          <w:szCs w:val="22"/>
          <w:lang w:val="en-AU"/>
        </w:rPr>
        <w:id w:val="-1408528524"/>
        <w:docPartObj>
          <w:docPartGallery w:val="Table of Contents"/>
          <w:docPartUnique/>
        </w:docPartObj>
      </w:sdtPr>
      <w:sdtEndPr>
        <w:rPr>
          <w:b/>
          <w:bCs/>
        </w:rPr>
      </w:sdtEndPr>
      <w:sdtContent>
        <w:p w14:paraId="6156FFE7" w14:textId="77777777" w:rsidR="00FB0A3F" w:rsidRDefault="00000000">
          <w:pPr>
            <w:pStyle w:val="TOCHeading1"/>
          </w:pPr>
          <w:r>
            <w:t>Contents</w:t>
          </w:r>
        </w:p>
        <w:p w14:paraId="0F7DCEA6" w14:textId="36F90B7B" w:rsidR="007C2730" w:rsidRDefault="00000000">
          <w:pPr>
            <w:pStyle w:val="TOC1"/>
            <w:tabs>
              <w:tab w:val="left" w:pos="440"/>
              <w:tab w:val="right" w:leader="dot" w:pos="9016"/>
            </w:tabs>
            <w:rPr>
              <w:rFonts w:eastAsiaTheme="minorEastAsia"/>
              <w:b w:val="0"/>
              <w:bCs w:val="0"/>
              <w:caps w:val="0"/>
              <w:noProof/>
              <w:kern w:val="2"/>
              <w:sz w:val="24"/>
              <w:szCs w:val="24"/>
              <w:lang w:eastAsia="en-AU"/>
              <w14:ligatures w14:val="standardContextual"/>
            </w:rPr>
          </w:pPr>
          <w:r>
            <w:rPr>
              <w:sz w:val="22"/>
              <w:szCs w:val="22"/>
            </w:rPr>
            <w:fldChar w:fldCharType="begin"/>
          </w:r>
          <w:r>
            <w:rPr>
              <w:sz w:val="22"/>
              <w:szCs w:val="22"/>
            </w:rPr>
            <w:instrText xml:space="preserve"> TOC \o "1-3" \h \z \u </w:instrText>
          </w:r>
          <w:r>
            <w:rPr>
              <w:sz w:val="22"/>
              <w:szCs w:val="22"/>
            </w:rPr>
            <w:fldChar w:fldCharType="separate"/>
          </w:r>
          <w:hyperlink w:anchor="_Toc192777195" w:history="1">
            <w:r w:rsidR="007C2730" w:rsidRPr="00726DB7">
              <w:rPr>
                <w:rStyle w:val="Hyperlink"/>
                <w:noProof/>
              </w:rPr>
              <w:t>1.</w:t>
            </w:r>
            <w:r w:rsidR="007C2730">
              <w:rPr>
                <w:rFonts w:eastAsiaTheme="minorEastAsia"/>
                <w:b w:val="0"/>
                <w:bCs w:val="0"/>
                <w:caps w:val="0"/>
                <w:noProof/>
                <w:kern w:val="2"/>
                <w:sz w:val="24"/>
                <w:szCs w:val="24"/>
                <w:lang w:eastAsia="en-AU"/>
                <w14:ligatures w14:val="standardContextual"/>
              </w:rPr>
              <w:tab/>
            </w:r>
            <w:r w:rsidR="007C2730" w:rsidRPr="00726DB7">
              <w:rPr>
                <w:rStyle w:val="Hyperlink"/>
                <w:noProof/>
              </w:rPr>
              <w:t>General Introduction</w:t>
            </w:r>
            <w:r w:rsidR="007C2730">
              <w:rPr>
                <w:noProof/>
                <w:webHidden/>
              </w:rPr>
              <w:tab/>
            </w:r>
            <w:r w:rsidR="007C2730">
              <w:rPr>
                <w:noProof/>
                <w:webHidden/>
              </w:rPr>
              <w:fldChar w:fldCharType="begin"/>
            </w:r>
            <w:r w:rsidR="007C2730">
              <w:rPr>
                <w:noProof/>
                <w:webHidden/>
              </w:rPr>
              <w:instrText xml:space="preserve"> PAGEREF _Toc192777195 \h </w:instrText>
            </w:r>
            <w:r w:rsidR="007C2730">
              <w:rPr>
                <w:noProof/>
                <w:webHidden/>
              </w:rPr>
            </w:r>
            <w:r w:rsidR="007C2730">
              <w:rPr>
                <w:noProof/>
                <w:webHidden/>
              </w:rPr>
              <w:fldChar w:fldCharType="separate"/>
            </w:r>
            <w:r w:rsidR="00EE76A5">
              <w:rPr>
                <w:noProof/>
                <w:webHidden/>
              </w:rPr>
              <w:t>2</w:t>
            </w:r>
            <w:r w:rsidR="007C2730">
              <w:rPr>
                <w:noProof/>
                <w:webHidden/>
              </w:rPr>
              <w:fldChar w:fldCharType="end"/>
            </w:r>
          </w:hyperlink>
        </w:p>
        <w:p w14:paraId="686D7518" w14:textId="6B7D12FF" w:rsidR="007C2730" w:rsidRDefault="00000000">
          <w:pPr>
            <w:pStyle w:val="TOC2"/>
            <w:tabs>
              <w:tab w:val="left" w:pos="1100"/>
              <w:tab w:val="right" w:leader="dot" w:pos="9016"/>
            </w:tabs>
            <w:rPr>
              <w:rFonts w:eastAsiaTheme="minorEastAsia"/>
              <w:smallCaps w:val="0"/>
              <w:noProof/>
              <w:kern w:val="2"/>
              <w:sz w:val="24"/>
              <w:szCs w:val="24"/>
              <w:lang w:eastAsia="en-AU"/>
              <w14:ligatures w14:val="standardContextual"/>
            </w:rPr>
          </w:pPr>
          <w:hyperlink w:anchor="_Toc192777196" w:history="1">
            <w:r w:rsidR="007C2730" w:rsidRPr="00726DB7">
              <w:rPr>
                <w:rStyle w:val="Hyperlink"/>
                <w:noProof/>
              </w:rPr>
              <w:t>1.1.</w:t>
            </w:r>
            <w:r w:rsidR="007C2730">
              <w:rPr>
                <w:rFonts w:eastAsiaTheme="minorEastAsia"/>
                <w:smallCaps w:val="0"/>
                <w:noProof/>
                <w:kern w:val="2"/>
                <w:sz w:val="24"/>
                <w:szCs w:val="24"/>
                <w:lang w:eastAsia="en-AU"/>
                <w14:ligatures w14:val="standardContextual"/>
              </w:rPr>
              <w:tab/>
            </w:r>
            <w:r w:rsidR="007C2730" w:rsidRPr="00726DB7">
              <w:rPr>
                <w:rStyle w:val="Hyperlink"/>
                <w:noProof/>
              </w:rPr>
              <w:t>Overview</w:t>
            </w:r>
            <w:r w:rsidR="007C2730">
              <w:rPr>
                <w:noProof/>
                <w:webHidden/>
              </w:rPr>
              <w:tab/>
            </w:r>
            <w:r w:rsidR="007C2730">
              <w:rPr>
                <w:noProof/>
                <w:webHidden/>
              </w:rPr>
              <w:fldChar w:fldCharType="begin"/>
            </w:r>
            <w:r w:rsidR="007C2730">
              <w:rPr>
                <w:noProof/>
                <w:webHidden/>
              </w:rPr>
              <w:instrText xml:space="preserve"> PAGEREF _Toc192777196 \h </w:instrText>
            </w:r>
            <w:r w:rsidR="007C2730">
              <w:rPr>
                <w:noProof/>
                <w:webHidden/>
              </w:rPr>
            </w:r>
            <w:r w:rsidR="007C2730">
              <w:rPr>
                <w:noProof/>
                <w:webHidden/>
              </w:rPr>
              <w:fldChar w:fldCharType="separate"/>
            </w:r>
            <w:r w:rsidR="00EE76A5">
              <w:rPr>
                <w:noProof/>
                <w:webHidden/>
              </w:rPr>
              <w:t>2</w:t>
            </w:r>
            <w:r w:rsidR="007C2730">
              <w:rPr>
                <w:noProof/>
                <w:webHidden/>
              </w:rPr>
              <w:fldChar w:fldCharType="end"/>
            </w:r>
          </w:hyperlink>
        </w:p>
        <w:p w14:paraId="4A31FBCD" w14:textId="408AE6F4" w:rsidR="007C2730" w:rsidRDefault="00000000">
          <w:pPr>
            <w:pStyle w:val="TOC2"/>
            <w:tabs>
              <w:tab w:val="left" w:pos="1100"/>
              <w:tab w:val="right" w:leader="dot" w:pos="9016"/>
            </w:tabs>
            <w:rPr>
              <w:rFonts w:eastAsiaTheme="minorEastAsia"/>
              <w:smallCaps w:val="0"/>
              <w:noProof/>
              <w:kern w:val="2"/>
              <w:sz w:val="24"/>
              <w:szCs w:val="24"/>
              <w:lang w:eastAsia="en-AU"/>
              <w14:ligatures w14:val="standardContextual"/>
            </w:rPr>
          </w:pPr>
          <w:hyperlink w:anchor="_Toc192777199" w:history="1">
            <w:r w:rsidR="007C2730" w:rsidRPr="00726DB7">
              <w:rPr>
                <w:rStyle w:val="Hyperlink"/>
                <w:noProof/>
              </w:rPr>
              <w:t>1.2.</w:t>
            </w:r>
            <w:r w:rsidR="007C2730">
              <w:rPr>
                <w:rFonts w:eastAsiaTheme="minorEastAsia"/>
                <w:smallCaps w:val="0"/>
                <w:noProof/>
                <w:kern w:val="2"/>
                <w:sz w:val="24"/>
                <w:szCs w:val="24"/>
                <w:lang w:eastAsia="en-AU"/>
                <w14:ligatures w14:val="standardContextual"/>
              </w:rPr>
              <w:tab/>
            </w:r>
            <w:r w:rsidR="007C2730" w:rsidRPr="00726DB7">
              <w:rPr>
                <w:rStyle w:val="Hyperlink"/>
                <w:noProof/>
              </w:rPr>
              <w:t>Description of the Central Zone</w:t>
            </w:r>
            <w:r w:rsidR="007C2730">
              <w:rPr>
                <w:noProof/>
                <w:webHidden/>
              </w:rPr>
              <w:tab/>
            </w:r>
            <w:r w:rsidR="007C2730">
              <w:rPr>
                <w:noProof/>
                <w:webHidden/>
              </w:rPr>
              <w:fldChar w:fldCharType="begin"/>
            </w:r>
            <w:r w:rsidR="007C2730">
              <w:rPr>
                <w:noProof/>
                <w:webHidden/>
              </w:rPr>
              <w:instrText xml:space="preserve"> PAGEREF _Toc192777199 \h </w:instrText>
            </w:r>
            <w:r w:rsidR="007C2730">
              <w:rPr>
                <w:noProof/>
                <w:webHidden/>
              </w:rPr>
            </w:r>
            <w:r w:rsidR="007C2730">
              <w:rPr>
                <w:noProof/>
                <w:webHidden/>
              </w:rPr>
              <w:fldChar w:fldCharType="separate"/>
            </w:r>
            <w:r w:rsidR="00EE76A5">
              <w:rPr>
                <w:noProof/>
                <w:webHidden/>
              </w:rPr>
              <w:t>2</w:t>
            </w:r>
            <w:r w:rsidR="007C2730">
              <w:rPr>
                <w:noProof/>
                <w:webHidden/>
              </w:rPr>
              <w:fldChar w:fldCharType="end"/>
            </w:r>
          </w:hyperlink>
        </w:p>
        <w:p w14:paraId="7A95B864" w14:textId="23FC003F" w:rsidR="007C2730" w:rsidRDefault="00000000">
          <w:pPr>
            <w:pStyle w:val="TOC2"/>
            <w:tabs>
              <w:tab w:val="left" w:pos="1100"/>
              <w:tab w:val="right" w:leader="dot" w:pos="9016"/>
            </w:tabs>
            <w:rPr>
              <w:rFonts w:eastAsiaTheme="minorEastAsia"/>
              <w:smallCaps w:val="0"/>
              <w:noProof/>
              <w:kern w:val="2"/>
              <w:sz w:val="24"/>
              <w:szCs w:val="24"/>
              <w:lang w:eastAsia="en-AU"/>
              <w14:ligatures w14:val="standardContextual"/>
            </w:rPr>
          </w:pPr>
          <w:hyperlink w:anchor="_Toc192777200" w:history="1">
            <w:r w:rsidR="007C2730" w:rsidRPr="00726DB7">
              <w:rPr>
                <w:rStyle w:val="Hyperlink"/>
                <w:noProof/>
              </w:rPr>
              <w:t>1.3.</w:t>
            </w:r>
            <w:r w:rsidR="007C2730">
              <w:rPr>
                <w:rFonts w:eastAsiaTheme="minorEastAsia"/>
                <w:smallCaps w:val="0"/>
                <w:noProof/>
                <w:kern w:val="2"/>
                <w:sz w:val="24"/>
                <w:szCs w:val="24"/>
                <w:lang w:eastAsia="en-AU"/>
                <w14:ligatures w14:val="standardContextual"/>
              </w:rPr>
              <w:tab/>
            </w:r>
            <w:r w:rsidR="007C2730" w:rsidRPr="00726DB7">
              <w:rPr>
                <w:rStyle w:val="Hyperlink"/>
                <w:noProof/>
              </w:rPr>
              <w:t>Objectives</w:t>
            </w:r>
            <w:r w:rsidR="007C2730">
              <w:rPr>
                <w:noProof/>
                <w:webHidden/>
              </w:rPr>
              <w:tab/>
            </w:r>
            <w:r w:rsidR="007C2730">
              <w:rPr>
                <w:noProof/>
                <w:webHidden/>
              </w:rPr>
              <w:fldChar w:fldCharType="begin"/>
            </w:r>
            <w:r w:rsidR="007C2730">
              <w:rPr>
                <w:noProof/>
                <w:webHidden/>
              </w:rPr>
              <w:instrText xml:space="preserve"> PAGEREF _Toc192777200 \h </w:instrText>
            </w:r>
            <w:r w:rsidR="007C2730">
              <w:rPr>
                <w:noProof/>
                <w:webHidden/>
              </w:rPr>
            </w:r>
            <w:r w:rsidR="007C2730">
              <w:rPr>
                <w:noProof/>
                <w:webHidden/>
              </w:rPr>
              <w:fldChar w:fldCharType="separate"/>
            </w:r>
            <w:r w:rsidR="00EE76A5">
              <w:rPr>
                <w:noProof/>
                <w:webHidden/>
              </w:rPr>
              <w:t>3</w:t>
            </w:r>
            <w:r w:rsidR="007C2730">
              <w:rPr>
                <w:noProof/>
                <w:webHidden/>
              </w:rPr>
              <w:fldChar w:fldCharType="end"/>
            </w:r>
          </w:hyperlink>
        </w:p>
        <w:p w14:paraId="5CCFDB1F" w14:textId="0B7611A3" w:rsidR="007C2730" w:rsidRDefault="00000000">
          <w:pPr>
            <w:pStyle w:val="TOC2"/>
            <w:tabs>
              <w:tab w:val="left" w:pos="1100"/>
              <w:tab w:val="right" w:leader="dot" w:pos="9016"/>
            </w:tabs>
            <w:rPr>
              <w:rFonts w:eastAsiaTheme="minorEastAsia"/>
              <w:smallCaps w:val="0"/>
              <w:noProof/>
              <w:kern w:val="2"/>
              <w:sz w:val="24"/>
              <w:szCs w:val="24"/>
              <w:lang w:eastAsia="en-AU"/>
              <w14:ligatures w14:val="standardContextual"/>
            </w:rPr>
          </w:pPr>
          <w:hyperlink w:anchor="_Toc192777201" w:history="1">
            <w:r w:rsidR="007C2730" w:rsidRPr="00726DB7">
              <w:rPr>
                <w:rStyle w:val="Hyperlink"/>
                <w:noProof/>
              </w:rPr>
              <w:t>1.4.</w:t>
            </w:r>
            <w:r w:rsidR="007C2730">
              <w:rPr>
                <w:rFonts w:eastAsiaTheme="minorEastAsia"/>
                <w:smallCaps w:val="0"/>
                <w:noProof/>
                <w:kern w:val="2"/>
                <w:sz w:val="24"/>
                <w:szCs w:val="24"/>
                <w:lang w:eastAsia="en-AU"/>
                <w14:ligatures w14:val="standardContextual"/>
              </w:rPr>
              <w:tab/>
            </w:r>
            <w:r w:rsidR="007C2730" w:rsidRPr="00726DB7">
              <w:rPr>
                <w:rStyle w:val="Hyperlink"/>
                <w:noProof/>
              </w:rPr>
              <w:t>Abalone Fishery Scientific Working Group</w:t>
            </w:r>
            <w:r w:rsidR="007C2730">
              <w:rPr>
                <w:noProof/>
                <w:webHidden/>
              </w:rPr>
              <w:tab/>
            </w:r>
            <w:r w:rsidR="007C2730">
              <w:rPr>
                <w:noProof/>
                <w:webHidden/>
              </w:rPr>
              <w:fldChar w:fldCharType="begin"/>
            </w:r>
            <w:r w:rsidR="007C2730">
              <w:rPr>
                <w:noProof/>
                <w:webHidden/>
              </w:rPr>
              <w:instrText xml:space="preserve"> PAGEREF _Toc192777201 \h </w:instrText>
            </w:r>
            <w:r w:rsidR="007C2730">
              <w:rPr>
                <w:noProof/>
                <w:webHidden/>
              </w:rPr>
            </w:r>
            <w:r w:rsidR="007C2730">
              <w:rPr>
                <w:noProof/>
                <w:webHidden/>
              </w:rPr>
              <w:fldChar w:fldCharType="separate"/>
            </w:r>
            <w:r w:rsidR="00EE76A5">
              <w:rPr>
                <w:noProof/>
                <w:webHidden/>
              </w:rPr>
              <w:t>3</w:t>
            </w:r>
            <w:r w:rsidR="007C2730">
              <w:rPr>
                <w:noProof/>
                <w:webHidden/>
              </w:rPr>
              <w:fldChar w:fldCharType="end"/>
            </w:r>
          </w:hyperlink>
        </w:p>
        <w:p w14:paraId="2D162BC6" w14:textId="54FA6195" w:rsidR="007C2730" w:rsidRDefault="00000000">
          <w:pPr>
            <w:pStyle w:val="TOC1"/>
            <w:tabs>
              <w:tab w:val="left" w:pos="440"/>
              <w:tab w:val="right" w:leader="dot" w:pos="9016"/>
            </w:tabs>
            <w:rPr>
              <w:rFonts w:eastAsiaTheme="minorEastAsia"/>
              <w:b w:val="0"/>
              <w:bCs w:val="0"/>
              <w:caps w:val="0"/>
              <w:noProof/>
              <w:kern w:val="2"/>
              <w:sz w:val="24"/>
              <w:szCs w:val="24"/>
              <w:lang w:eastAsia="en-AU"/>
              <w14:ligatures w14:val="standardContextual"/>
            </w:rPr>
          </w:pPr>
          <w:hyperlink w:anchor="_Toc192777202" w:history="1">
            <w:r w:rsidR="007C2730" w:rsidRPr="00726DB7">
              <w:rPr>
                <w:rStyle w:val="Hyperlink"/>
                <w:noProof/>
              </w:rPr>
              <w:t>2.</w:t>
            </w:r>
            <w:r w:rsidR="007C2730">
              <w:rPr>
                <w:rFonts w:eastAsiaTheme="minorEastAsia"/>
                <w:b w:val="0"/>
                <w:bCs w:val="0"/>
                <w:caps w:val="0"/>
                <w:noProof/>
                <w:kern w:val="2"/>
                <w:sz w:val="24"/>
                <w:szCs w:val="24"/>
                <w:lang w:eastAsia="en-AU"/>
                <w14:ligatures w14:val="standardContextual"/>
              </w:rPr>
              <w:tab/>
            </w:r>
            <w:r w:rsidR="007C2730" w:rsidRPr="00726DB7">
              <w:rPr>
                <w:rStyle w:val="Hyperlink"/>
                <w:noProof/>
              </w:rPr>
              <w:t>Methods</w:t>
            </w:r>
            <w:r w:rsidR="007C2730">
              <w:rPr>
                <w:noProof/>
                <w:webHidden/>
              </w:rPr>
              <w:tab/>
            </w:r>
            <w:r w:rsidR="007C2730">
              <w:rPr>
                <w:noProof/>
                <w:webHidden/>
              </w:rPr>
              <w:fldChar w:fldCharType="begin"/>
            </w:r>
            <w:r w:rsidR="007C2730">
              <w:rPr>
                <w:noProof/>
                <w:webHidden/>
              </w:rPr>
              <w:instrText xml:space="preserve"> PAGEREF _Toc192777202 \h </w:instrText>
            </w:r>
            <w:r w:rsidR="007C2730">
              <w:rPr>
                <w:noProof/>
                <w:webHidden/>
              </w:rPr>
            </w:r>
            <w:r w:rsidR="007C2730">
              <w:rPr>
                <w:noProof/>
                <w:webHidden/>
              </w:rPr>
              <w:fldChar w:fldCharType="separate"/>
            </w:r>
            <w:r w:rsidR="00EE76A5">
              <w:rPr>
                <w:noProof/>
                <w:webHidden/>
              </w:rPr>
              <w:t>3</w:t>
            </w:r>
            <w:r w:rsidR="007C2730">
              <w:rPr>
                <w:noProof/>
                <w:webHidden/>
              </w:rPr>
              <w:fldChar w:fldCharType="end"/>
            </w:r>
          </w:hyperlink>
        </w:p>
        <w:p w14:paraId="469A19E7" w14:textId="22085030" w:rsidR="007C2730" w:rsidRDefault="00000000">
          <w:pPr>
            <w:pStyle w:val="TOC2"/>
            <w:tabs>
              <w:tab w:val="left" w:pos="1100"/>
              <w:tab w:val="right" w:leader="dot" w:pos="9016"/>
            </w:tabs>
            <w:rPr>
              <w:rFonts w:eastAsiaTheme="minorEastAsia"/>
              <w:smallCaps w:val="0"/>
              <w:noProof/>
              <w:kern w:val="2"/>
              <w:sz w:val="24"/>
              <w:szCs w:val="24"/>
              <w:lang w:eastAsia="en-AU"/>
              <w14:ligatures w14:val="standardContextual"/>
            </w:rPr>
          </w:pPr>
          <w:hyperlink w:anchor="_Toc192777203" w:history="1">
            <w:r w:rsidR="007C2730" w:rsidRPr="00726DB7">
              <w:rPr>
                <w:rStyle w:val="Hyperlink"/>
                <w:noProof/>
              </w:rPr>
              <w:t>2.1.</w:t>
            </w:r>
            <w:r w:rsidR="007C2730">
              <w:rPr>
                <w:rFonts w:eastAsiaTheme="minorEastAsia"/>
                <w:smallCaps w:val="0"/>
                <w:noProof/>
                <w:kern w:val="2"/>
                <w:sz w:val="24"/>
                <w:szCs w:val="24"/>
                <w:lang w:eastAsia="en-AU"/>
                <w14:ligatures w14:val="standardContextual"/>
              </w:rPr>
              <w:tab/>
            </w:r>
            <w:r w:rsidR="007C2730" w:rsidRPr="00726DB7">
              <w:rPr>
                <w:rStyle w:val="Hyperlink"/>
                <w:noProof/>
              </w:rPr>
              <w:t>Data sources and uncertainties in the assessment</w:t>
            </w:r>
            <w:r w:rsidR="007C2730">
              <w:rPr>
                <w:noProof/>
                <w:webHidden/>
              </w:rPr>
              <w:tab/>
            </w:r>
            <w:r w:rsidR="007C2730">
              <w:rPr>
                <w:noProof/>
                <w:webHidden/>
              </w:rPr>
              <w:fldChar w:fldCharType="begin"/>
            </w:r>
            <w:r w:rsidR="007C2730">
              <w:rPr>
                <w:noProof/>
                <w:webHidden/>
              </w:rPr>
              <w:instrText xml:space="preserve"> PAGEREF _Toc192777203 \h </w:instrText>
            </w:r>
            <w:r w:rsidR="007C2730">
              <w:rPr>
                <w:noProof/>
                <w:webHidden/>
              </w:rPr>
            </w:r>
            <w:r w:rsidR="007C2730">
              <w:rPr>
                <w:noProof/>
                <w:webHidden/>
              </w:rPr>
              <w:fldChar w:fldCharType="separate"/>
            </w:r>
            <w:r w:rsidR="00EE76A5">
              <w:rPr>
                <w:noProof/>
                <w:webHidden/>
              </w:rPr>
              <w:t>3</w:t>
            </w:r>
            <w:r w:rsidR="007C2730">
              <w:rPr>
                <w:noProof/>
                <w:webHidden/>
              </w:rPr>
              <w:fldChar w:fldCharType="end"/>
            </w:r>
          </w:hyperlink>
        </w:p>
        <w:p w14:paraId="20E09DFE" w14:textId="74EBF7BB" w:rsidR="007C2730" w:rsidRDefault="00000000">
          <w:pPr>
            <w:pStyle w:val="TOC3"/>
            <w:tabs>
              <w:tab w:val="left" w:pos="1320"/>
              <w:tab w:val="right" w:leader="dot" w:pos="9016"/>
            </w:tabs>
            <w:rPr>
              <w:rFonts w:eastAsiaTheme="minorEastAsia"/>
              <w:i w:val="0"/>
              <w:iCs w:val="0"/>
              <w:noProof/>
              <w:kern w:val="2"/>
              <w:sz w:val="24"/>
              <w:szCs w:val="24"/>
              <w:lang w:eastAsia="en-AU"/>
              <w14:ligatures w14:val="standardContextual"/>
            </w:rPr>
          </w:pPr>
          <w:hyperlink w:anchor="_Toc192777204" w:history="1">
            <w:r w:rsidR="007C2730" w:rsidRPr="00726DB7">
              <w:rPr>
                <w:rStyle w:val="Hyperlink"/>
                <w:noProof/>
              </w:rPr>
              <w:t>2.1.1.</w:t>
            </w:r>
            <w:r w:rsidR="007C2730">
              <w:rPr>
                <w:rFonts w:eastAsiaTheme="minorEastAsia"/>
                <w:i w:val="0"/>
                <w:iCs w:val="0"/>
                <w:noProof/>
                <w:kern w:val="2"/>
                <w:sz w:val="24"/>
                <w:szCs w:val="24"/>
                <w:lang w:eastAsia="en-AU"/>
                <w14:ligatures w14:val="standardContextual"/>
              </w:rPr>
              <w:tab/>
            </w:r>
            <w:r w:rsidR="007C2730" w:rsidRPr="00726DB7">
              <w:rPr>
                <w:rStyle w:val="Hyperlink"/>
                <w:noProof/>
              </w:rPr>
              <w:t>Catch, effort, and CPUE</w:t>
            </w:r>
            <w:r w:rsidR="007C2730">
              <w:rPr>
                <w:noProof/>
                <w:webHidden/>
              </w:rPr>
              <w:tab/>
            </w:r>
            <w:r w:rsidR="007C2730">
              <w:rPr>
                <w:noProof/>
                <w:webHidden/>
              </w:rPr>
              <w:fldChar w:fldCharType="begin"/>
            </w:r>
            <w:r w:rsidR="007C2730">
              <w:rPr>
                <w:noProof/>
                <w:webHidden/>
              </w:rPr>
              <w:instrText xml:space="preserve"> PAGEREF _Toc192777204 \h </w:instrText>
            </w:r>
            <w:r w:rsidR="007C2730">
              <w:rPr>
                <w:noProof/>
                <w:webHidden/>
              </w:rPr>
            </w:r>
            <w:r w:rsidR="007C2730">
              <w:rPr>
                <w:noProof/>
                <w:webHidden/>
              </w:rPr>
              <w:fldChar w:fldCharType="separate"/>
            </w:r>
            <w:r w:rsidR="00EE76A5">
              <w:rPr>
                <w:noProof/>
                <w:webHidden/>
              </w:rPr>
              <w:t>3</w:t>
            </w:r>
            <w:r w:rsidR="007C2730">
              <w:rPr>
                <w:noProof/>
                <w:webHidden/>
              </w:rPr>
              <w:fldChar w:fldCharType="end"/>
            </w:r>
          </w:hyperlink>
        </w:p>
        <w:p w14:paraId="6419E267" w14:textId="5B748DC6" w:rsidR="007C2730" w:rsidRDefault="00000000">
          <w:pPr>
            <w:pStyle w:val="TOC3"/>
            <w:tabs>
              <w:tab w:val="left" w:pos="1320"/>
              <w:tab w:val="right" w:leader="dot" w:pos="9016"/>
            </w:tabs>
            <w:rPr>
              <w:rFonts w:eastAsiaTheme="minorEastAsia"/>
              <w:i w:val="0"/>
              <w:iCs w:val="0"/>
              <w:noProof/>
              <w:kern w:val="2"/>
              <w:sz w:val="24"/>
              <w:szCs w:val="24"/>
              <w:lang w:eastAsia="en-AU"/>
              <w14:ligatures w14:val="standardContextual"/>
            </w:rPr>
          </w:pPr>
          <w:hyperlink w:anchor="_Toc192777205" w:history="1">
            <w:r w:rsidR="007C2730" w:rsidRPr="00726DB7">
              <w:rPr>
                <w:rStyle w:val="Hyperlink"/>
                <w:noProof/>
              </w:rPr>
              <w:t>2.1.2.</w:t>
            </w:r>
            <w:r w:rsidR="007C2730">
              <w:rPr>
                <w:rFonts w:eastAsiaTheme="minorEastAsia"/>
                <w:i w:val="0"/>
                <w:iCs w:val="0"/>
                <w:noProof/>
                <w:kern w:val="2"/>
                <w:sz w:val="24"/>
                <w:szCs w:val="24"/>
                <w:lang w:eastAsia="en-AU"/>
                <w14:ligatures w14:val="standardContextual"/>
              </w:rPr>
              <w:tab/>
            </w:r>
            <w:r w:rsidR="007C2730" w:rsidRPr="00726DB7">
              <w:rPr>
                <w:rStyle w:val="Hyperlink"/>
                <w:noProof/>
              </w:rPr>
              <w:t>Mean daily catch</w:t>
            </w:r>
            <w:r w:rsidR="007C2730">
              <w:rPr>
                <w:noProof/>
                <w:webHidden/>
              </w:rPr>
              <w:tab/>
            </w:r>
            <w:r w:rsidR="007C2730">
              <w:rPr>
                <w:noProof/>
                <w:webHidden/>
              </w:rPr>
              <w:fldChar w:fldCharType="begin"/>
            </w:r>
            <w:r w:rsidR="007C2730">
              <w:rPr>
                <w:noProof/>
                <w:webHidden/>
              </w:rPr>
              <w:instrText xml:space="preserve"> PAGEREF _Toc192777205 \h </w:instrText>
            </w:r>
            <w:r w:rsidR="007C2730">
              <w:rPr>
                <w:noProof/>
                <w:webHidden/>
              </w:rPr>
            </w:r>
            <w:r w:rsidR="007C2730">
              <w:rPr>
                <w:noProof/>
                <w:webHidden/>
              </w:rPr>
              <w:fldChar w:fldCharType="separate"/>
            </w:r>
            <w:r w:rsidR="00EE76A5">
              <w:rPr>
                <w:noProof/>
                <w:webHidden/>
              </w:rPr>
              <w:t>5</w:t>
            </w:r>
            <w:r w:rsidR="007C2730">
              <w:rPr>
                <w:noProof/>
                <w:webHidden/>
              </w:rPr>
              <w:fldChar w:fldCharType="end"/>
            </w:r>
          </w:hyperlink>
        </w:p>
        <w:p w14:paraId="500F6E0C" w14:textId="58BF68AD" w:rsidR="007C2730" w:rsidRDefault="00000000">
          <w:pPr>
            <w:pStyle w:val="TOC3"/>
            <w:tabs>
              <w:tab w:val="left" w:pos="1320"/>
              <w:tab w:val="right" w:leader="dot" w:pos="9016"/>
            </w:tabs>
            <w:rPr>
              <w:rFonts w:eastAsiaTheme="minorEastAsia"/>
              <w:i w:val="0"/>
              <w:iCs w:val="0"/>
              <w:noProof/>
              <w:kern w:val="2"/>
              <w:sz w:val="24"/>
              <w:szCs w:val="24"/>
              <w:lang w:eastAsia="en-AU"/>
              <w14:ligatures w14:val="standardContextual"/>
            </w:rPr>
          </w:pPr>
          <w:hyperlink w:anchor="_Toc192777206" w:history="1">
            <w:r w:rsidR="007C2730" w:rsidRPr="00726DB7">
              <w:rPr>
                <w:rStyle w:val="Hyperlink"/>
                <w:noProof/>
              </w:rPr>
              <w:t>2.1.3.</w:t>
            </w:r>
            <w:r w:rsidR="007C2730">
              <w:rPr>
                <w:rFonts w:eastAsiaTheme="minorEastAsia"/>
                <w:i w:val="0"/>
                <w:iCs w:val="0"/>
                <w:noProof/>
                <w:kern w:val="2"/>
                <w:sz w:val="24"/>
                <w:szCs w:val="24"/>
                <w:lang w:eastAsia="en-AU"/>
                <w14:ligatures w14:val="standardContextual"/>
              </w:rPr>
              <w:tab/>
            </w:r>
            <w:r w:rsidR="007C2730" w:rsidRPr="00726DB7">
              <w:rPr>
                <w:rStyle w:val="Hyperlink"/>
                <w:noProof/>
              </w:rPr>
              <w:t>Fishery-independent survey abundance</w:t>
            </w:r>
            <w:r w:rsidR="007C2730">
              <w:rPr>
                <w:noProof/>
                <w:webHidden/>
              </w:rPr>
              <w:tab/>
            </w:r>
            <w:r w:rsidR="007C2730">
              <w:rPr>
                <w:noProof/>
                <w:webHidden/>
              </w:rPr>
              <w:fldChar w:fldCharType="begin"/>
            </w:r>
            <w:r w:rsidR="007C2730">
              <w:rPr>
                <w:noProof/>
                <w:webHidden/>
              </w:rPr>
              <w:instrText xml:space="preserve"> PAGEREF _Toc192777206 \h </w:instrText>
            </w:r>
            <w:r w:rsidR="007C2730">
              <w:rPr>
                <w:noProof/>
                <w:webHidden/>
              </w:rPr>
            </w:r>
            <w:r w:rsidR="007C2730">
              <w:rPr>
                <w:noProof/>
                <w:webHidden/>
              </w:rPr>
              <w:fldChar w:fldCharType="separate"/>
            </w:r>
            <w:r w:rsidR="00EE76A5">
              <w:rPr>
                <w:noProof/>
                <w:webHidden/>
              </w:rPr>
              <w:t>5</w:t>
            </w:r>
            <w:r w:rsidR="007C2730">
              <w:rPr>
                <w:noProof/>
                <w:webHidden/>
              </w:rPr>
              <w:fldChar w:fldCharType="end"/>
            </w:r>
          </w:hyperlink>
        </w:p>
        <w:p w14:paraId="7AFD9A06" w14:textId="4F2AADB0" w:rsidR="007C2730" w:rsidRDefault="00000000">
          <w:pPr>
            <w:pStyle w:val="TOC3"/>
            <w:tabs>
              <w:tab w:val="left" w:pos="1320"/>
              <w:tab w:val="right" w:leader="dot" w:pos="9016"/>
            </w:tabs>
            <w:rPr>
              <w:rFonts w:eastAsiaTheme="minorEastAsia"/>
              <w:i w:val="0"/>
              <w:iCs w:val="0"/>
              <w:noProof/>
              <w:kern w:val="2"/>
              <w:sz w:val="24"/>
              <w:szCs w:val="24"/>
              <w:lang w:eastAsia="en-AU"/>
              <w14:ligatures w14:val="standardContextual"/>
            </w:rPr>
          </w:pPr>
          <w:hyperlink w:anchor="_Toc192777207" w:history="1">
            <w:r w:rsidR="007C2730" w:rsidRPr="00726DB7">
              <w:rPr>
                <w:rStyle w:val="Hyperlink"/>
                <w:noProof/>
              </w:rPr>
              <w:t>2.1.4.</w:t>
            </w:r>
            <w:r w:rsidR="007C2730">
              <w:rPr>
                <w:rFonts w:eastAsiaTheme="minorEastAsia"/>
                <w:i w:val="0"/>
                <w:iCs w:val="0"/>
                <w:noProof/>
                <w:kern w:val="2"/>
                <w:sz w:val="24"/>
                <w:szCs w:val="24"/>
                <w:lang w:eastAsia="en-AU"/>
                <w14:ligatures w14:val="standardContextual"/>
              </w:rPr>
              <w:tab/>
            </w:r>
            <w:r w:rsidR="007C2730" w:rsidRPr="00726DB7">
              <w:rPr>
                <w:rStyle w:val="Hyperlink"/>
                <w:noProof/>
              </w:rPr>
              <w:t>Size structure data</w:t>
            </w:r>
            <w:r w:rsidR="007C2730">
              <w:rPr>
                <w:noProof/>
                <w:webHidden/>
              </w:rPr>
              <w:tab/>
            </w:r>
            <w:r w:rsidR="007C2730">
              <w:rPr>
                <w:noProof/>
                <w:webHidden/>
              </w:rPr>
              <w:fldChar w:fldCharType="begin"/>
            </w:r>
            <w:r w:rsidR="007C2730">
              <w:rPr>
                <w:noProof/>
                <w:webHidden/>
              </w:rPr>
              <w:instrText xml:space="preserve"> PAGEREF _Toc192777207 \h </w:instrText>
            </w:r>
            <w:r w:rsidR="007C2730">
              <w:rPr>
                <w:noProof/>
                <w:webHidden/>
              </w:rPr>
            </w:r>
            <w:r w:rsidR="007C2730">
              <w:rPr>
                <w:noProof/>
                <w:webHidden/>
              </w:rPr>
              <w:fldChar w:fldCharType="separate"/>
            </w:r>
            <w:r w:rsidR="00EE76A5">
              <w:rPr>
                <w:noProof/>
                <w:webHidden/>
              </w:rPr>
              <w:t>6</w:t>
            </w:r>
            <w:r w:rsidR="007C2730">
              <w:rPr>
                <w:noProof/>
                <w:webHidden/>
              </w:rPr>
              <w:fldChar w:fldCharType="end"/>
            </w:r>
          </w:hyperlink>
        </w:p>
        <w:p w14:paraId="6E0AC5F2" w14:textId="0851CB83" w:rsidR="007C2730" w:rsidRDefault="00000000">
          <w:pPr>
            <w:pStyle w:val="TOC3"/>
            <w:tabs>
              <w:tab w:val="left" w:pos="1320"/>
              <w:tab w:val="right" w:leader="dot" w:pos="9016"/>
            </w:tabs>
            <w:rPr>
              <w:rFonts w:eastAsiaTheme="minorEastAsia"/>
              <w:i w:val="0"/>
              <w:iCs w:val="0"/>
              <w:noProof/>
              <w:kern w:val="2"/>
              <w:sz w:val="24"/>
              <w:szCs w:val="24"/>
              <w:lang w:eastAsia="en-AU"/>
              <w14:ligatures w14:val="standardContextual"/>
            </w:rPr>
          </w:pPr>
          <w:hyperlink w:anchor="_Toc192777208" w:history="1">
            <w:r w:rsidR="007C2730" w:rsidRPr="00726DB7">
              <w:rPr>
                <w:rStyle w:val="Hyperlink"/>
                <w:noProof/>
              </w:rPr>
              <w:t>2.1.5.</w:t>
            </w:r>
            <w:r w:rsidR="007C2730">
              <w:rPr>
                <w:rFonts w:eastAsiaTheme="minorEastAsia"/>
                <w:i w:val="0"/>
                <w:iCs w:val="0"/>
                <w:noProof/>
                <w:kern w:val="2"/>
                <w:sz w:val="24"/>
                <w:szCs w:val="24"/>
                <w:lang w:eastAsia="en-AU"/>
                <w14:ligatures w14:val="standardContextual"/>
              </w:rPr>
              <w:tab/>
            </w:r>
            <w:r w:rsidR="007C2730" w:rsidRPr="00726DB7">
              <w:rPr>
                <w:rStyle w:val="Hyperlink"/>
                <w:noProof/>
              </w:rPr>
              <w:t>Size limits</w:t>
            </w:r>
            <w:r w:rsidR="007C2730">
              <w:rPr>
                <w:noProof/>
                <w:webHidden/>
              </w:rPr>
              <w:tab/>
            </w:r>
            <w:r w:rsidR="007C2730">
              <w:rPr>
                <w:noProof/>
                <w:webHidden/>
              </w:rPr>
              <w:fldChar w:fldCharType="begin"/>
            </w:r>
            <w:r w:rsidR="007C2730">
              <w:rPr>
                <w:noProof/>
                <w:webHidden/>
              </w:rPr>
              <w:instrText xml:space="preserve"> PAGEREF _Toc192777208 \h </w:instrText>
            </w:r>
            <w:r w:rsidR="007C2730">
              <w:rPr>
                <w:noProof/>
                <w:webHidden/>
              </w:rPr>
            </w:r>
            <w:r w:rsidR="007C2730">
              <w:rPr>
                <w:noProof/>
                <w:webHidden/>
              </w:rPr>
              <w:fldChar w:fldCharType="separate"/>
            </w:r>
            <w:r w:rsidR="00EE76A5">
              <w:rPr>
                <w:noProof/>
                <w:webHidden/>
              </w:rPr>
              <w:t>7</w:t>
            </w:r>
            <w:r w:rsidR="007C2730">
              <w:rPr>
                <w:noProof/>
                <w:webHidden/>
              </w:rPr>
              <w:fldChar w:fldCharType="end"/>
            </w:r>
          </w:hyperlink>
        </w:p>
        <w:p w14:paraId="2E58D92A" w14:textId="22360557" w:rsidR="007C2730" w:rsidRDefault="00000000">
          <w:pPr>
            <w:pStyle w:val="TOC2"/>
            <w:tabs>
              <w:tab w:val="left" w:pos="1100"/>
              <w:tab w:val="right" w:leader="dot" w:pos="9016"/>
            </w:tabs>
            <w:rPr>
              <w:rFonts w:eastAsiaTheme="minorEastAsia"/>
              <w:smallCaps w:val="0"/>
              <w:noProof/>
              <w:kern w:val="2"/>
              <w:sz w:val="24"/>
              <w:szCs w:val="24"/>
              <w:lang w:eastAsia="en-AU"/>
              <w14:ligatures w14:val="standardContextual"/>
            </w:rPr>
          </w:pPr>
          <w:hyperlink w:anchor="_Toc192777209" w:history="1">
            <w:r w:rsidR="007C2730" w:rsidRPr="00726DB7">
              <w:rPr>
                <w:rStyle w:val="Hyperlink"/>
                <w:noProof/>
              </w:rPr>
              <w:t>2.2.</w:t>
            </w:r>
            <w:r w:rsidR="007C2730">
              <w:rPr>
                <w:rFonts w:eastAsiaTheme="minorEastAsia"/>
                <w:smallCaps w:val="0"/>
                <w:noProof/>
                <w:kern w:val="2"/>
                <w:sz w:val="24"/>
                <w:szCs w:val="24"/>
                <w:lang w:eastAsia="en-AU"/>
                <w14:ligatures w14:val="standardContextual"/>
              </w:rPr>
              <w:tab/>
            </w:r>
            <w:r w:rsidR="007C2730" w:rsidRPr="00726DB7">
              <w:rPr>
                <w:rStyle w:val="Hyperlink"/>
                <w:noProof/>
              </w:rPr>
              <w:t>Approaches to assessment of stock status</w:t>
            </w:r>
            <w:r w:rsidR="007C2730">
              <w:rPr>
                <w:noProof/>
                <w:webHidden/>
              </w:rPr>
              <w:tab/>
            </w:r>
            <w:r w:rsidR="007C2730">
              <w:rPr>
                <w:noProof/>
                <w:webHidden/>
              </w:rPr>
              <w:fldChar w:fldCharType="begin"/>
            </w:r>
            <w:r w:rsidR="007C2730">
              <w:rPr>
                <w:noProof/>
                <w:webHidden/>
              </w:rPr>
              <w:instrText xml:space="preserve"> PAGEREF _Toc192777209 \h </w:instrText>
            </w:r>
            <w:r w:rsidR="007C2730">
              <w:rPr>
                <w:noProof/>
                <w:webHidden/>
              </w:rPr>
            </w:r>
            <w:r w:rsidR="007C2730">
              <w:rPr>
                <w:noProof/>
                <w:webHidden/>
              </w:rPr>
              <w:fldChar w:fldCharType="separate"/>
            </w:r>
            <w:r w:rsidR="00EE76A5">
              <w:rPr>
                <w:noProof/>
                <w:webHidden/>
              </w:rPr>
              <w:t>8</w:t>
            </w:r>
            <w:r w:rsidR="007C2730">
              <w:rPr>
                <w:noProof/>
                <w:webHidden/>
              </w:rPr>
              <w:fldChar w:fldCharType="end"/>
            </w:r>
          </w:hyperlink>
        </w:p>
        <w:p w14:paraId="218FEAAA" w14:textId="43AE7275" w:rsidR="007C2730" w:rsidRDefault="00000000">
          <w:pPr>
            <w:pStyle w:val="TOC2"/>
            <w:tabs>
              <w:tab w:val="left" w:pos="1100"/>
              <w:tab w:val="right" w:leader="dot" w:pos="9016"/>
            </w:tabs>
            <w:rPr>
              <w:rFonts w:eastAsiaTheme="minorEastAsia"/>
              <w:smallCaps w:val="0"/>
              <w:noProof/>
              <w:kern w:val="2"/>
              <w:sz w:val="24"/>
              <w:szCs w:val="24"/>
              <w:lang w:eastAsia="en-AU"/>
              <w14:ligatures w14:val="standardContextual"/>
            </w:rPr>
          </w:pPr>
          <w:hyperlink w:anchor="_Toc192777210" w:history="1">
            <w:r w:rsidR="007C2730" w:rsidRPr="00726DB7">
              <w:rPr>
                <w:rStyle w:val="Hyperlink"/>
                <w:noProof/>
              </w:rPr>
              <w:t>2.3.</w:t>
            </w:r>
            <w:r w:rsidR="007C2730">
              <w:rPr>
                <w:rFonts w:eastAsiaTheme="minorEastAsia"/>
                <w:smallCaps w:val="0"/>
                <w:noProof/>
                <w:kern w:val="2"/>
                <w:sz w:val="24"/>
                <w:szCs w:val="24"/>
                <w:lang w:eastAsia="en-AU"/>
                <w14:ligatures w14:val="standardContextual"/>
              </w:rPr>
              <w:tab/>
            </w:r>
            <w:r w:rsidR="007C2730" w:rsidRPr="00726DB7">
              <w:rPr>
                <w:rStyle w:val="Hyperlink"/>
                <w:noProof/>
              </w:rPr>
              <w:t>Quality Control</w:t>
            </w:r>
            <w:r w:rsidR="007C2730">
              <w:rPr>
                <w:noProof/>
                <w:webHidden/>
              </w:rPr>
              <w:tab/>
            </w:r>
            <w:r w:rsidR="007C2730">
              <w:rPr>
                <w:noProof/>
                <w:webHidden/>
              </w:rPr>
              <w:fldChar w:fldCharType="begin"/>
            </w:r>
            <w:r w:rsidR="007C2730">
              <w:rPr>
                <w:noProof/>
                <w:webHidden/>
              </w:rPr>
              <w:instrText xml:space="preserve"> PAGEREF _Toc192777210 \h </w:instrText>
            </w:r>
            <w:r w:rsidR="007C2730">
              <w:rPr>
                <w:noProof/>
                <w:webHidden/>
              </w:rPr>
            </w:r>
            <w:r w:rsidR="007C2730">
              <w:rPr>
                <w:noProof/>
                <w:webHidden/>
              </w:rPr>
              <w:fldChar w:fldCharType="separate"/>
            </w:r>
            <w:r w:rsidR="00EE76A5">
              <w:rPr>
                <w:noProof/>
                <w:webHidden/>
              </w:rPr>
              <w:t>9</w:t>
            </w:r>
            <w:r w:rsidR="007C2730">
              <w:rPr>
                <w:noProof/>
                <w:webHidden/>
              </w:rPr>
              <w:fldChar w:fldCharType="end"/>
            </w:r>
          </w:hyperlink>
        </w:p>
        <w:p w14:paraId="292A3D66" w14:textId="7474F644" w:rsidR="007C2730" w:rsidRDefault="00000000">
          <w:pPr>
            <w:pStyle w:val="TOC1"/>
            <w:tabs>
              <w:tab w:val="left" w:pos="440"/>
              <w:tab w:val="right" w:leader="dot" w:pos="9016"/>
            </w:tabs>
            <w:rPr>
              <w:rFonts w:eastAsiaTheme="minorEastAsia"/>
              <w:b w:val="0"/>
              <w:bCs w:val="0"/>
              <w:caps w:val="0"/>
              <w:noProof/>
              <w:kern w:val="2"/>
              <w:sz w:val="24"/>
              <w:szCs w:val="24"/>
              <w:lang w:eastAsia="en-AU"/>
              <w14:ligatures w14:val="standardContextual"/>
            </w:rPr>
          </w:pPr>
          <w:hyperlink w:anchor="_Toc192777211" w:history="1">
            <w:r w:rsidR="007C2730" w:rsidRPr="00726DB7">
              <w:rPr>
                <w:rStyle w:val="Hyperlink"/>
                <w:noProof/>
              </w:rPr>
              <w:t>3.</w:t>
            </w:r>
            <w:r w:rsidR="007C2730">
              <w:rPr>
                <w:rFonts w:eastAsiaTheme="minorEastAsia"/>
                <w:b w:val="0"/>
                <w:bCs w:val="0"/>
                <w:caps w:val="0"/>
                <w:noProof/>
                <w:kern w:val="2"/>
                <w:sz w:val="24"/>
                <w:szCs w:val="24"/>
                <w:lang w:eastAsia="en-AU"/>
                <w14:ligatures w14:val="standardContextual"/>
              </w:rPr>
              <w:tab/>
            </w:r>
            <w:r w:rsidR="007C2730" w:rsidRPr="00726DB7">
              <w:rPr>
                <w:rStyle w:val="Hyperlink"/>
                <w:noProof/>
              </w:rPr>
              <w:t>Results</w:t>
            </w:r>
            <w:r w:rsidR="007C2730">
              <w:rPr>
                <w:noProof/>
                <w:webHidden/>
              </w:rPr>
              <w:tab/>
            </w:r>
            <w:r w:rsidR="007C2730">
              <w:rPr>
                <w:noProof/>
                <w:webHidden/>
              </w:rPr>
              <w:fldChar w:fldCharType="begin"/>
            </w:r>
            <w:r w:rsidR="007C2730">
              <w:rPr>
                <w:noProof/>
                <w:webHidden/>
              </w:rPr>
              <w:instrText xml:space="preserve"> PAGEREF _Toc192777211 \h </w:instrText>
            </w:r>
            <w:r w:rsidR="007C2730">
              <w:rPr>
                <w:noProof/>
                <w:webHidden/>
              </w:rPr>
            </w:r>
            <w:r w:rsidR="007C2730">
              <w:rPr>
                <w:noProof/>
                <w:webHidden/>
              </w:rPr>
              <w:fldChar w:fldCharType="separate"/>
            </w:r>
            <w:r w:rsidR="00EE76A5">
              <w:rPr>
                <w:noProof/>
                <w:webHidden/>
              </w:rPr>
              <w:t>10</w:t>
            </w:r>
            <w:r w:rsidR="007C2730">
              <w:rPr>
                <w:noProof/>
                <w:webHidden/>
              </w:rPr>
              <w:fldChar w:fldCharType="end"/>
            </w:r>
          </w:hyperlink>
        </w:p>
        <w:p w14:paraId="54822A06" w14:textId="3668D507" w:rsidR="007C2730" w:rsidRDefault="00000000">
          <w:pPr>
            <w:pStyle w:val="TOC2"/>
            <w:tabs>
              <w:tab w:val="left" w:pos="1100"/>
              <w:tab w:val="right" w:leader="dot" w:pos="9016"/>
            </w:tabs>
            <w:rPr>
              <w:rFonts w:eastAsiaTheme="minorEastAsia"/>
              <w:smallCaps w:val="0"/>
              <w:noProof/>
              <w:kern w:val="2"/>
              <w:sz w:val="24"/>
              <w:szCs w:val="24"/>
              <w:lang w:eastAsia="en-AU"/>
              <w14:ligatures w14:val="standardContextual"/>
            </w:rPr>
          </w:pPr>
          <w:hyperlink w:anchor="_Toc192777213" w:history="1">
            <w:r w:rsidR="007C2730" w:rsidRPr="00726DB7">
              <w:rPr>
                <w:rStyle w:val="Hyperlink"/>
                <w:noProof/>
              </w:rPr>
              <w:t>3.1.</w:t>
            </w:r>
            <w:r w:rsidR="007C2730">
              <w:rPr>
                <w:rFonts w:eastAsiaTheme="minorEastAsia"/>
                <w:smallCaps w:val="0"/>
                <w:noProof/>
                <w:kern w:val="2"/>
                <w:sz w:val="24"/>
                <w:szCs w:val="24"/>
                <w:lang w:eastAsia="en-AU"/>
                <w14:ligatures w14:val="standardContextual"/>
              </w:rPr>
              <w:tab/>
            </w:r>
            <w:r w:rsidR="007C2730" w:rsidRPr="00726DB7">
              <w:rPr>
                <w:rStyle w:val="Hyperlink"/>
                <w:noProof/>
              </w:rPr>
              <w:t>Central Zone Blacklip Assessment</w:t>
            </w:r>
            <w:r w:rsidR="007C2730">
              <w:rPr>
                <w:noProof/>
                <w:webHidden/>
              </w:rPr>
              <w:tab/>
            </w:r>
            <w:r w:rsidR="007C2730">
              <w:rPr>
                <w:noProof/>
                <w:webHidden/>
              </w:rPr>
              <w:fldChar w:fldCharType="begin"/>
            </w:r>
            <w:r w:rsidR="007C2730">
              <w:rPr>
                <w:noProof/>
                <w:webHidden/>
              </w:rPr>
              <w:instrText xml:space="preserve"> PAGEREF _Toc192777213 \h </w:instrText>
            </w:r>
            <w:r w:rsidR="007C2730">
              <w:rPr>
                <w:noProof/>
                <w:webHidden/>
              </w:rPr>
            </w:r>
            <w:r w:rsidR="007C2730">
              <w:rPr>
                <w:noProof/>
                <w:webHidden/>
              </w:rPr>
              <w:fldChar w:fldCharType="separate"/>
            </w:r>
            <w:r w:rsidR="00EE76A5">
              <w:rPr>
                <w:noProof/>
                <w:webHidden/>
              </w:rPr>
              <w:t>10</w:t>
            </w:r>
            <w:r w:rsidR="007C2730">
              <w:rPr>
                <w:noProof/>
                <w:webHidden/>
              </w:rPr>
              <w:fldChar w:fldCharType="end"/>
            </w:r>
          </w:hyperlink>
        </w:p>
        <w:p w14:paraId="20931C52" w14:textId="06807BED" w:rsidR="007C2730" w:rsidRDefault="00000000">
          <w:pPr>
            <w:pStyle w:val="TOC3"/>
            <w:tabs>
              <w:tab w:val="left" w:pos="1320"/>
              <w:tab w:val="right" w:leader="dot" w:pos="9016"/>
            </w:tabs>
            <w:rPr>
              <w:rFonts w:eastAsiaTheme="minorEastAsia"/>
              <w:i w:val="0"/>
              <w:iCs w:val="0"/>
              <w:noProof/>
              <w:kern w:val="2"/>
              <w:sz w:val="24"/>
              <w:szCs w:val="24"/>
              <w:lang w:eastAsia="en-AU"/>
              <w14:ligatures w14:val="standardContextual"/>
            </w:rPr>
          </w:pPr>
          <w:hyperlink w:anchor="_Toc192777214" w:history="1">
            <w:r w:rsidR="007C2730" w:rsidRPr="00726DB7">
              <w:rPr>
                <w:rStyle w:val="Hyperlink"/>
                <w:noProof/>
              </w:rPr>
              <w:t>3.1.1.</w:t>
            </w:r>
            <w:r w:rsidR="007C2730">
              <w:rPr>
                <w:rFonts w:eastAsiaTheme="minorEastAsia"/>
                <w:i w:val="0"/>
                <w:iCs w:val="0"/>
                <w:noProof/>
                <w:kern w:val="2"/>
                <w:sz w:val="24"/>
                <w:szCs w:val="24"/>
                <w:lang w:eastAsia="en-AU"/>
                <w14:ligatures w14:val="standardContextual"/>
              </w:rPr>
              <w:tab/>
            </w:r>
            <w:r w:rsidR="007C2730" w:rsidRPr="00726DB7">
              <w:rPr>
                <w:rStyle w:val="Hyperlink"/>
                <w:noProof/>
              </w:rPr>
              <w:t>Catch and effort</w:t>
            </w:r>
            <w:r w:rsidR="007C2730">
              <w:rPr>
                <w:noProof/>
                <w:webHidden/>
              </w:rPr>
              <w:tab/>
            </w:r>
            <w:r w:rsidR="007C2730">
              <w:rPr>
                <w:noProof/>
                <w:webHidden/>
              </w:rPr>
              <w:fldChar w:fldCharType="begin"/>
            </w:r>
            <w:r w:rsidR="007C2730">
              <w:rPr>
                <w:noProof/>
                <w:webHidden/>
              </w:rPr>
              <w:instrText xml:space="preserve"> PAGEREF _Toc192777214 \h </w:instrText>
            </w:r>
            <w:r w:rsidR="007C2730">
              <w:rPr>
                <w:noProof/>
                <w:webHidden/>
              </w:rPr>
            </w:r>
            <w:r w:rsidR="007C2730">
              <w:rPr>
                <w:noProof/>
                <w:webHidden/>
              </w:rPr>
              <w:fldChar w:fldCharType="separate"/>
            </w:r>
            <w:r w:rsidR="00EE76A5">
              <w:rPr>
                <w:noProof/>
                <w:webHidden/>
              </w:rPr>
              <w:t>10</w:t>
            </w:r>
            <w:r w:rsidR="007C2730">
              <w:rPr>
                <w:noProof/>
                <w:webHidden/>
              </w:rPr>
              <w:fldChar w:fldCharType="end"/>
            </w:r>
          </w:hyperlink>
        </w:p>
        <w:p w14:paraId="46B23E18" w14:textId="5E6F27D9" w:rsidR="007C2730" w:rsidRDefault="00000000">
          <w:pPr>
            <w:pStyle w:val="TOC3"/>
            <w:tabs>
              <w:tab w:val="left" w:pos="1320"/>
              <w:tab w:val="right" w:leader="dot" w:pos="9016"/>
            </w:tabs>
            <w:rPr>
              <w:rFonts w:eastAsiaTheme="minorEastAsia"/>
              <w:i w:val="0"/>
              <w:iCs w:val="0"/>
              <w:noProof/>
              <w:kern w:val="2"/>
              <w:sz w:val="24"/>
              <w:szCs w:val="24"/>
              <w:lang w:eastAsia="en-AU"/>
              <w14:ligatures w14:val="standardContextual"/>
            </w:rPr>
          </w:pPr>
          <w:hyperlink w:anchor="_Toc192777215" w:history="1">
            <w:r w:rsidR="007C2730" w:rsidRPr="00726DB7">
              <w:rPr>
                <w:rStyle w:val="Hyperlink"/>
                <w:noProof/>
              </w:rPr>
              <w:t>3.1.2.</w:t>
            </w:r>
            <w:r w:rsidR="007C2730">
              <w:rPr>
                <w:rFonts w:eastAsiaTheme="minorEastAsia"/>
                <w:i w:val="0"/>
                <w:iCs w:val="0"/>
                <w:noProof/>
                <w:kern w:val="2"/>
                <w:sz w:val="24"/>
                <w:szCs w:val="24"/>
                <w:lang w:eastAsia="en-AU"/>
                <w14:ligatures w14:val="standardContextual"/>
              </w:rPr>
              <w:tab/>
            </w:r>
            <w:r w:rsidR="007C2730" w:rsidRPr="00726DB7">
              <w:rPr>
                <w:rStyle w:val="Hyperlink"/>
                <w:noProof/>
              </w:rPr>
              <w:t>Catch per unit effort (CPUE)</w:t>
            </w:r>
            <w:r w:rsidR="007C2730">
              <w:rPr>
                <w:noProof/>
                <w:webHidden/>
              </w:rPr>
              <w:tab/>
            </w:r>
            <w:r w:rsidR="007C2730">
              <w:rPr>
                <w:noProof/>
                <w:webHidden/>
              </w:rPr>
              <w:fldChar w:fldCharType="begin"/>
            </w:r>
            <w:r w:rsidR="007C2730">
              <w:rPr>
                <w:noProof/>
                <w:webHidden/>
              </w:rPr>
              <w:instrText xml:space="preserve"> PAGEREF _Toc192777215 \h </w:instrText>
            </w:r>
            <w:r w:rsidR="007C2730">
              <w:rPr>
                <w:noProof/>
                <w:webHidden/>
              </w:rPr>
            </w:r>
            <w:r w:rsidR="007C2730">
              <w:rPr>
                <w:noProof/>
                <w:webHidden/>
              </w:rPr>
              <w:fldChar w:fldCharType="separate"/>
            </w:r>
            <w:r w:rsidR="00EE76A5">
              <w:rPr>
                <w:noProof/>
                <w:webHidden/>
              </w:rPr>
              <w:t>11</w:t>
            </w:r>
            <w:r w:rsidR="007C2730">
              <w:rPr>
                <w:noProof/>
                <w:webHidden/>
              </w:rPr>
              <w:fldChar w:fldCharType="end"/>
            </w:r>
          </w:hyperlink>
        </w:p>
        <w:p w14:paraId="3F05036C" w14:textId="0849B342" w:rsidR="007C2730" w:rsidRDefault="00000000">
          <w:pPr>
            <w:pStyle w:val="TOC3"/>
            <w:tabs>
              <w:tab w:val="left" w:pos="1320"/>
              <w:tab w:val="right" w:leader="dot" w:pos="9016"/>
            </w:tabs>
            <w:rPr>
              <w:rFonts w:eastAsiaTheme="minorEastAsia"/>
              <w:i w:val="0"/>
              <w:iCs w:val="0"/>
              <w:noProof/>
              <w:kern w:val="2"/>
              <w:sz w:val="24"/>
              <w:szCs w:val="24"/>
              <w:lang w:eastAsia="en-AU"/>
              <w14:ligatures w14:val="standardContextual"/>
            </w:rPr>
          </w:pPr>
          <w:hyperlink w:anchor="_Toc192777216" w:history="1">
            <w:r w:rsidR="007C2730" w:rsidRPr="00726DB7">
              <w:rPr>
                <w:rStyle w:val="Hyperlink"/>
                <w:noProof/>
              </w:rPr>
              <w:t>3.1.3.</w:t>
            </w:r>
            <w:r w:rsidR="007C2730">
              <w:rPr>
                <w:rFonts w:eastAsiaTheme="minorEastAsia"/>
                <w:i w:val="0"/>
                <w:iCs w:val="0"/>
                <w:noProof/>
                <w:kern w:val="2"/>
                <w:sz w:val="24"/>
                <w:szCs w:val="24"/>
                <w:lang w:eastAsia="en-AU"/>
                <w14:ligatures w14:val="standardContextual"/>
              </w:rPr>
              <w:tab/>
            </w:r>
            <w:r w:rsidR="007C2730" w:rsidRPr="00726DB7">
              <w:rPr>
                <w:rStyle w:val="Hyperlink"/>
                <w:noProof/>
              </w:rPr>
              <w:t>FIS abundance</w:t>
            </w:r>
            <w:r w:rsidR="007C2730">
              <w:rPr>
                <w:noProof/>
                <w:webHidden/>
              </w:rPr>
              <w:tab/>
            </w:r>
            <w:r w:rsidR="007C2730">
              <w:rPr>
                <w:noProof/>
                <w:webHidden/>
              </w:rPr>
              <w:fldChar w:fldCharType="begin"/>
            </w:r>
            <w:r w:rsidR="007C2730">
              <w:rPr>
                <w:noProof/>
                <w:webHidden/>
              </w:rPr>
              <w:instrText xml:space="preserve"> PAGEREF _Toc192777216 \h </w:instrText>
            </w:r>
            <w:r w:rsidR="007C2730">
              <w:rPr>
                <w:noProof/>
                <w:webHidden/>
              </w:rPr>
            </w:r>
            <w:r w:rsidR="007C2730">
              <w:rPr>
                <w:noProof/>
                <w:webHidden/>
              </w:rPr>
              <w:fldChar w:fldCharType="separate"/>
            </w:r>
            <w:r w:rsidR="00EE76A5">
              <w:rPr>
                <w:noProof/>
                <w:webHidden/>
              </w:rPr>
              <w:t>12</w:t>
            </w:r>
            <w:r w:rsidR="007C2730">
              <w:rPr>
                <w:noProof/>
                <w:webHidden/>
              </w:rPr>
              <w:fldChar w:fldCharType="end"/>
            </w:r>
          </w:hyperlink>
        </w:p>
        <w:p w14:paraId="3E6124DF" w14:textId="45CFCDA8" w:rsidR="007C2730" w:rsidRDefault="00000000">
          <w:pPr>
            <w:pStyle w:val="TOC3"/>
            <w:tabs>
              <w:tab w:val="left" w:pos="1320"/>
              <w:tab w:val="right" w:leader="dot" w:pos="9016"/>
            </w:tabs>
            <w:rPr>
              <w:rFonts w:eastAsiaTheme="minorEastAsia"/>
              <w:i w:val="0"/>
              <w:iCs w:val="0"/>
              <w:noProof/>
              <w:kern w:val="2"/>
              <w:sz w:val="24"/>
              <w:szCs w:val="24"/>
              <w:lang w:eastAsia="en-AU"/>
              <w14:ligatures w14:val="standardContextual"/>
            </w:rPr>
          </w:pPr>
          <w:hyperlink w:anchor="_Toc192777217" w:history="1">
            <w:r w:rsidR="007C2730" w:rsidRPr="00726DB7">
              <w:rPr>
                <w:rStyle w:val="Hyperlink"/>
                <w:noProof/>
              </w:rPr>
              <w:t>3.1.4.</w:t>
            </w:r>
            <w:r w:rsidR="007C2730">
              <w:rPr>
                <w:rFonts w:eastAsiaTheme="minorEastAsia"/>
                <w:i w:val="0"/>
                <w:iCs w:val="0"/>
                <w:noProof/>
                <w:kern w:val="2"/>
                <w:sz w:val="24"/>
                <w:szCs w:val="24"/>
                <w:lang w:eastAsia="en-AU"/>
                <w14:ligatures w14:val="standardContextual"/>
              </w:rPr>
              <w:tab/>
            </w:r>
            <w:r w:rsidR="007C2730" w:rsidRPr="00726DB7">
              <w:rPr>
                <w:rStyle w:val="Hyperlink"/>
                <w:noProof/>
              </w:rPr>
              <w:t>Central Zone Performance Measures</w:t>
            </w:r>
            <w:r w:rsidR="007C2730">
              <w:rPr>
                <w:noProof/>
                <w:webHidden/>
              </w:rPr>
              <w:tab/>
            </w:r>
            <w:r w:rsidR="007C2730">
              <w:rPr>
                <w:noProof/>
                <w:webHidden/>
              </w:rPr>
              <w:fldChar w:fldCharType="begin"/>
            </w:r>
            <w:r w:rsidR="007C2730">
              <w:rPr>
                <w:noProof/>
                <w:webHidden/>
              </w:rPr>
              <w:instrText xml:space="preserve"> PAGEREF _Toc192777217 \h </w:instrText>
            </w:r>
            <w:r w:rsidR="007C2730">
              <w:rPr>
                <w:noProof/>
                <w:webHidden/>
              </w:rPr>
            </w:r>
            <w:r w:rsidR="007C2730">
              <w:rPr>
                <w:noProof/>
                <w:webHidden/>
              </w:rPr>
              <w:fldChar w:fldCharType="separate"/>
            </w:r>
            <w:r w:rsidR="00EE76A5">
              <w:rPr>
                <w:noProof/>
                <w:webHidden/>
              </w:rPr>
              <w:t>13</w:t>
            </w:r>
            <w:r w:rsidR="007C2730">
              <w:rPr>
                <w:noProof/>
                <w:webHidden/>
              </w:rPr>
              <w:fldChar w:fldCharType="end"/>
            </w:r>
          </w:hyperlink>
        </w:p>
        <w:p w14:paraId="2FD0424C" w14:textId="49C266ED" w:rsidR="007C2730" w:rsidRDefault="00000000">
          <w:pPr>
            <w:pStyle w:val="TOC2"/>
            <w:tabs>
              <w:tab w:val="left" w:pos="1100"/>
              <w:tab w:val="right" w:leader="dot" w:pos="9016"/>
            </w:tabs>
            <w:rPr>
              <w:rFonts w:eastAsiaTheme="minorEastAsia"/>
              <w:smallCaps w:val="0"/>
              <w:noProof/>
              <w:kern w:val="2"/>
              <w:sz w:val="24"/>
              <w:szCs w:val="24"/>
              <w:lang w:eastAsia="en-AU"/>
              <w14:ligatures w14:val="standardContextual"/>
            </w:rPr>
          </w:pPr>
          <w:hyperlink w:anchor="_Toc192777218" w:history="1">
            <w:r w:rsidR="007C2730" w:rsidRPr="00726DB7">
              <w:rPr>
                <w:rStyle w:val="Hyperlink"/>
                <w:noProof/>
              </w:rPr>
              <w:t>3.2.</w:t>
            </w:r>
            <w:r w:rsidR="007C2730">
              <w:rPr>
                <w:rFonts w:eastAsiaTheme="minorEastAsia"/>
                <w:smallCaps w:val="0"/>
                <w:noProof/>
                <w:kern w:val="2"/>
                <w:sz w:val="24"/>
                <w:szCs w:val="24"/>
                <w:lang w:eastAsia="en-AU"/>
                <w14:ligatures w14:val="standardContextual"/>
              </w:rPr>
              <w:tab/>
            </w:r>
            <w:r w:rsidR="007C2730" w:rsidRPr="00726DB7">
              <w:rPr>
                <w:rStyle w:val="Hyperlink"/>
                <w:noProof/>
              </w:rPr>
              <w:t>Spatial management unit (SMU) blacklip assessment</w:t>
            </w:r>
            <w:r w:rsidR="007C2730">
              <w:rPr>
                <w:noProof/>
                <w:webHidden/>
              </w:rPr>
              <w:tab/>
            </w:r>
            <w:r w:rsidR="007C2730">
              <w:rPr>
                <w:noProof/>
                <w:webHidden/>
              </w:rPr>
              <w:fldChar w:fldCharType="begin"/>
            </w:r>
            <w:r w:rsidR="007C2730">
              <w:rPr>
                <w:noProof/>
                <w:webHidden/>
              </w:rPr>
              <w:instrText xml:space="preserve"> PAGEREF _Toc192777218 \h </w:instrText>
            </w:r>
            <w:r w:rsidR="007C2730">
              <w:rPr>
                <w:noProof/>
                <w:webHidden/>
              </w:rPr>
            </w:r>
            <w:r w:rsidR="007C2730">
              <w:rPr>
                <w:noProof/>
                <w:webHidden/>
              </w:rPr>
              <w:fldChar w:fldCharType="separate"/>
            </w:r>
            <w:r w:rsidR="00EE76A5">
              <w:rPr>
                <w:noProof/>
                <w:webHidden/>
              </w:rPr>
              <w:t>14</w:t>
            </w:r>
            <w:r w:rsidR="007C2730">
              <w:rPr>
                <w:noProof/>
                <w:webHidden/>
              </w:rPr>
              <w:fldChar w:fldCharType="end"/>
            </w:r>
          </w:hyperlink>
        </w:p>
        <w:p w14:paraId="638C3BCB" w14:textId="3286679A" w:rsidR="007C2730" w:rsidRDefault="00000000">
          <w:pPr>
            <w:pStyle w:val="TOC3"/>
            <w:tabs>
              <w:tab w:val="left" w:pos="1320"/>
              <w:tab w:val="right" w:leader="dot" w:pos="9016"/>
            </w:tabs>
            <w:rPr>
              <w:rFonts w:eastAsiaTheme="minorEastAsia"/>
              <w:i w:val="0"/>
              <w:iCs w:val="0"/>
              <w:noProof/>
              <w:kern w:val="2"/>
              <w:sz w:val="24"/>
              <w:szCs w:val="24"/>
              <w:lang w:eastAsia="en-AU"/>
              <w14:ligatures w14:val="standardContextual"/>
            </w:rPr>
          </w:pPr>
          <w:hyperlink w:anchor="_Toc192777219" w:history="1">
            <w:r w:rsidR="007C2730" w:rsidRPr="00726DB7">
              <w:rPr>
                <w:rStyle w:val="Hyperlink"/>
                <w:noProof/>
              </w:rPr>
              <w:t>3.2.1.</w:t>
            </w:r>
            <w:r w:rsidR="007C2730">
              <w:rPr>
                <w:rFonts w:eastAsiaTheme="minorEastAsia"/>
                <w:i w:val="0"/>
                <w:iCs w:val="0"/>
                <w:noProof/>
                <w:kern w:val="2"/>
                <w:sz w:val="24"/>
                <w:szCs w:val="24"/>
                <w:lang w:eastAsia="en-AU"/>
                <w14:ligatures w14:val="standardContextual"/>
              </w:rPr>
              <w:tab/>
            </w:r>
            <w:r w:rsidR="007C2730" w:rsidRPr="00726DB7">
              <w:rPr>
                <w:rStyle w:val="Hyperlink"/>
                <w:noProof/>
              </w:rPr>
              <w:t>SMU Performance Measures</w:t>
            </w:r>
            <w:r w:rsidR="007C2730">
              <w:rPr>
                <w:noProof/>
                <w:webHidden/>
              </w:rPr>
              <w:tab/>
            </w:r>
            <w:r w:rsidR="007C2730">
              <w:rPr>
                <w:noProof/>
                <w:webHidden/>
              </w:rPr>
              <w:fldChar w:fldCharType="begin"/>
            </w:r>
            <w:r w:rsidR="007C2730">
              <w:rPr>
                <w:noProof/>
                <w:webHidden/>
              </w:rPr>
              <w:instrText xml:space="preserve"> PAGEREF _Toc192777219 \h </w:instrText>
            </w:r>
            <w:r w:rsidR="007C2730">
              <w:rPr>
                <w:noProof/>
                <w:webHidden/>
              </w:rPr>
            </w:r>
            <w:r w:rsidR="007C2730">
              <w:rPr>
                <w:noProof/>
                <w:webHidden/>
              </w:rPr>
              <w:fldChar w:fldCharType="separate"/>
            </w:r>
            <w:r w:rsidR="00EE76A5">
              <w:rPr>
                <w:noProof/>
                <w:webHidden/>
              </w:rPr>
              <w:t>14</w:t>
            </w:r>
            <w:r w:rsidR="007C2730">
              <w:rPr>
                <w:noProof/>
                <w:webHidden/>
              </w:rPr>
              <w:fldChar w:fldCharType="end"/>
            </w:r>
          </w:hyperlink>
        </w:p>
        <w:p w14:paraId="15DEC0F4" w14:textId="09AA77B2" w:rsidR="007C2730" w:rsidRDefault="00000000">
          <w:pPr>
            <w:pStyle w:val="TOC3"/>
            <w:tabs>
              <w:tab w:val="left" w:pos="1320"/>
              <w:tab w:val="right" w:leader="dot" w:pos="9016"/>
            </w:tabs>
            <w:rPr>
              <w:rFonts w:eastAsiaTheme="minorEastAsia"/>
              <w:i w:val="0"/>
              <w:iCs w:val="0"/>
              <w:noProof/>
              <w:kern w:val="2"/>
              <w:sz w:val="24"/>
              <w:szCs w:val="24"/>
              <w:lang w:eastAsia="en-AU"/>
              <w14:ligatures w14:val="standardContextual"/>
            </w:rPr>
          </w:pPr>
          <w:hyperlink w:anchor="_Toc192777220" w:history="1">
            <w:r w:rsidR="007C2730" w:rsidRPr="00726DB7">
              <w:rPr>
                <w:rStyle w:val="Hyperlink"/>
                <w:noProof/>
              </w:rPr>
              <w:t>3.2.2.</w:t>
            </w:r>
            <w:r w:rsidR="007C2730">
              <w:rPr>
                <w:rFonts w:eastAsiaTheme="minorEastAsia"/>
                <w:i w:val="0"/>
                <w:iCs w:val="0"/>
                <w:noProof/>
                <w:kern w:val="2"/>
                <w:sz w:val="24"/>
                <w:szCs w:val="24"/>
                <w:lang w:eastAsia="en-AU"/>
                <w14:ligatures w14:val="standardContextual"/>
              </w:rPr>
              <w:tab/>
            </w:r>
            <w:r w:rsidR="007C2730" w:rsidRPr="00726DB7">
              <w:rPr>
                <w:rStyle w:val="Hyperlink"/>
                <w:noProof/>
              </w:rPr>
              <w:t>Distribution of the catch</w:t>
            </w:r>
            <w:r w:rsidR="007C2730">
              <w:rPr>
                <w:noProof/>
                <w:webHidden/>
              </w:rPr>
              <w:tab/>
            </w:r>
            <w:r w:rsidR="007C2730">
              <w:rPr>
                <w:noProof/>
                <w:webHidden/>
              </w:rPr>
              <w:fldChar w:fldCharType="begin"/>
            </w:r>
            <w:r w:rsidR="007C2730">
              <w:rPr>
                <w:noProof/>
                <w:webHidden/>
              </w:rPr>
              <w:instrText xml:space="preserve"> PAGEREF _Toc192777220 \h </w:instrText>
            </w:r>
            <w:r w:rsidR="007C2730">
              <w:rPr>
                <w:noProof/>
                <w:webHidden/>
              </w:rPr>
            </w:r>
            <w:r w:rsidR="007C2730">
              <w:rPr>
                <w:noProof/>
                <w:webHidden/>
              </w:rPr>
              <w:fldChar w:fldCharType="separate"/>
            </w:r>
            <w:r w:rsidR="00EE76A5">
              <w:rPr>
                <w:noProof/>
                <w:webHidden/>
              </w:rPr>
              <w:t>15</w:t>
            </w:r>
            <w:r w:rsidR="007C2730">
              <w:rPr>
                <w:noProof/>
                <w:webHidden/>
              </w:rPr>
              <w:fldChar w:fldCharType="end"/>
            </w:r>
          </w:hyperlink>
        </w:p>
        <w:p w14:paraId="1D9CFAD4" w14:textId="0CE7A802" w:rsidR="007C2730" w:rsidRDefault="00000000">
          <w:pPr>
            <w:pStyle w:val="TOC3"/>
            <w:tabs>
              <w:tab w:val="left" w:pos="1320"/>
              <w:tab w:val="right" w:leader="dot" w:pos="9016"/>
            </w:tabs>
            <w:rPr>
              <w:rFonts w:eastAsiaTheme="minorEastAsia"/>
              <w:i w:val="0"/>
              <w:iCs w:val="0"/>
              <w:noProof/>
              <w:kern w:val="2"/>
              <w:sz w:val="24"/>
              <w:szCs w:val="24"/>
              <w:lang w:eastAsia="en-AU"/>
              <w14:ligatures w14:val="standardContextual"/>
            </w:rPr>
          </w:pPr>
          <w:hyperlink w:anchor="_Toc192777221" w:history="1">
            <w:r w:rsidR="007C2730" w:rsidRPr="00726DB7">
              <w:rPr>
                <w:rStyle w:val="Hyperlink"/>
                <w:noProof/>
              </w:rPr>
              <w:t>3.2.3.</w:t>
            </w:r>
            <w:r w:rsidR="007C2730">
              <w:rPr>
                <w:rFonts w:eastAsiaTheme="minorEastAsia"/>
                <w:i w:val="0"/>
                <w:iCs w:val="0"/>
                <w:noProof/>
                <w:kern w:val="2"/>
                <w:sz w:val="24"/>
                <w:szCs w:val="24"/>
                <w:lang w:eastAsia="en-AU"/>
                <w14:ligatures w14:val="standardContextual"/>
              </w:rPr>
              <w:tab/>
            </w:r>
            <w:r w:rsidR="007C2730" w:rsidRPr="00726DB7">
              <w:rPr>
                <w:rStyle w:val="Hyperlink"/>
                <w:noProof/>
              </w:rPr>
              <w:t>Draft Harvest Strategy outputs</w:t>
            </w:r>
            <w:r w:rsidR="007C2730">
              <w:rPr>
                <w:noProof/>
                <w:webHidden/>
              </w:rPr>
              <w:tab/>
            </w:r>
            <w:r w:rsidR="007C2730">
              <w:rPr>
                <w:noProof/>
                <w:webHidden/>
              </w:rPr>
              <w:fldChar w:fldCharType="begin"/>
            </w:r>
            <w:r w:rsidR="007C2730">
              <w:rPr>
                <w:noProof/>
                <w:webHidden/>
              </w:rPr>
              <w:instrText xml:space="preserve"> PAGEREF _Toc192777221 \h </w:instrText>
            </w:r>
            <w:r w:rsidR="007C2730">
              <w:rPr>
                <w:noProof/>
                <w:webHidden/>
              </w:rPr>
            </w:r>
            <w:r w:rsidR="007C2730">
              <w:rPr>
                <w:noProof/>
                <w:webHidden/>
              </w:rPr>
              <w:fldChar w:fldCharType="separate"/>
            </w:r>
            <w:r w:rsidR="00EE76A5">
              <w:rPr>
                <w:noProof/>
                <w:webHidden/>
              </w:rPr>
              <w:t>15</w:t>
            </w:r>
            <w:r w:rsidR="007C2730">
              <w:rPr>
                <w:noProof/>
                <w:webHidden/>
              </w:rPr>
              <w:fldChar w:fldCharType="end"/>
            </w:r>
          </w:hyperlink>
        </w:p>
        <w:p w14:paraId="2A4F549C" w14:textId="5F5671F0" w:rsidR="007C2730" w:rsidRDefault="00000000">
          <w:pPr>
            <w:pStyle w:val="TOC3"/>
            <w:tabs>
              <w:tab w:val="left" w:pos="1320"/>
              <w:tab w:val="right" w:leader="dot" w:pos="9016"/>
            </w:tabs>
            <w:rPr>
              <w:rFonts w:eastAsiaTheme="minorEastAsia"/>
              <w:i w:val="0"/>
              <w:iCs w:val="0"/>
              <w:noProof/>
              <w:kern w:val="2"/>
              <w:sz w:val="24"/>
              <w:szCs w:val="24"/>
              <w:lang w:eastAsia="en-AU"/>
              <w14:ligatures w14:val="standardContextual"/>
            </w:rPr>
          </w:pPr>
          <w:hyperlink w:anchor="_Toc192777230" w:history="1">
            <w:r w:rsidR="007C2730" w:rsidRPr="00726DB7">
              <w:rPr>
                <w:rStyle w:val="Hyperlink"/>
                <w:noProof/>
              </w:rPr>
              <w:t>3.2.4.</w:t>
            </w:r>
            <w:r w:rsidR="007C2730">
              <w:rPr>
                <w:rFonts w:eastAsiaTheme="minorEastAsia"/>
                <w:i w:val="0"/>
                <w:iCs w:val="0"/>
                <w:noProof/>
                <w:kern w:val="2"/>
                <w:sz w:val="24"/>
                <w:szCs w:val="24"/>
                <w:lang w:eastAsia="en-AU"/>
                <w14:ligatures w14:val="standardContextual"/>
              </w:rPr>
              <w:tab/>
            </w:r>
            <w:r w:rsidR="007C2730" w:rsidRPr="00726DB7">
              <w:rPr>
                <w:rStyle w:val="Hyperlink"/>
                <w:noProof/>
              </w:rPr>
              <w:t>Cape Otway (Large SMU)</w:t>
            </w:r>
            <w:r w:rsidR="007C2730">
              <w:rPr>
                <w:noProof/>
                <w:webHidden/>
              </w:rPr>
              <w:tab/>
            </w:r>
            <w:r w:rsidR="007C2730">
              <w:rPr>
                <w:noProof/>
                <w:webHidden/>
              </w:rPr>
              <w:fldChar w:fldCharType="begin"/>
            </w:r>
            <w:r w:rsidR="007C2730">
              <w:rPr>
                <w:noProof/>
                <w:webHidden/>
              </w:rPr>
              <w:instrText xml:space="preserve"> PAGEREF _Toc192777230 \h </w:instrText>
            </w:r>
            <w:r w:rsidR="007C2730">
              <w:rPr>
                <w:noProof/>
                <w:webHidden/>
              </w:rPr>
            </w:r>
            <w:r w:rsidR="007C2730">
              <w:rPr>
                <w:noProof/>
                <w:webHidden/>
              </w:rPr>
              <w:fldChar w:fldCharType="separate"/>
            </w:r>
            <w:r w:rsidR="00EE76A5">
              <w:rPr>
                <w:noProof/>
                <w:webHidden/>
              </w:rPr>
              <w:t>18</w:t>
            </w:r>
            <w:r w:rsidR="007C2730">
              <w:rPr>
                <w:noProof/>
                <w:webHidden/>
              </w:rPr>
              <w:fldChar w:fldCharType="end"/>
            </w:r>
          </w:hyperlink>
        </w:p>
        <w:p w14:paraId="406DA3FD" w14:textId="391821D1" w:rsidR="007C2730" w:rsidRDefault="00000000">
          <w:pPr>
            <w:pStyle w:val="TOC3"/>
            <w:tabs>
              <w:tab w:val="left" w:pos="1320"/>
              <w:tab w:val="right" w:leader="dot" w:pos="9016"/>
            </w:tabs>
            <w:rPr>
              <w:rFonts w:eastAsiaTheme="minorEastAsia"/>
              <w:i w:val="0"/>
              <w:iCs w:val="0"/>
              <w:noProof/>
              <w:kern w:val="2"/>
              <w:sz w:val="24"/>
              <w:szCs w:val="24"/>
              <w:lang w:eastAsia="en-AU"/>
              <w14:ligatures w14:val="standardContextual"/>
            </w:rPr>
          </w:pPr>
          <w:hyperlink w:anchor="_Toc192777231" w:history="1">
            <w:r w:rsidR="007C2730" w:rsidRPr="00726DB7">
              <w:rPr>
                <w:rStyle w:val="Hyperlink"/>
                <w:noProof/>
              </w:rPr>
              <w:t>3.2.5.</w:t>
            </w:r>
            <w:r w:rsidR="007C2730">
              <w:rPr>
                <w:rFonts w:eastAsiaTheme="minorEastAsia"/>
                <w:i w:val="0"/>
                <w:iCs w:val="0"/>
                <w:noProof/>
                <w:kern w:val="2"/>
                <w:sz w:val="24"/>
                <w:szCs w:val="24"/>
                <w:lang w:eastAsia="en-AU"/>
                <w14:ligatures w14:val="standardContextual"/>
              </w:rPr>
              <w:tab/>
            </w:r>
            <w:r w:rsidR="007C2730" w:rsidRPr="00726DB7">
              <w:rPr>
                <w:rStyle w:val="Hyperlink"/>
                <w:noProof/>
              </w:rPr>
              <w:t>Back Beaches (Large SMU)</w:t>
            </w:r>
            <w:r w:rsidR="007C2730">
              <w:rPr>
                <w:noProof/>
                <w:webHidden/>
              </w:rPr>
              <w:tab/>
            </w:r>
            <w:r w:rsidR="007C2730">
              <w:rPr>
                <w:noProof/>
                <w:webHidden/>
              </w:rPr>
              <w:fldChar w:fldCharType="begin"/>
            </w:r>
            <w:r w:rsidR="007C2730">
              <w:rPr>
                <w:noProof/>
                <w:webHidden/>
              </w:rPr>
              <w:instrText xml:space="preserve"> PAGEREF _Toc192777231 \h </w:instrText>
            </w:r>
            <w:r w:rsidR="007C2730">
              <w:rPr>
                <w:noProof/>
                <w:webHidden/>
              </w:rPr>
            </w:r>
            <w:r w:rsidR="007C2730">
              <w:rPr>
                <w:noProof/>
                <w:webHidden/>
              </w:rPr>
              <w:fldChar w:fldCharType="separate"/>
            </w:r>
            <w:r w:rsidR="00EE76A5">
              <w:rPr>
                <w:noProof/>
                <w:webHidden/>
              </w:rPr>
              <w:t>22</w:t>
            </w:r>
            <w:r w:rsidR="007C2730">
              <w:rPr>
                <w:noProof/>
                <w:webHidden/>
              </w:rPr>
              <w:fldChar w:fldCharType="end"/>
            </w:r>
          </w:hyperlink>
        </w:p>
        <w:p w14:paraId="4938E70B" w14:textId="48885FAC" w:rsidR="007C2730" w:rsidRDefault="00000000">
          <w:pPr>
            <w:pStyle w:val="TOC3"/>
            <w:tabs>
              <w:tab w:val="left" w:pos="1320"/>
              <w:tab w:val="right" w:leader="dot" w:pos="9016"/>
            </w:tabs>
            <w:rPr>
              <w:rFonts w:eastAsiaTheme="minorEastAsia"/>
              <w:i w:val="0"/>
              <w:iCs w:val="0"/>
              <w:noProof/>
              <w:kern w:val="2"/>
              <w:sz w:val="24"/>
              <w:szCs w:val="24"/>
              <w:lang w:eastAsia="en-AU"/>
              <w14:ligatures w14:val="standardContextual"/>
            </w:rPr>
          </w:pPr>
          <w:hyperlink w:anchor="_Toc192777232" w:history="1">
            <w:r w:rsidR="007C2730" w:rsidRPr="00726DB7">
              <w:rPr>
                <w:rStyle w:val="Hyperlink"/>
                <w:noProof/>
              </w:rPr>
              <w:t>3.2.6.</w:t>
            </w:r>
            <w:r w:rsidR="007C2730">
              <w:rPr>
                <w:rFonts w:eastAsiaTheme="minorEastAsia"/>
                <w:i w:val="0"/>
                <w:iCs w:val="0"/>
                <w:noProof/>
                <w:kern w:val="2"/>
                <w:sz w:val="24"/>
                <w:szCs w:val="24"/>
                <w:lang w:eastAsia="en-AU"/>
                <w14:ligatures w14:val="standardContextual"/>
              </w:rPr>
              <w:tab/>
            </w:r>
            <w:r w:rsidR="007C2730" w:rsidRPr="00726DB7">
              <w:rPr>
                <w:rStyle w:val="Hyperlink"/>
                <w:noProof/>
              </w:rPr>
              <w:t>Phillip Island (Medium SMU)</w:t>
            </w:r>
            <w:r w:rsidR="007C2730">
              <w:rPr>
                <w:noProof/>
                <w:webHidden/>
              </w:rPr>
              <w:tab/>
            </w:r>
            <w:r w:rsidR="007C2730">
              <w:rPr>
                <w:noProof/>
                <w:webHidden/>
              </w:rPr>
              <w:fldChar w:fldCharType="begin"/>
            </w:r>
            <w:r w:rsidR="007C2730">
              <w:rPr>
                <w:noProof/>
                <w:webHidden/>
              </w:rPr>
              <w:instrText xml:space="preserve"> PAGEREF _Toc192777232 \h </w:instrText>
            </w:r>
            <w:r w:rsidR="007C2730">
              <w:rPr>
                <w:noProof/>
                <w:webHidden/>
              </w:rPr>
            </w:r>
            <w:r w:rsidR="007C2730">
              <w:rPr>
                <w:noProof/>
                <w:webHidden/>
              </w:rPr>
              <w:fldChar w:fldCharType="separate"/>
            </w:r>
            <w:r w:rsidR="00EE76A5">
              <w:rPr>
                <w:noProof/>
                <w:webHidden/>
              </w:rPr>
              <w:t>26</w:t>
            </w:r>
            <w:r w:rsidR="007C2730">
              <w:rPr>
                <w:noProof/>
                <w:webHidden/>
              </w:rPr>
              <w:fldChar w:fldCharType="end"/>
            </w:r>
          </w:hyperlink>
        </w:p>
        <w:p w14:paraId="27046B70" w14:textId="3758EA57" w:rsidR="007C2730" w:rsidRDefault="00000000">
          <w:pPr>
            <w:pStyle w:val="TOC3"/>
            <w:tabs>
              <w:tab w:val="left" w:pos="1320"/>
              <w:tab w:val="right" w:leader="dot" w:pos="9016"/>
            </w:tabs>
            <w:rPr>
              <w:rFonts w:eastAsiaTheme="minorEastAsia"/>
              <w:i w:val="0"/>
              <w:iCs w:val="0"/>
              <w:noProof/>
              <w:kern w:val="2"/>
              <w:sz w:val="24"/>
              <w:szCs w:val="24"/>
              <w:lang w:eastAsia="en-AU"/>
              <w14:ligatures w14:val="standardContextual"/>
            </w:rPr>
          </w:pPr>
          <w:hyperlink w:anchor="_Toc192777233" w:history="1">
            <w:r w:rsidR="007C2730" w:rsidRPr="00726DB7">
              <w:rPr>
                <w:rStyle w:val="Hyperlink"/>
                <w:noProof/>
              </w:rPr>
              <w:t>3.2.7.</w:t>
            </w:r>
            <w:r w:rsidR="007C2730">
              <w:rPr>
                <w:rFonts w:eastAsiaTheme="minorEastAsia"/>
                <w:i w:val="0"/>
                <w:iCs w:val="0"/>
                <w:noProof/>
                <w:kern w:val="2"/>
                <w:sz w:val="24"/>
                <w:szCs w:val="24"/>
                <w:lang w:eastAsia="en-AU"/>
                <w14:ligatures w14:val="standardContextual"/>
              </w:rPr>
              <w:tab/>
            </w:r>
            <w:r w:rsidR="007C2730" w:rsidRPr="00726DB7">
              <w:rPr>
                <w:rStyle w:val="Hyperlink"/>
                <w:noProof/>
              </w:rPr>
              <w:t>Shipwreck Coast (Medium SMU)</w:t>
            </w:r>
            <w:r w:rsidR="007C2730">
              <w:rPr>
                <w:noProof/>
                <w:webHidden/>
              </w:rPr>
              <w:tab/>
            </w:r>
            <w:r w:rsidR="007C2730">
              <w:rPr>
                <w:noProof/>
                <w:webHidden/>
              </w:rPr>
              <w:fldChar w:fldCharType="begin"/>
            </w:r>
            <w:r w:rsidR="007C2730">
              <w:rPr>
                <w:noProof/>
                <w:webHidden/>
              </w:rPr>
              <w:instrText xml:space="preserve"> PAGEREF _Toc192777233 \h </w:instrText>
            </w:r>
            <w:r w:rsidR="007C2730">
              <w:rPr>
                <w:noProof/>
                <w:webHidden/>
              </w:rPr>
            </w:r>
            <w:r w:rsidR="007C2730">
              <w:rPr>
                <w:noProof/>
                <w:webHidden/>
              </w:rPr>
              <w:fldChar w:fldCharType="separate"/>
            </w:r>
            <w:r w:rsidR="00EE76A5">
              <w:rPr>
                <w:noProof/>
                <w:webHidden/>
              </w:rPr>
              <w:t>30</w:t>
            </w:r>
            <w:r w:rsidR="007C2730">
              <w:rPr>
                <w:noProof/>
                <w:webHidden/>
              </w:rPr>
              <w:fldChar w:fldCharType="end"/>
            </w:r>
          </w:hyperlink>
        </w:p>
        <w:p w14:paraId="6F9A6460" w14:textId="7A89DAEE" w:rsidR="007C2730" w:rsidRDefault="00000000">
          <w:pPr>
            <w:pStyle w:val="TOC3"/>
            <w:tabs>
              <w:tab w:val="left" w:pos="1320"/>
              <w:tab w:val="right" w:leader="dot" w:pos="9016"/>
            </w:tabs>
            <w:rPr>
              <w:rFonts w:eastAsiaTheme="minorEastAsia"/>
              <w:i w:val="0"/>
              <w:iCs w:val="0"/>
              <w:noProof/>
              <w:kern w:val="2"/>
              <w:sz w:val="24"/>
              <w:szCs w:val="24"/>
              <w:lang w:eastAsia="en-AU"/>
              <w14:ligatures w14:val="standardContextual"/>
            </w:rPr>
          </w:pPr>
          <w:hyperlink w:anchor="_Toc192777234" w:history="1">
            <w:r w:rsidR="007C2730" w:rsidRPr="00726DB7">
              <w:rPr>
                <w:rStyle w:val="Hyperlink"/>
                <w:noProof/>
              </w:rPr>
              <w:t>3.2.8.</w:t>
            </w:r>
            <w:r w:rsidR="007C2730">
              <w:rPr>
                <w:rFonts w:eastAsiaTheme="minorEastAsia"/>
                <w:i w:val="0"/>
                <w:iCs w:val="0"/>
                <w:noProof/>
                <w:kern w:val="2"/>
                <w:sz w:val="24"/>
                <w:szCs w:val="24"/>
                <w:lang w:eastAsia="en-AU"/>
                <w14:ligatures w14:val="standardContextual"/>
              </w:rPr>
              <w:tab/>
            </w:r>
            <w:r w:rsidR="007C2730" w:rsidRPr="00726DB7">
              <w:rPr>
                <w:rStyle w:val="Hyperlink"/>
                <w:noProof/>
              </w:rPr>
              <w:t>Prom Westside (Medium SMU)</w:t>
            </w:r>
            <w:r w:rsidR="007C2730">
              <w:rPr>
                <w:noProof/>
                <w:webHidden/>
              </w:rPr>
              <w:tab/>
            </w:r>
            <w:r w:rsidR="007C2730">
              <w:rPr>
                <w:noProof/>
                <w:webHidden/>
              </w:rPr>
              <w:fldChar w:fldCharType="begin"/>
            </w:r>
            <w:r w:rsidR="007C2730">
              <w:rPr>
                <w:noProof/>
                <w:webHidden/>
              </w:rPr>
              <w:instrText xml:space="preserve"> PAGEREF _Toc192777234 \h </w:instrText>
            </w:r>
            <w:r w:rsidR="007C2730">
              <w:rPr>
                <w:noProof/>
                <w:webHidden/>
              </w:rPr>
            </w:r>
            <w:r w:rsidR="007C2730">
              <w:rPr>
                <w:noProof/>
                <w:webHidden/>
              </w:rPr>
              <w:fldChar w:fldCharType="separate"/>
            </w:r>
            <w:r w:rsidR="00EE76A5">
              <w:rPr>
                <w:noProof/>
                <w:webHidden/>
              </w:rPr>
              <w:t>34</w:t>
            </w:r>
            <w:r w:rsidR="007C2730">
              <w:rPr>
                <w:noProof/>
                <w:webHidden/>
              </w:rPr>
              <w:fldChar w:fldCharType="end"/>
            </w:r>
          </w:hyperlink>
        </w:p>
        <w:p w14:paraId="1109BC07" w14:textId="5383E271" w:rsidR="007C2730" w:rsidRDefault="00000000">
          <w:pPr>
            <w:pStyle w:val="TOC3"/>
            <w:tabs>
              <w:tab w:val="left" w:pos="1320"/>
              <w:tab w:val="right" w:leader="dot" w:pos="9016"/>
            </w:tabs>
            <w:rPr>
              <w:rFonts w:eastAsiaTheme="minorEastAsia"/>
              <w:i w:val="0"/>
              <w:iCs w:val="0"/>
              <w:noProof/>
              <w:kern w:val="2"/>
              <w:sz w:val="24"/>
              <w:szCs w:val="24"/>
              <w:lang w:eastAsia="en-AU"/>
              <w14:ligatures w14:val="standardContextual"/>
            </w:rPr>
          </w:pPr>
          <w:hyperlink w:anchor="_Toc192777235" w:history="1">
            <w:r w:rsidR="007C2730" w:rsidRPr="00726DB7">
              <w:rPr>
                <w:rStyle w:val="Hyperlink"/>
                <w:noProof/>
              </w:rPr>
              <w:t>3.2.9.</w:t>
            </w:r>
            <w:r w:rsidR="007C2730">
              <w:rPr>
                <w:rFonts w:eastAsiaTheme="minorEastAsia"/>
                <w:i w:val="0"/>
                <w:iCs w:val="0"/>
                <w:noProof/>
                <w:kern w:val="2"/>
                <w:sz w:val="24"/>
                <w:szCs w:val="24"/>
                <w:lang w:eastAsia="en-AU"/>
                <w14:ligatures w14:val="standardContextual"/>
              </w:rPr>
              <w:tab/>
            </w:r>
            <w:r w:rsidR="007C2730" w:rsidRPr="00726DB7">
              <w:rPr>
                <w:rStyle w:val="Hyperlink"/>
                <w:noProof/>
              </w:rPr>
              <w:t>Flinders (Medium SMU)</w:t>
            </w:r>
            <w:r w:rsidR="007C2730">
              <w:rPr>
                <w:noProof/>
                <w:webHidden/>
              </w:rPr>
              <w:tab/>
            </w:r>
            <w:r w:rsidR="007C2730">
              <w:rPr>
                <w:noProof/>
                <w:webHidden/>
              </w:rPr>
              <w:fldChar w:fldCharType="begin"/>
            </w:r>
            <w:r w:rsidR="007C2730">
              <w:rPr>
                <w:noProof/>
                <w:webHidden/>
              </w:rPr>
              <w:instrText xml:space="preserve"> PAGEREF _Toc192777235 \h </w:instrText>
            </w:r>
            <w:r w:rsidR="007C2730">
              <w:rPr>
                <w:noProof/>
                <w:webHidden/>
              </w:rPr>
            </w:r>
            <w:r w:rsidR="007C2730">
              <w:rPr>
                <w:noProof/>
                <w:webHidden/>
              </w:rPr>
              <w:fldChar w:fldCharType="separate"/>
            </w:r>
            <w:r w:rsidR="00EE76A5">
              <w:rPr>
                <w:noProof/>
                <w:webHidden/>
              </w:rPr>
              <w:t>38</w:t>
            </w:r>
            <w:r w:rsidR="007C2730">
              <w:rPr>
                <w:noProof/>
                <w:webHidden/>
              </w:rPr>
              <w:fldChar w:fldCharType="end"/>
            </w:r>
          </w:hyperlink>
        </w:p>
        <w:p w14:paraId="3D7F037A" w14:textId="6E22C17D" w:rsidR="007C2730" w:rsidRDefault="00000000">
          <w:pPr>
            <w:pStyle w:val="TOC3"/>
            <w:tabs>
              <w:tab w:val="left" w:pos="1320"/>
              <w:tab w:val="right" w:leader="dot" w:pos="9016"/>
            </w:tabs>
            <w:rPr>
              <w:rFonts w:eastAsiaTheme="minorEastAsia"/>
              <w:i w:val="0"/>
              <w:iCs w:val="0"/>
              <w:noProof/>
              <w:kern w:val="2"/>
              <w:sz w:val="24"/>
              <w:szCs w:val="24"/>
              <w:lang w:eastAsia="en-AU"/>
              <w14:ligatures w14:val="standardContextual"/>
            </w:rPr>
          </w:pPr>
          <w:hyperlink w:anchor="_Toc192777236" w:history="1">
            <w:r w:rsidR="007C2730" w:rsidRPr="00726DB7">
              <w:rPr>
                <w:rStyle w:val="Hyperlink"/>
                <w:noProof/>
              </w:rPr>
              <w:t>3.2.10.</w:t>
            </w:r>
            <w:r w:rsidR="007C2730">
              <w:rPr>
                <w:rFonts w:eastAsiaTheme="minorEastAsia"/>
                <w:i w:val="0"/>
                <w:iCs w:val="0"/>
                <w:noProof/>
                <w:kern w:val="2"/>
                <w:sz w:val="24"/>
                <w:szCs w:val="24"/>
                <w:lang w:eastAsia="en-AU"/>
                <w14:ligatures w14:val="standardContextual"/>
              </w:rPr>
              <w:tab/>
            </w:r>
            <w:r w:rsidR="007C2730" w:rsidRPr="00726DB7">
              <w:rPr>
                <w:rStyle w:val="Hyperlink"/>
                <w:noProof/>
              </w:rPr>
              <w:t>Kilcunda (Small SMU)</w:t>
            </w:r>
            <w:r w:rsidR="007C2730">
              <w:rPr>
                <w:noProof/>
                <w:webHidden/>
              </w:rPr>
              <w:tab/>
            </w:r>
            <w:r w:rsidR="007C2730">
              <w:rPr>
                <w:noProof/>
                <w:webHidden/>
              </w:rPr>
              <w:fldChar w:fldCharType="begin"/>
            </w:r>
            <w:r w:rsidR="007C2730">
              <w:rPr>
                <w:noProof/>
                <w:webHidden/>
              </w:rPr>
              <w:instrText xml:space="preserve"> PAGEREF _Toc192777236 \h </w:instrText>
            </w:r>
            <w:r w:rsidR="007C2730">
              <w:rPr>
                <w:noProof/>
                <w:webHidden/>
              </w:rPr>
            </w:r>
            <w:r w:rsidR="007C2730">
              <w:rPr>
                <w:noProof/>
                <w:webHidden/>
              </w:rPr>
              <w:fldChar w:fldCharType="separate"/>
            </w:r>
            <w:r w:rsidR="00EE76A5">
              <w:rPr>
                <w:noProof/>
                <w:webHidden/>
              </w:rPr>
              <w:t>42</w:t>
            </w:r>
            <w:r w:rsidR="007C2730">
              <w:rPr>
                <w:noProof/>
                <w:webHidden/>
              </w:rPr>
              <w:fldChar w:fldCharType="end"/>
            </w:r>
          </w:hyperlink>
        </w:p>
        <w:p w14:paraId="4CB53C3B" w14:textId="4CE328D1" w:rsidR="007C2730" w:rsidRDefault="00000000">
          <w:pPr>
            <w:pStyle w:val="TOC3"/>
            <w:tabs>
              <w:tab w:val="left" w:pos="1320"/>
              <w:tab w:val="right" w:leader="dot" w:pos="9016"/>
            </w:tabs>
            <w:rPr>
              <w:rFonts w:eastAsiaTheme="minorEastAsia"/>
              <w:i w:val="0"/>
              <w:iCs w:val="0"/>
              <w:noProof/>
              <w:kern w:val="2"/>
              <w:sz w:val="24"/>
              <w:szCs w:val="24"/>
              <w:lang w:eastAsia="en-AU"/>
              <w14:ligatures w14:val="standardContextual"/>
            </w:rPr>
          </w:pPr>
          <w:hyperlink w:anchor="_Toc192777237" w:history="1">
            <w:r w:rsidR="007C2730" w:rsidRPr="00726DB7">
              <w:rPr>
                <w:rStyle w:val="Hyperlink"/>
                <w:noProof/>
              </w:rPr>
              <w:t>3.2.11.</w:t>
            </w:r>
            <w:r w:rsidR="007C2730">
              <w:rPr>
                <w:rFonts w:eastAsiaTheme="minorEastAsia"/>
                <w:i w:val="0"/>
                <w:iCs w:val="0"/>
                <w:noProof/>
                <w:kern w:val="2"/>
                <w:sz w:val="24"/>
                <w:szCs w:val="24"/>
                <w:lang w:eastAsia="en-AU"/>
                <w14:ligatures w14:val="standardContextual"/>
              </w:rPr>
              <w:tab/>
            </w:r>
            <w:r w:rsidR="007C2730" w:rsidRPr="00726DB7">
              <w:rPr>
                <w:rStyle w:val="Hyperlink"/>
                <w:noProof/>
              </w:rPr>
              <w:t>Cape Liptrap (Small SMU)</w:t>
            </w:r>
            <w:r w:rsidR="007C2730">
              <w:rPr>
                <w:noProof/>
                <w:webHidden/>
              </w:rPr>
              <w:tab/>
            </w:r>
            <w:r w:rsidR="007C2730">
              <w:rPr>
                <w:noProof/>
                <w:webHidden/>
              </w:rPr>
              <w:fldChar w:fldCharType="begin"/>
            </w:r>
            <w:r w:rsidR="007C2730">
              <w:rPr>
                <w:noProof/>
                <w:webHidden/>
              </w:rPr>
              <w:instrText xml:space="preserve"> PAGEREF _Toc192777237 \h </w:instrText>
            </w:r>
            <w:r w:rsidR="007C2730">
              <w:rPr>
                <w:noProof/>
                <w:webHidden/>
              </w:rPr>
            </w:r>
            <w:r w:rsidR="007C2730">
              <w:rPr>
                <w:noProof/>
                <w:webHidden/>
              </w:rPr>
              <w:fldChar w:fldCharType="separate"/>
            </w:r>
            <w:r w:rsidR="00EE76A5">
              <w:rPr>
                <w:noProof/>
                <w:webHidden/>
              </w:rPr>
              <w:t>45</w:t>
            </w:r>
            <w:r w:rsidR="007C2730">
              <w:rPr>
                <w:noProof/>
                <w:webHidden/>
              </w:rPr>
              <w:fldChar w:fldCharType="end"/>
            </w:r>
          </w:hyperlink>
        </w:p>
        <w:p w14:paraId="5FD48643" w14:textId="75FB3B08" w:rsidR="007C2730" w:rsidRDefault="00000000">
          <w:pPr>
            <w:pStyle w:val="TOC3"/>
            <w:tabs>
              <w:tab w:val="left" w:pos="1320"/>
              <w:tab w:val="right" w:leader="dot" w:pos="9016"/>
            </w:tabs>
            <w:rPr>
              <w:rFonts w:eastAsiaTheme="minorEastAsia"/>
              <w:i w:val="0"/>
              <w:iCs w:val="0"/>
              <w:noProof/>
              <w:kern w:val="2"/>
              <w:sz w:val="24"/>
              <w:szCs w:val="24"/>
              <w:lang w:eastAsia="en-AU"/>
              <w14:ligatures w14:val="standardContextual"/>
            </w:rPr>
          </w:pPr>
          <w:hyperlink w:anchor="_Toc192777238" w:history="1">
            <w:r w:rsidR="007C2730" w:rsidRPr="00726DB7">
              <w:rPr>
                <w:rStyle w:val="Hyperlink"/>
                <w:noProof/>
              </w:rPr>
              <w:t>3.2.12.</w:t>
            </w:r>
            <w:r w:rsidR="007C2730">
              <w:rPr>
                <w:rFonts w:eastAsiaTheme="minorEastAsia"/>
                <w:i w:val="0"/>
                <w:iCs w:val="0"/>
                <w:noProof/>
                <w:kern w:val="2"/>
                <w:sz w:val="24"/>
                <w:szCs w:val="24"/>
                <w:lang w:eastAsia="en-AU"/>
                <w14:ligatures w14:val="standardContextual"/>
              </w:rPr>
              <w:tab/>
            </w:r>
            <w:r w:rsidR="007C2730" w:rsidRPr="00726DB7">
              <w:rPr>
                <w:rStyle w:val="Hyperlink"/>
                <w:noProof/>
              </w:rPr>
              <w:t>Prom Eastside (Small SMU)</w:t>
            </w:r>
            <w:r w:rsidR="007C2730">
              <w:rPr>
                <w:noProof/>
                <w:webHidden/>
              </w:rPr>
              <w:tab/>
            </w:r>
            <w:r w:rsidR="007C2730">
              <w:rPr>
                <w:noProof/>
                <w:webHidden/>
              </w:rPr>
              <w:fldChar w:fldCharType="begin"/>
            </w:r>
            <w:r w:rsidR="007C2730">
              <w:rPr>
                <w:noProof/>
                <w:webHidden/>
              </w:rPr>
              <w:instrText xml:space="preserve"> PAGEREF _Toc192777238 \h </w:instrText>
            </w:r>
            <w:r w:rsidR="007C2730">
              <w:rPr>
                <w:noProof/>
                <w:webHidden/>
              </w:rPr>
            </w:r>
            <w:r w:rsidR="007C2730">
              <w:rPr>
                <w:noProof/>
                <w:webHidden/>
              </w:rPr>
              <w:fldChar w:fldCharType="separate"/>
            </w:r>
            <w:r w:rsidR="00EE76A5">
              <w:rPr>
                <w:noProof/>
                <w:webHidden/>
              </w:rPr>
              <w:t>47</w:t>
            </w:r>
            <w:r w:rsidR="007C2730">
              <w:rPr>
                <w:noProof/>
                <w:webHidden/>
              </w:rPr>
              <w:fldChar w:fldCharType="end"/>
            </w:r>
          </w:hyperlink>
        </w:p>
        <w:p w14:paraId="772FA894" w14:textId="2CCCBBA6" w:rsidR="007C2730" w:rsidRDefault="00000000">
          <w:pPr>
            <w:pStyle w:val="TOC3"/>
            <w:tabs>
              <w:tab w:val="left" w:pos="1320"/>
              <w:tab w:val="right" w:leader="dot" w:pos="9016"/>
            </w:tabs>
            <w:rPr>
              <w:rFonts w:eastAsiaTheme="minorEastAsia"/>
              <w:i w:val="0"/>
              <w:iCs w:val="0"/>
              <w:noProof/>
              <w:kern w:val="2"/>
              <w:sz w:val="24"/>
              <w:szCs w:val="24"/>
              <w:lang w:eastAsia="en-AU"/>
              <w14:ligatures w14:val="standardContextual"/>
            </w:rPr>
          </w:pPr>
          <w:hyperlink w:anchor="_Toc192777239" w:history="1">
            <w:r w:rsidR="007C2730" w:rsidRPr="00726DB7">
              <w:rPr>
                <w:rStyle w:val="Hyperlink"/>
                <w:noProof/>
              </w:rPr>
              <w:t>3.2.13.</w:t>
            </w:r>
            <w:r w:rsidR="007C2730">
              <w:rPr>
                <w:rFonts w:eastAsiaTheme="minorEastAsia"/>
                <w:i w:val="0"/>
                <w:iCs w:val="0"/>
                <w:noProof/>
                <w:kern w:val="2"/>
                <w:sz w:val="24"/>
                <w:szCs w:val="24"/>
                <w:lang w:eastAsia="en-AU"/>
                <w14:ligatures w14:val="standardContextual"/>
              </w:rPr>
              <w:tab/>
            </w:r>
            <w:r w:rsidR="007C2730" w:rsidRPr="00726DB7">
              <w:rPr>
                <w:rStyle w:val="Hyperlink"/>
                <w:noProof/>
              </w:rPr>
              <w:t>Cliffy Group (Small SMU)</w:t>
            </w:r>
            <w:r w:rsidR="007C2730">
              <w:rPr>
                <w:noProof/>
                <w:webHidden/>
              </w:rPr>
              <w:tab/>
            </w:r>
            <w:r w:rsidR="007C2730">
              <w:rPr>
                <w:noProof/>
                <w:webHidden/>
              </w:rPr>
              <w:fldChar w:fldCharType="begin"/>
            </w:r>
            <w:r w:rsidR="007C2730">
              <w:rPr>
                <w:noProof/>
                <w:webHidden/>
              </w:rPr>
              <w:instrText xml:space="preserve"> PAGEREF _Toc192777239 \h </w:instrText>
            </w:r>
            <w:r w:rsidR="007C2730">
              <w:rPr>
                <w:noProof/>
                <w:webHidden/>
              </w:rPr>
            </w:r>
            <w:r w:rsidR="007C2730">
              <w:rPr>
                <w:noProof/>
                <w:webHidden/>
              </w:rPr>
              <w:fldChar w:fldCharType="separate"/>
            </w:r>
            <w:r w:rsidR="00EE76A5">
              <w:rPr>
                <w:noProof/>
                <w:webHidden/>
              </w:rPr>
              <w:t>50</w:t>
            </w:r>
            <w:r w:rsidR="007C2730">
              <w:rPr>
                <w:noProof/>
                <w:webHidden/>
              </w:rPr>
              <w:fldChar w:fldCharType="end"/>
            </w:r>
          </w:hyperlink>
        </w:p>
        <w:p w14:paraId="7A6339B6" w14:textId="645F9998" w:rsidR="007C2730" w:rsidRDefault="00000000">
          <w:pPr>
            <w:pStyle w:val="TOC3"/>
            <w:tabs>
              <w:tab w:val="left" w:pos="1320"/>
              <w:tab w:val="right" w:leader="dot" w:pos="9016"/>
            </w:tabs>
            <w:rPr>
              <w:rFonts w:eastAsiaTheme="minorEastAsia"/>
              <w:i w:val="0"/>
              <w:iCs w:val="0"/>
              <w:noProof/>
              <w:kern w:val="2"/>
              <w:sz w:val="24"/>
              <w:szCs w:val="24"/>
              <w:lang w:eastAsia="en-AU"/>
              <w14:ligatures w14:val="standardContextual"/>
            </w:rPr>
          </w:pPr>
          <w:hyperlink w:anchor="_Toc192777240" w:history="1">
            <w:r w:rsidR="007C2730" w:rsidRPr="00726DB7">
              <w:rPr>
                <w:rStyle w:val="Hyperlink"/>
                <w:noProof/>
              </w:rPr>
              <w:t>3.2.14.</w:t>
            </w:r>
            <w:r w:rsidR="007C2730">
              <w:rPr>
                <w:rFonts w:eastAsiaTheme="minorEastAsia"/>
                <w:i w:val="0"/>
                <w:iCs w:val="0"/>
                <w:noProof/>
                <w:kern w:val="2"/>
                <w:sz w:val="24"/>
                <w:szCs w:val="24"/>
                <w:lang w:eastAsia="en-AU"/>
                <w14:ligatures w14:val="standardContextual"/>
              </w:rPr>
              <w:tab/>
            </w:r>
            <w:r w:rsidR="007C2730" w:rsidRPr="00726DB7">
              <w:rPr>
                <w:rStyle w:val="Hyperlink"/>
                <w:noProof/>
              </w:rPr>
              <w:t>Surf Coast (Small SMU)</w:t>
            </w:r>
            <w:r w:rsidR="007C2730">
              <w:rPr>
                <w:noProof/>
                <w:webHidden/>
              </w:rPr>
              <w:tab/>
            </w:r>
            <w:r w:rsidR="007C2730">
              <w:rPr>
                <w:noProof/>
                <w:webHidden/>
              </w:rPr>
              <w:fldChar w:fldCharType="begin"/>
            </w:r>
            <w:r w:rsidR="007C2730">
              <w:rPr>
                <w:noProof/>
                <w:webHidden/>
              </w:rPr>
              <w:instrText xml:space="preserve"> PAGEREF _Toc192777240 \h </w:instrText>
            </w:r>
            <w:r w:rsidR="007C2730">
              <w:rPr>
                <w:noProof/>
                <w:webHidden/>
              </w:rPr>
            </w:r>
            <w:r w:rsidR="007C2730">
              <w:rPr>
                <w:noProof/>
                <w:webHidden/>
              </w:rPr>
              <w:fldChar w:fldCharType="separate"/>
            </w:r>
            <w:r w:rsidR="00EE76A5">
              <w:rPr>
                <w:noProof/>
                <w:webHidden/>
              </w:rPr>
              <w:t>52</w:t>
            </w:r>
            <w:r w:rsidR="007C2730">
              <w:rPr>
                <w:noProof/>
                <w:webHidden/>
              </w:rPr>
              <w:fldChar w:fldCharType="end"/>
            </w:r>
          </w:hyperlink>
        </w:p>
        <w:p w14:paraId="4BA9F660" w14:textId="4B550A56" w:rsidR="007C2730" w:rsidRDefault="00000000">
          <w:pPr>
            <w:pStyle w:val="TOC3"/>
            <w:tabs>
              <w:tab w:val="left" w:pos="1320"/>
              <w:tab w:val="right" w:leader="dot" w:pos="9016"/>
            </w:tabs>
            <w:rPr>
              <w:rFonts w:eastAsiaTheme="minorEastAsia"/>
              <w:i w:val="0"/>
              <w:iCs w:val="0"/>
              <w:noProof/>
              <w:kern w:val="2"/>
              <w:sz w:val="24"/>
              <w:szCs w:val="24"/>
              <w:lang w:eastAsia="en-AU"/>
              <w14:ligatures w14:val="standardContextual"/>
            </w:rPr>
          </w:pPr>
          <w:hyperlink w:anchor="_Toc192777241" w:history="1">
            <w:r w:rsidR="007C2730" w:rsidRPr="00726DB7">
              <w:rPr>
                <w:rStyle w:val="Hyperlink"/>
                <w:noProof/>
              </w:rPr>
              <w:t>3.2.15.</w:t>
            </w:r>
            <w:r w:rsidR="007C2730">
              <w:rPr>
                <w:rFonts w:eastAsiaTheme="minorEastAsia"/>
                <w:i w:val="0"/>
                <w:iCs w:val="0"/>
                <w:noProof/>
                <w:kern w:val="2"/>
                <w:sz w:val="24"/>
                <w:szCs w:val="24"/>
                <w:lang w:eastAsia="en-AU"/>
                <w14:ligatures w14:val="standardContextual"/>
              </w:rPr>
              <w:tab/>
            </w:r>
            <w:r w:rsidR="007C2730" w:rsidRPr="00726DB7">
              <w:rPr>
                <w:rStyle w:val="Hyperlink"/>
                <w:noProof/>
              </w:rPr>
              <w:t>PPB</w:t>
            </w:r>
            <w:r w:rsidR="007C2730">
              <w:rPr>
                <w:noProof/>
                <w:webHidden/>
              </w:rPr>
              <w:tab/>
            </w:r>
            <w:r w:rsidR="007C2730">
              <w:rPr>
                <w:noProof/>
                <w:webHidden/>
              </w:rPr>
              <w:fldChar w:fldCharType="begin"/>
            </w:r>
            <w:r w:rsidR="007C2730">
              <w:rPr>
                <w:noProof/>
                <w:webHidden/>
              </w:rPr>
              <w:instrText xml:space="preserve"> PAGEREF _Toc192777241 \h </w:instrText>
            </w:r>
            <w:r w:rsidR="007C2730">
              <w:rPr>
                <w:noProof/>
                <w:webHidden/>
              </w:rPr>
            </w:r>
            <w:r w:rsidR="007C2730">
              <w:rPr>
                <w:noProof/>
                <w:webHidden/>
              </w:rPr>
              <w:fldChar w:fldCharType="separate"/>
            </w:r>
            <w:r w:rsidR="00EE76A5">
              <w:rPr>
                <w:noProof/>
                <w:webHidden/>
              </w:rPr>
              <w:t>54</w:t>
            </w:r>
            <w:r w:rsidR="007C2730">
              <w:rPr>
                <w:noProof/>
                <w:webHidden/>
              </w:rPr>
              <w:fldChar w:fldCharType="end"/>
            </w:r>
          </w:hyperlink>
        </w:p>
        <w:p w14:paraId="525D9312" w14:textId="29B29966" w:rsidR="007C2730" w:rsidRDefault="00000000">
          <w:pPr>
            <w:pStyle w:val="TOC1"/>
            <w:tabs>
              <w:tab w:val="left" w:pos="440"/>
              <w:tab w:val="right" w:leader="dot" w:pos="9016"/>
            </w:tabs>
            <w:rPr>
              <w:rFonts w:eastAsiaTheme="minorEastAsia"/>
              <w:b w:val="0"/>
              <w:bCs w:val="0"/>
              <w:caps w:val="0"/>
              <w:noProof/>
              <w:kern w:val="2"/>
              <w:sz w:val="24"/>
              <w:szCs w:val="24"/>
              <w:lang w:eastAsia="en-AU"/>
              <w14:ligatures w14:val="standardContextual"/>
            </w:rPr>
          </w:pPr>
          <w:hyperlink w:anchor="_Toc192777242" w:history="1">
            <w:r w:rsidR="007C2730" w:rsidRPr="00726DB7">
              <w:rPr>
                <w:rStyle w:val="Hyperlink"/>
                <w:noProof/>
              </w:rPr>
              <w:t>4.</w:t>
            </w:r>
            <w:r w:rsidR="007C2730">
              <w:rPr>
                <w:rFonts w:eastAsiaTheme="minorEastAsia"/>
                <w:b w:val="0"/>
                <w:bCs w:val="0"/>
                <w:caps w:val="0"/>
                <w:noProof/>
                <w:kern w:val="2"/>
                <w:sz w:val="24"/>
                <w:szCs w:val="24"/>
                <w:lang w:eastAsia="en-AU"/>
                <w14:ligatures w14:val="standardContextual"/>
              </w:rPr>
              <w:tab/>
            </w:r>
            <w:r w:rsidR="007C2730" w:rsidRPr="00726DB7">
              <w:rPr>
                <w:rStyle w:val="Hyperlink"/>
                <w:noProof/>
              </w:rPr>
              <w:t>Greenlip Abalone</w:t>
            </w:r>
            <w:r w:rsidR="007C2730">
              <w:rPr>
                <w:noProof/>
                <w:webHidden/>
              </w:rPr>
              <w:tab/>
            </w:r>
            <w:r w:rsidR="007C2730">
              <w:rPr>
                <w:noProof/>
                <w:webHidden/>
              </w:rPr>
              <w:fldChar w:fldCharType="begin"/>
            </w:r>
            <w:r w:rsidR="007C2730">
              <w:rPr>
                <w:noProof/>
                <w:webHidden/>
              </w:rPr>
              <w:instrText xml:space="preserve"> PAGEREF _Toc192777242 \h </w:instrText>
            </w:r>
            <w:r w:rsidR="007C2730">
              <w:rPr>
                <w:noProof/>
                <w:webHidden/>
              </w:rPr>
            </w:r>
            <w:r w:rsidR="007C2730">
              <w:rPr>
                <w:noProof/>
                <w:webHidden/>
              </w:rPr>
              <w:fldChar w:fldCharType="separate"/>
            </w:r>
            <w:r w:rsidR="00EE76A5">
              <w:rPr>
                <w:noProof/>
                <w:webHidden/>
              </w:rPr>
              <w:t>55</w:t>
            </w:r>
            <w:r w:rsidR="007C2730">
              <w:rPr>
                <w:noProof/>
                <w:webHidden/>
              </w:rPr>
              <w:fldChar w:fldCharType="end"/>
            </w:r>
          </w:hyperlink>
        </w:p>
        <w:p w14:paraId="6ADFFD57" w14:textId="5C3EB06E" w:rsidR="007C2730" w:rsidRDefault="00000000">
          <w:pPr>
            <w:pStyle w:val="TOC1"/>
            <w:tabs>
              <w:tab w:val="left" w:pos="440"/>
              <w:tab w:val="right" w:leader="dot" w:pos="9016"/>
            </w:tabs>
            <w:rPr>
              <w:rFonts w:eastAsiaTheme="minorEastAsia"/>
              <w:b w:val="0"/>
              <w:bCs w:val="0"/>
              <w:caps w:val="0"/>
              <w:noProof/>
              <w:kern w:val="2"/>
              <w:sz w:val="24"/>
              <w:szCs w:val="24"/>
              <w:lang w:eastAsia="en-AU"/>
              <w14:ligatures w14:val="standardContextual"/>
            </w:rPr>
          </w:pPr>
          <w:hyperlink w:anchor="_Toc192777244" w:history="1">
            <w:r w:rsidR="007C2730" w:rsidRPr="00726DB7">
              <w:rPr>
                <w:rStyle w:val="Hyperlink"/>
                <w:noProof/>
              </w:rPr>
              <w:t>5.</w:t>
            </w:r>
            <w:r w:rsidR="007C2730">
              <w:rPr>
                <w:rFonts w:eastAsiaTheme="minorEastAsia"/>
                <w:b w:val="0"/>
                <w:bCs w:val="0"/>
                <w:caps w:val="0"/>
                <w:noProof/>
                <w:kern w:val="2"/>
                <w:sz w:val="24"/>
                <w:szCs w:val="24"/>
                <w:lang w:eastAsia="en-AU"/>
                <w14:ligatures w14:val="standardContextual"/>
              </w:rPr>
              <w:tab/>
            </w:r>
            <w:r w:rsidR="007C2730" w:rsidRPr="00726DB7">
              <w:rPr>
                <w:rStyle w:val="Hyperlink"/>
                <w:noProof/>
              </w:rPr>
              <w:t>Conclusions and recommendations</w:t>
            </w:r>
            <w:r w:rsidR="007C2730">
              <w:rPr>
                <w:noProof/>
                <w:webHidden/>
              </w:rPr>
              <w:tab/>
            </w:r>
            <w:r w:rsidR="007C2730">
              <w:rPr>
                <w:noProof/>
                <w:webHidden/>
              </w:rPr>
              <w:fldChar w:fldCharType="begin"/>
            </w:r>
            <w:r w:rsidR="007C2730">
              <w:rPr>
                <w:noProof/>
                <w:webHidden/>
              </w:rPr>
              <w:instrText xml:space="preserve"> PAGEREF _Toc192777244 \h </w:instrText>
            </w:r>
            <w:r w:rsidR="007C2730">
              <w:rPr>
                <w:noProof/>
                <w:webHidden/>
              </w:rPr>
            </w:r>
            <w:r w:rsidR="007C2730">
              <w:rPr>
                <w:noProof/>
                <w:webHidden/>
              </w:rPr>
              <w:fldChar w:fldCharType="separate"/>
            </w:r>
            <w:r w:rsidR="00EE76A5">
              <w:rPr>
                <w:noProof/>
                <w:webHidden/>
              </w:rPr>
              <w:t>57</w:t>
            </w:r>
            <w:r w:rsidR="007C2730">
              <w:rPr>
                <w:noProof/>
                <w:webHidden/>
              </w:rPr>
              <w:fldChar w:fldCharType="end"/>
            </w:r>
          </w:hyperlink>
        </w:p>
        <w:p w14:paraId="2E06F0B6" w14:textId="548B3BCA" w:rsidR="007C2730" w:rsidRDefault="00000000">
          <w:pPr>
            <w:pStyle w:val="TOC2"/>
            <w:tabs>
              <w:tab w:val="left" w:pos="1100"/>
              <w:tab w:val="right" w:leader="dot" w:pos="9016"/>
            </w:tabs>
            <w:rPr>
              <w:rFonts w:eastAsiaTheme="minorEastAsia"/>
              <w:smallCaps w:val="0"/>
              <w:noProof/>
              <w:kern w:val="2"/>
              <w:sz w:val="24"/>
              <w:szCs w:val="24"/>
              <w:lang w:eastAsia="en-AU"/>
              <w14:ligatures w14:val="standardContextual"/>
            </w:rPr>
          </w:pPr>
          <w:hyperlink w:anchor="_Toc192777245" w:history="1">
            <w:r w:rsidR="007C2730" w:rsidRPr="00726DB7">
              <w:rPr>
                <w:rStyle w:val="Hyperlink"/>
                <w:noProof/>
              </w:rPr>
              <w:t>5.1.</w:t>
            </w:r>
            <w:r w:rsidR="007C2730">
              <w:rPr>
                <w:rFonts w:eastAsiaTheme="minorEastAsia"/>
                <w:smallCaps w:val="0"/>
                <w:noProof/>
                <w:kern w:val="2"/>
                <w:sz w:val="24"/>
                <w:szCs w:val="24"/>
                <w:lang w:eastAsia="en-AU"/>
                <w14:ligatures w14:val="standardContextual"/>
              </w:rPr>
              <w:tab/>
            </w:r>
            <w:r w:rsidR="007C2730" w:rsidRPr="00726DB7">
              <w:rPr>
                <w:rStyle w:val="Hyperlink"/>
                <w:noProof/>
              </w:rPr>
              <w:t>Analytical approaches to stock assessment</w:t>
            </w:r>
            <w:r w:rsidR="007C2730">
              <w:rPr>
                <w:noProof/>
                <w:webHidden/>
              </w:rPr>
              <w:tab/>
            </w:r>
            <w:r w:rsidR="007C2730">
              <w:rPr>
                <w:noProof/>
                <w:webHidden/>
              </w:rPr>
              <w:fldChar w:fldCharType="begin"/>
            </w:r>
            <w:r w:rsidR="007C2730">
              <w:rPr>
                <w:noProof/>
                <w:webHidden/>
              </w:rPr>
              <w:instrText xml:space="preserve"> PAGEREF _Toc192777245 \h </w:instrText>
            </w:r>
            <w:r w:rsidR="007C2730">
              <w:rPr>
                <w:noProof/>
                <w:webHidden/>
              </w:rPr>
            </w:r>
            <w:r w:rsidR="007C2730">
              <w:rPr>
                <w:noProof/>
                <w:webHidden/>
              </w:rPr>
              <w:fldChar w:fldCharType="separate"/>
            </w:r>
            <w:r w:rsidR="00EE76A5">
              <w:rPr>
                <w:noProof/>
                <w:webHidden/>
              </w:rPr>
              <w:t>57</w:t>
            </w:r>
            <w:r w:rsidR="007C2730">
              <w:rPr>
                <w:noProof/>
                <w:webHidden/>
              </w:rPr>
              <w:fldChar w:fldCharType="end"/>
            </w:r>
          </w:hyperlink>
        </w:p>
        <w:p w14:paraId="5B4D4491" w14:textId="14420F77" w:rsidR="007C2730" w:rsidRDefault="00000000">
          <w:pPr>
            <w:pStyle w:val="TOC3"/>
            <w:tabs>
              <w:tab w:val="left" w:pos="1320"/>
              <w:tab w:val="right" w:leader="dot" w:pos="9016"/>
            </w:tabs>
            <w:rPr>
              <w:rFonts w:eastAsiaTheme="minorEastAsia"/>
              <w:i w:val="0"/>
              <w:iCs w:val="0"/>
              <w:noProof/>
              <w:kern w:val="2"/>
              <w:sz w:val="24"/>
              <w:szCs w:val="24"/>
              <w:lang w:eastAsia="en-AU"/>
              <w14:ligatures w14:val="standardContextual"/>
            </w:rPr>
          </w:pPr>
          <w:hyperlink w:anchor="_Toc192777246" w:history="1">
            <w:r w:rsidR="007C2730" w:rsidRPr="00726DB7">
              <w:rPr>
                <w:rStyle w:val="Hyperlink"/>
                <w:noProof/>
              </w:rPr>
              <w:t>5.1.1.</w:t>
            </w:r>
            <w:r w:rsidR="007C2730">
              <w:rPr>
                <w:rFonts w:eastAsiaTheme="minorEastAsia"/>
                <w:i w:val="0"/>
                <w:iCs w:val="0"/>
                <w:noProof/>
                <w:kern w:val="2"/>
                <w:sz w:val="24"/>
                <w:szCs w:val="24"/>
                <w:lang w:eastAsia="en-AU"/>
                <w14:ligatures w14:val="standardContextual"/>
              </w:rPr>
              <w:tab/>
            </w:r>
            <w:r w:rsidR="007C2730" w:rsidRPr="00726DB7">
              <w:rPr>
                <w:rStyle w:val="Hyperlink"/>
                <w:noProof/>
              </w:rPr>
              <w:t>Performance Indicators</w:t>
            </w:r>
            <w:r w:rsidR="007C2730">
              <w:rPr>
                <w:noProof/>
                <w:webHidden/>
              </w:rPr>
              <w:tab/>
            </w:r>
            <w:r w:rsidR="007C2730">
              <w:rPr>
                <w:noProof/>
                <w:webHidden/>
              </w:rPr>
              <w:fldChar w:fldCharType="begin"/>
            </w:r>
            <w:r w:rsidR="007C2730">
              <w:rPr>
                <w:noProof/>
                <w:webHidden/>
              </w:rPr>
              <w:instrText xml:space="preserve"> PAGEREF _Toc192777246 \h </w:instrText>
            </w:r>
            <w:r w:rsidR="007C2730">
              <w:rPr>
                <w:noProof/>
                <w:webHidden/>
              </w:rPr>
            </w:r>
            <w:r w:rsidR="007C2730">
              <w:rPr>
                <w:noProof/>
                <w:webHidden/>
              </w:rPr>
              <w:fldChar w:fldCharType="separate"/>
            </w:r>
            <w:r w:rsidR="00EE76A5">
              <w:rPr>
                <w:noProof/>
                <w:webHidden/>
              </w:rPr>
              <w:t>57</w:t>
            </w:r>
            <w:r w:rsidR="007C2730">
              <w:rPr>
                <w:noProof/>
                <w:webHidden/>
              </w:rPr>
              <w:fldChar w:fldCharType="end"/>
            </w:r>
          </w:hyperlink>
        </w:p>
        <w:p w14:paraId="3E4C4F55" w14:textId="5B492176" w:rsidR="007C2730" w:rsidRDefault="00000000">
          <w:pPr>
            <w:pStyle w:val="TOC3"/>
            <w:tabs>
              <w:tab w:val="left" w:pos="1320"/>
              <w:tab w:val="right" w:leader="dot" w:pos="9016"/>
            </w:tabs>
            <w:rPr>
              <w:rFonts w:eastAsiaTheme="minorEastAsia"/>
              <w:i w:val="0"/>
              <w:iCs w:val="0"/>
              <w:noProof/>
              <w:kern w:val="2"/>
              <w:sz w:val="24"/>
              <w:szCs w:val="24"/>
              <w:lang w:eastAsia="en-AU"/>
              <w14:ligatures w14:val="standardContextual"/>
            </w:rPr>
          </w:pPr>
          <w:hyperlink w:anchor="_Toc192777247" w:history="1">
            <w:r w:rsidR="007C2730" w:rsidRPr="00726DB7">
              <w:rPr>
                <w:rStyle w:val="Hyperlink"/>
                <w:noProof/>
              </w:rPr>
              <w:t>5.1.2.</w:t>
            </w:r>
            <w:r w:rsidR="007C2730">
              <w:rPr>
                <w:rFonts w:eastAsiaTheme="minorEastAsia"/>
                <w:i w:val="0"/>
                <w:iCs w:val="0"/>
                <w:noProof/>
                <w:kern w:val="2"/>
                <w:sz w:val="24"/>
                <w:szCs w:val="24"/>
                <w:lang w:eastAsia="en-AU"/>
                <w14:ligatures w14:val="standardContextual"/>
              </w:rPr>
              <w:tab/>
            </w:r>
            <w:r w:rsidR="007C2730" w:rsidRPr="00726DB7">
              <w:rPr>
                <w:rStyle w:val="Hyperlink"/>
                <w:noProof/>
              </w:rPr>
              <w:t>Draft Harvest Strategy</w:t>
            </w:r>
            <w:r w:rsidR="007C2730">
              <w:rPr>
                <w:noProof/>
                <w:webHidden/>
              </w:rPr>
              <w:tab/>
            </w:r>
            <w:r w:rsidR="007C2730">
              <w:rPr>
                <w:noProof/>
                <w:webHidden/>
              </w:rPr>
              <w:fldChar w:fldCharType="begin"/>
            </w:r>
            <w:r w:rsidR="007C2730">
              <w:rPr>
                <w:noProof/>
                <w:webHidden/>
              </w:rPr>
              <w:instrText xml:space="preserve"> PAGEREF _Toc192777247 \h </w:instrText>
            </w:r>
            <w:r w:rsidR="007C2730">
              <w:rPr>
                <w:noProof/>
                <w:webHidden/>
              </w:rPr>
            </w:r>
            <w:r w:rsidR="007C2730">
              <w:rPr>
                <w:noProof/>
                <w:webHidden/>
              </w:rPr>
              <w:fldChar w:fldCharType="separate"/>
            </w:r>
            <w:r w:rsidR="00EE76A5">
              <w:rPr>
                <w:noProof/>
                <w:webHidden/>
              </w:rPr>
              <w:t>57</w:t>
            </w:r>
            <w:r w:rsidR="007C2730">
              <w:rPr>
                <w:noProof/>
                <w:webHidden/>
              </w:rPr>
              <w:fldChar w:fldCharType="end"/>
            </w:r>
          </w:hyperlink>
        </w:p>
        <w:p w14:paraId="108C55DC" w14:textId="45570C83" w:rsidR="007C2730" w:rsidRDefault="00000000">
          <w:pPr>
            <w:pStyle w:val="TOC3"/>
            <w:tabs>
              <w:tab w:val="left" w:pos="1320"/>
              <w:tab w:val="right" w:leader="dot" w:pos="9016"/>
            </w:tabs>
            <w:rPr>
              <w:rFonts w:eastAsiaTheme="minorEastAsia"/>
              <w:i w:val="0"/>
              <w:iCs w:val="0"/>
              <w:noProof/>
              <w:kern w:val="2"/>
              <w:sz w:val="24"/>
              <w:szCs w:val="24"/>
              <w:lang w:eastAsia="en-AU"/>
              <w14:ligatures w14:val="standardContextual"/>
            </w:rPr>
          </w:pPr>
          <w:hyperlink w:anchor="_Toc192777248" w:history="1">
            <w:r w:rsidR="007C2730" w:rsidRPr="00726DB7">
              <w:rPr>
                <w:rStyle w:val="Hyperlink"/>
                <w:noProof/>
              </w:rPr>
              <w:t>5.1.3.</w:t>
            </w:r>
            <w:r w:rsidR="007C2730">
              <w:rPr>
                <w:rFonts w:eastAsiaTheme="minorEastAsia"/>
                <w:i w:val="0"/>
                <w:iCs w:val="0"/>
                <w:noProof/>
                <w:kern w:val="2"/>
                <w:sz w:val="24"/>
                <w:szCs w:val="24"/>
                <w:lang w:eastAsia="en-AU"/>
                <w14:ligatures w14:val="standardContextual"/>
              </w:rPr>
              <w:tab/>
            </w:r>
            <w:r w:rsidR="007C2730" w:rsidRPr="00726DB7">
              <w:rPr>
                <w:rStyle w:val="Hyperlink"/>
                <w:noProof/>
              </w:rPr>
              <w:t>Weight of evidence</w:t>
            </w:r>
            <w:r w:rsidR="007C2730">
              <w:rPr>
                <w:noProof/>
                <w:webHidden/>
              </w:rPr>
              <w:tab/>
            </w:r>
            <w:r w:rsidR="007C2730">
              <w:rPr>
                <w:noProof/>
                <w:webHidden/>
              </w:rPr>
              <w:fldChar w:fldCharType="begin"/>
            </w:r>
            <w:r w:rsidR="007C2730">
              <w:rPr>
                <w:noProof/>
                <w:webHidden/>
              </w:rPr>
              <w:instrText xml:space="preserve"> PAGEREF _Toc192777248 \h </w:instrText>
            </w:r>
            <w:r w:rsidR="007C2730">
              <w:rPr>
                <w:noProof/>
                <w:webHidden/>
              </w:rPr>
            </w:r>
            <w:r w:rsidR="007C2730">
              <w:rPr>
                <w:noProof/>
                <w:webHidden/>
              </w:rPr>
              <w:fldChar w:fldCharType="separate"/>
            </w:r>
            <w:r w:rsidR="00EE76A5">
              <w:rPr>
                <w:noProof/>
                <w:webHidden/>
              </w:rPr>
              <w:t>58</w:t>
            </w:r>
            <w:r w:rsidR="007C2730">
              <w:rPr>
                <w:noProof/>
                <w:webHidden/>
              </w:rPr>
              <w:fldChar w:fldCharType="end"/>
            </w:r>
          </w:hyperlink>
        </w:p>
        <w:p w14:paraId="72C69490" w14:textId="737CD051" w:rsidR="007C2730" w:rsidRDefault="00000000">
          <w:pPr>
            <w:pStyle w:val="TOC2"/>
            <w:tabs>
              <w:tab w:val="left" w:pos="1100"/>
              <w:tab w:val="right" w:leader="dot" w:pos="9016"/>
            </w:tabs>
            <w:rPr>
              <w:rFonts w:eastAsiaTheme="minorEastAsia"/>
              <w:smallCaps w:val="0"/>
              <w:noProof/>
              <w:kern w:val="2"/>
              <w:sz w:val="24"/>
              <w:szCs w:val="24"/>
              <w:lang w:eastAsia="en-AU"/>
              <w14:ligatures w14:val="standardContextual"/>
            </w:rPr>
          </w:pPr>
          <w:hyperlink w:anchor="_Toc192777249" w:history="1">
            <w:r w:rsidR="007C2730" w:rsidRPr="00726DB7">
              <w:rPr>
                <w:rStyle w:val="Hyperlink"/>
                <w:noProof/>
              </w:rPr>
              <w:t>5.2.</w:t>
            </w:r>
            <w:r w:rsidR="007C2730">
              <w:rPr>
                <w:rFonts w:eastAsiaTheme="minorEastAsia"/>
                <w:smallCaps w:val="0"/>
                <w:noProof/>
                <w:kern w:val="2"/>
                <w:sz w:val="24"/>
                <w:szCs w:val="24"/>
                <w:lang w:eastAsia="en-AU"/>
                <w14:ligatures w14:val="standardContextual"/>
              </w:rPr>
              <w:tab/>
            </w:r>
            <w:r w:rsidR="007C2730" w:rsidRPr="00726DB7">
              <w:rPr>
                <w:rStyle w:val="Hyperlink"/>
                <w:noProof/>
              </w:rPr>
              <w:t>TACC setting and Optimal Target catches</w:t>
            </w:r>
            <w:r w:rsidR="007C2730">
              <w:rPr>
                <w:noProof/>
                <w:webHidden/>
              </w:rPr>
              <w:tab/>
            </w:r>
            <w:r w:rsidR="007C2730">
              <w:rPr>
                <w:noProof/>
                <w:webHidden/>
              </w:rPr>
              <w:fldChar w:fldCharType="begin"/>
            </w:r>
            <w:r w:rsidR="007C2730">
              <w:rPr>
                <w:noProof/>
                <w:webHidden/>
              </w:rPr>
              <w:instrText xml:space="preserve"> PAGEREF _Toc192777249 \h </w:instrText>
            </w:r>
            <w:r w:rsidR="007C2730">
              <w:rPr>
                <w:noProof/>
                <w:webHidden/>
              </w:rPr>
            </w:r>
            <w:r w:rsidR="007C2730">
              <w:rPr>
                <w:noProof/>
                <w:webHidden/>
              </w:rPr>
              <w:fldChar w:fldCharType="separate"/>
            </w:r>
            <w:r w:rsidR="00EE76A5">
              <w:rPr>
                <w:noProof/>
                <w:webHidden/>
              </w:rPr>
              <w:t>58</w:t>
            </w:r>
            <w:r w:rsidR="007C2730">
              <w:rPr>
                <w:noProof/>
                <w:webHidden/>
              </w:rPr>
              <w:fldChar w:fldCharType="end"/>
            </w:r>
          </w:hyperlink>
        </w:p>
        <w:p w14:paraId="473E48A1" w14:textId="2FD746F2" w:rsidR="007C2730" w:rsidRDefault="00000000">
          <w:pPr>
            <w:pStyle w:val="TOC2"/>
            <w:tabs>
              <w:tab w:val="left" w:pos="1100"/>
              <w:tab w:val="right" w:leader="dot" w:pos="9016"/>
            </w:tabs>
            <w:rPr>
              <w:rFonts w:eastAsiaTheme="minorEastAsia"/>
              <w:smallCaps w:val="0"/>
              <w:noProof/>
              <w:kern w:val="2"/>
              <w:sz w:val="24"/>
              <w:szCs w:val="24"/>
              <w:lang w:eastAsia="en-AU"/>
              <w14:ligatures w14:val="standardContextual"/>
            </w:rPr>
          </w:pPr>
          <w:hyperlink w:anchor="_Toc192777250" w:history="1">
            <w:r w:rsidR="007C2730" w:rsidRPr="00726DB7">
              <w:rPr>
                <w:rStyle w:val="Hyperlink"/>
                <w:noProof/>
              </w:rPr>
              <w:t>5.3.</w:t>
            </w:r>
            <w:r w:rsidR="007C2730">
              <w:rPr>
                <w:rFonts w:eastAsiaTheme="minorEastAsia"/>
                <w:smallCaps w:val="0"/>
                <w:noProof/>
                <w:kern w:val="2"/>
                <w:sz w:val="24"/>
                <w:szCs w:val="24"/>
                <w:lang w:eastAsia="en-AU"/>
                <w14:ligatures w14:val="standardContextual"/>
              </w:rPr>
              <w:tab/>
            </w:r>
            <w:r w:rsidR="007C2730" w:rsidRPr="00726DB7">
              <w:rPr>
                <w:rStyle w:val="Hyperlink"/>
                <w:noProof/>
              </w:rPr>
              <w:t>Central Zone trends in available data</w:t>
            </w:r>
            <w:r w:rsidR="007C2730">
              <w:rPr>
                <w:noProof/>
                <w:webHidden/>
              </w:rPr>
              <w:tab/>
            </w:r>
            <w:r w:rsidR="007C2730">
              <w:rPr>
                <w:noProof/>
                <w:webHidden/>
              </w:rPr>
              <w:fldChar w:fldCharType="begin"/>
            </w:r>
            <w:r w:rsidR="007C2730">
              <w:rPr>
                <w:noProof/>
                <w:webHidden/>
              </w:rPr>
              <w:instrText xml:space="preserve"> PAGEREF _Toc192777250 \h </w:instrText>
            </w:r>
            <w:r w:rsidR="007C2730">
              <w:rPr>
                <w:noProof/>
                <w:webHidden/>
              </w:rPr>
            </w:r>
            <w:r w:rsidR="007C2730">
              <w:rPr>
                <w:noProof/>
                <w:webHidden/>
              </w:rPr>
              <w:fldChar w:fldCharType="separate"/>
            </w:r>
            <w:r w:rsidR="00EE76A5">
              <w:rPr>
                <w:noProof/>
                <w:webHidden/>
              </w:rPr>
              <w:t>58</w:t>
            </w:r>
            <w:r w:rsidR="007C2730">
              <w:rPr>
                <w:noProof/>
                <w:webHidden/>
              </w:rPr>
              <w:fldChar w:fldCharType="end"/>
            </w:r>
          </w:hyperlink>
        </w:p>
        <w:p w14:paraId="3B752D1E" w14:textId="7C76BA24" w:rsidR="007C2730" w:rsidRDefault="00000000">
          <w:pPr>
            <w:pStyle w:val="TOC2"/>
            <w:tabs>
              <w:tab w:val="left" w:pos="1100"/>
              <w:tab w:val="right" w:leader="dot" w:pos="9016"/>
            </w:tabs>
            <w:rPr>
              <w:rFonts w:eastAsiaTheme="minorEastAsia"/>
              <w:smallCaps w:val="0"/>
              <w:noProof/>
              <w:kern w:val="2"/>
              <w:sz w:val="24"/>
              <w:szCs w:val="24"/>
              <w:lang w:eastAsia="en-AU"/>
              <w14:ligatures w14:val="standardContextual"/>
            </w:rPr>
          </w:pPr>
          <w:hyperlink w:anchor="_Toc192777251" w:history="1">
            <w:r w:rsidR="007C2730" w:rsidRPr="00726DB7">
              <w:rPr>
                <w:rStyle w:val="Hyperlink"/>
                <w:noProof/>
              </w:rPr>
              <w:t>5.4.</w:t>
            </w:r>
            <w:r w:rsidR="007C2730">
              <w:rPr>
                <w:rFonts w:eastAsiaTheme="minorEastAsia"/>
                <w:smallCaps w:val="0"/>
                <w:noProof/>
                <w:kern w:val="2"/>
                <w:sz w:val="24"/>
                <w:szCs w:val="24"/>
                <w:lang w:eastAsia="en-AU"/>
                <w14:ligatures w14:val="standardContextual"/>
              </w:rPr>
              <w:tab/>
            </w:r>
            <w:r w:rsidR="007C2730" w:rsidRPr="00726DB7">
              <w:rPr>
                <w:rStyle w:val="Hyperlink"/>
                <w:noProof/>
              </w:rPr>
              <w:t>Stock Status</w:t>
            </w:r>
            <w:r w:rsidR="007C2730">
              <w:rPr>
                <w:noProof/>
                <w:webHidden/>
              </w:rPr>
              <w:tab/>
            </w:r>
            <w:r w:rsidR="007C2730">
              <w:rPr>
                <w:noProof/>
                <w:webHidden/>
              </w:rPr>
              <w:fldChar w:fldCharType="begin"/>
            </w:r>
            <w:r w:rsidR="007C2730">
              <w:rPr>
                <w:noProof/>
                <w:webHidden/>
              </w:rPr>
              <w:instrText xml:space="preserve"> PAGEREF _Toc192777251 \h </w:instrText>
            </w:r>
            <w:r w:rsidR="007C2730">
              <w:rPr>
                <w:noProof/>
                <w:webHidden/>
              </w:rPr>
            </w:r>
            <w:r w:rsidR="007C2730">
              <w:rPr>
                <w:noProof/>
                <w:webHidden/>
              </w:rPr>
              <w:fldChar w:fldCharType="separate"/>
            </w:r>
            <w:r w:rsidR="00EE76A5">
              <w:rPr>
                <w:noProof/>
                <w:webHidden/>
              </w:rPr>
              <w:t>59</w:t>
            </w:r>
            <w:r w:rsidR="007C2730">
              <w:rPr>
                <w:noProof/>
                <w:webHidden/>
              </w:rPr>
              <w:fldChar w:fldCharType="end"/>
            </w:r>
          </w:hyperlink>
        </w:p>
        <w:p w14:paraId="1950AF91" w14:textId="4EB68049" w:rsidR="007C2730" w:rsidRDefault="00000000">
          <w:pPr>
            <w:pStyle w:val="TOC3"/>
            <w:tabs>
              <w:tab w:val="left" w:pos="1320"/>
              <w:tab w:val="right" w:leader="dot" w:pos="9016"/>
            </w:tabs>
            <w:rPr>
              <w:rFonts w:eastAsiaTheme="minorEastAsia"/>
              <w:i w:val="0"/>
              <w:iCs w:val="0"/>
              <w:noProof/>
              <w:kern w:val="2"/>
              <w:sz w:val="24"/>
              <w:szCs w:val="24"/>
              <w:lang w:eastAsia="en-AU"/>
              <w14:ligatures w14:val="standardContextual"/>
            </w:rPr>
          </w:pPr>
          <w:hyperlink w:anchor="_Toc192777252" w:history="1">
            <w:r w:rsidR="007C2730" w:rsidRPr="00726DB7">
              <w:rPr>
                <w:rStyle w:val="Hyperlink"/>
                <w:noProof/>
              </w:rPr>
              <w:t>5.4.1.</w:t>
            </w:r>
            <w:r w:rsidR="007C2730">
              <w:rPr>
                <w:rFonts w:eastAsiaTheme="minorEastAsia"/>
                <w:i w:val="0"/>
                <w:iCs w:val="0"/>
                <w:noProof/>
                <w:kern w:val="2"/>
                <w:sz w:val="24"/>
                <w:szCs w:val="24"/>
                <w:lang w:eastAsia="en-AU"/>
                <w14:ligatures w14:val="standardContextual"/>
              </w:rPr>
              <w:tab/>
            </w:r>
            <w:r w:rsidR="007C2730" w:rsidRPr="00726DB7">
              <w:rPr>
                <w:rStyle w:val="Hyperlink"/>
                <w:noProof/>
              </w:rPr>
              <w:t>Zone scale</w:t>
            </w:r>
            <w:r w:rsidR="007C2730">
              <w:rPr>
                <w:noProof/>
                <w:webHidden/>
              </w:rPr>
              <w:tab/>
            </w:r>
            <w:r w:rsidR="007C2730">
              <w:rPr>
                <w:noProof/>
                <w:webHidden/>
              </w:rPr>
              <w:fldChar w:fldCharType="begin"/>
            </w:r>
            <w:r w:rsidR="007C2730">
              <w:rPr>
                <w:noProof/>
                <w:webHidden/>
              </w:rPr>
              <w:instrText xml:space="preserve"> PAGEREF _Toc192777252 \h </w:instrText>
            </w:r>
            <w:r w:rsidR="007C2730">
              <w:rPr>
                <w:noProof/>
                <w:webHidden/>
              </w:rPr>
            </w:r>
            <w:r w:rsidR="007C2730">
              <w:rPr>
                <w:noProof/>
                <w:webHidden/>
              </w:rPr>
              <w:fldChar w:fldCharType="separate"/>
            </w:r>
            <w:r w:rsidR="00EE76A5">
              <w:rPr>
                <w:noProof/>
                <w:webHidden/>
              </w:rPr>
              <w:t>59</w:t>
            </w:r>
            <w:r w:rsidR="007C2730">
              <w:rPr>
                <w:noProof/>
                <w:webHidden/>
              </w:rPr>
              <w:fldChar w:fldCharType="end"/>
            </w:r>
          </w:hyperlink>
        </w:p>
        <w:p w14:paraId="476C1515" w14:textId="07AA58E3" w:rsidR="007C2730" w:rsidRDefault="00000000">
          <w:pPr>
            <w:pStyle w:val="TOC3"/>
            <w:tabs>
              <w:tab w:val="left" w:pos="1320"/>
              <w:tab w:val="right" w:leader="dot" w:pos="9016"/>
            </w:tabs>
            <w:rPr>
              <w:rFonts w:eastAsiaTheme="minorEastAsia"/>
              <w:i w:val="0"/>
              <w:iCs w:val="0"/>
              <w:noProof/>
              <w:kern w:val="2"/>
              <w:sz w:val="24"/>
              <w:szCs w:val="24"/>
              <w:lang w:eastAsia="en-AU"/>
              <w14:ligatures w14:val="standardContextual"/>
            </w:rPr>
          </w:pPr>
          <w:hyperlink w:anchor="_Toc192777253" w:history="1">
            <w:r w:rsidR="007C2730" w:rsidRPr="00726DB7">
              <w:rPr>
                <w:rStyle w:val="Hyperlink"/>
                <w:noProof/>
              </w:rPr>
              <w:t>5.4.2.</w:t>
            </w:r>
            <w:r w:rsidR="007C2730">
              <w:rPr>
                <w:rFonts w:eastAsiaTheme="minorEastAsia"/>
                <w:i w:val="0"/>
                <w:iCs w:val="0"/>
                <w:noProof/>
                <w:kern w:val="2"/>
                <w:sz w:val="24"/>
                <w:szCs w:val="24"/>
                <w:lang w:eastAsia="en-AU"/>
                <w14:ligatures w14:val="standardContextual"/>
              </w:rPr>
              <w:tab/>
            </w:r>
            <w:r w:rsidR="007C2730" w:rsidRPr="00726DB7">
              <w:rPr>
                <w:rStyle w:val="Hyperlink"/>
                <w:noProof/>
              </w:rPr>
              <w:t>SMU scale</w:t>
            </w:r>
            <w:r w:rsidR="007C2730">
              <w:rPr>
                <w:noProof/>
                <w:webHidden/>
              </w:rPr>
              <w:tab/>
            </w:r>
            <w:r w:rsidR="007C2730">
              <w:rPr>
                <w:noProof/>
                <w:webHidden/>
              </w:rPr>
              <w:fldChar w:fldCharType="begin"/>
            </w:r>
            <w:r w:rsidR="007C2730">
              <w:rPr>
                <w:noProof/>
                <w:webHidden/>
              </w:rPr>
              <w:instrText xml:space="preserve"> PAGEREF _Toc192777253 \h </w:instrText>
            </w:r>
            <w:r w:rsidR="007C2730">
              <w:rPr>
                <w:noProof/>
                <w:webHidden/>
              </w:rPr>
            </w:r>
            <w:r w:rsidR="007C2730">
              <w:rPr>
                <w:noProof/>
                <w:webHidden/>
              </w:rPr>
              <w:fldChar w:fldCharType="separate"/>
            </w:r>
            <w:r w:rsidR="00EE76A5">
              <w:rPr>
                <w:noProof/>
                <w:webHidden/>
              </w:rPr>
              <w:t>60</w:t>
            </w:r>
            <w:r w:rsidR="007C2730">
              <w:rPr>
                <w:noProof/>
                <w:webHidden/>
              </w:rPr>
              <w:fldChar w:fldCharType="end"/>
            </w:r>
          </w:hyperlink>
        </w:p>
        <w:p w14:paraId="1871A471" w14:textId="5986482C" w:rsidR="007C2730" w:rsidRDefault="00000000">
          <w:pPr>
            <w:pStyle w:val="TOC2"/>
            <w:tabs>
              <w:tab w:val="left" w:pos="1100"/>
              <w:tab w:val="right" w:leader="dot" w:pos="9016"/>
            </w:tabs>
            <w:rPr>
              <w:rFonts w:eastAsiaTheme="minorEastAsia"/>
              <w:smallCaps w:val="0"/>
              <w:noProof/>
              <w:kern w:val="2"/>
              <w:sz w:val="24"/>
              <w:szCs w:val="24"/>
              <w:lang w:eastAsia="en-AU"/>
              <w14:ligatures w14:val="standardContextual"/>
            </w:rPr>
          </w:pPr>
          <w:hyperlink w:anchor="_Toc192777254" w:history="1">
            <w:r w:rsidR="007C2730" w:rsidRPr="00726DB7">
              <w:rPr>
                <w:rStyle w:val="Hyperlink"/>
                <w:noProof/>
              </w:rPr>
              <w:t>5.5.</w:t>
            </w:r>
            <w:r w:rsidR="007C2730">
              <w:rPr>
                <w:rFonts w:eastAsiaTheme="minorEastAsia"/>
                <w:smallCaps w:val="0"/>
                <w:noProof/>
                <w:kern w:val="2"/>
                <w:sz w:val="24"/>
                <w:szCs w:val="24"/>
                <w:lang w:eastAsia="en-AU"/>
                <w14:ligatures w14:val="standardContextual"/>
              </w:rPr>
              <w:tab/>
            </w:r>
            <w:r w:rsidR="007C2730" w:rsidRPr="00726DB7">
              <w:rPr>
                <w:rStyle w:val="Hyperlink"/>
                <w:noProof/>
              </w:rPr>
              <w:t>Future Monitoring and Research</w:t>
            </w:r>
            <w:r w:rsidR="007C2730">
              <w:rPr>
                <w:noProof/>
                <w:webHidden/>
              </w:rPr>
              <w:tab/>
            </w:r>
            <w:r w:rsidR="007C2730">
              <w:rPr>
                <w:noProof/>
                <w:webHidden/>
              </w:rPr>
              <w:fldChar w:fldCharType="begin"/>
            </w:r>
            <w:r w:rsidR="007C2730">
              <w:rPr>
                <w:noProof/>
                <w:webHidden/>
              </w:rPr>
              <w:instrText xml:space="preserve"> PAGEREF _Toc192777254 \h </w:instrText>
            </w:r>
            <w:r w:rsidR="007C2730">
              <w:rPr>
                <w:noProof/>
                <w:webHidden/>
              </w:rPr>
            </w:r>
            <w:r w:rsidR="007C2730">
              <w:rPr>
                <w:noProof/>
                <w:webHidden/>
              </w:rPr>
              <w:fldChar w:fldCharType="separate"/>
            </w:r>
            <w:r w:rsidR="00EE76A5">
              <w:rPr>
                <w:noProof/>
                <w:webHidden/>
              </w:rPr>
              <w:t>61</w:t>
            </w:r>
            <w:r w:rsidR="007C2730">
              <w:rPr>
                <w:noProof/>
                <w:webHidden/>
              </w:rPr>
              <w:fldChar w:fldCharType="end"/>
            </w:r>
          </w:hyperlink>
        </w:p>
        <w:p w14:paraId="5ABE4669" w14:textId="793189FA" w:rsidR="007C2730" w:rsidRDefault="00000000">
          <w:pPr>
            <w:pStyle w:val="TOC1"/>
            <w:tabs>
              <w:tab w:val="left" w:pos="440"/>
              <w:tab w:val="right" w:leader="dot" w:pos="9016"/>
            </w:tabs>
            <w:rPr>
              <w:rFonts w:eastAsiaTheme="minorEastAsia"/>
              <w:b w:val="0"/>
              <w:bCs w:val="0"/>
              <w:caps w:val="0"/>
              <w:noProof/>
              <w:kern w:val="2"/>
              <w:sz w:val="24"/>
              <w:szCs w:val="24"/>
              <w:lang w:eastAsia="en-AU"/>
              <w14:ligatures w14:val="standardContextual"/>
            </w:rPr>
          </w:pPr>
          <w:hyperlink w:anchor="_Toc192777255" w:history="1">
            <w:r w:rsidR="007C2730" w:rsidRPr="00726DB7">
              <w:rPr>
                <w:rStyle w:val="Hyperlink"/>
                <w:noProof/>
              </w:rPr>
              <w:t>6.</w:t>
            </w:r>
            <w:r w:rsidR="007C2730">
              <w:rPr>
                <w:rFonts w:eastAsiaTheme="minorEastAsia"/>
                <w:b w:val="0"/>
                <w:bCs w:val="0"/>
                <w:caps w:val="0"/>
                <w:noProof/>
                <w:kern w:val="2"/>
                <w:sz w:val="24"/>
                <w:szCs w:val="24"/>
                <w:lang w:eastAsia="en-AU"/>
                <w14:ligatures w14:val="standardContextual"/>
              </w:rPr>
              <w:tab/>
            </w:r>
            <w:r w:rsidR="007C2730" w:rsidRPr="00726DB7">
              <w:rPr>
                <w:rStyle w:val="Hyperlink"/>
                <w:noProof/>
              </w:rPr>
              <w:t>References</w:t>
            </w:r>
            <w:r w:rsidR="007C2730">
              <w:rPr>
                <w:noProof/>
                <w:webHidden/>
              </w:rPr>
              <w:tab/>
            </w:r>
            <w:r w:rsidR="007C2730">
              <w:rPr>
                <w:noProof/>
                <w:webHidden/>
              </w:rPr>
              <w:fldChar w:fldCharType="begin"/>
            </w:r>
            <w:r w:rsidR="007C2730">
              <w:rPr>
                <w:noProof/>
                <w:webHidden/>
              </w:rPr>
              <w:instrText xml:space="preserve"> PAGEREF _Toc192777255 \h </w:instrText>
            </w:r>
            <w:r w:rsidR="007C2730">
              <w:rPr>
                <w:noProof/>
                <w:webHidden/>
              </w:rPr>
            </w:r>
            <w:r w:rsidR="007C2730">
              <w:rPr>
                <w:noProof/>
                <w:webHidden/>
              </w:rPr>
              <w:fldChar w:fldCharType="separate"/>
            </w:r>
            <w:r w:rsidR="00EE76A5">
              <w:rPr>
                <w:noProof/>
                <w:webHidden/>
              </w:rPr>
              <w:t>62</w:t>
            </w:r>
            <w:r w:rsidR="007C2730">
              <w:rPr>
                <w:noProof/>
                <w:webHidden/>
              </w:rPr>
              <w:fldChar w:fldCharType="end"/>
            </w:r>
          </w:hyperlink>
        </w:p>
        <w:p w14:paraId="50A00F4C" w14:textId="6A41CD7F" w:rsidR="007C2730" w:rsidRDefault="00000000">
          <w:pPr>
            <w:pStyle w:val="TOC1"/>
            <w:tabs>
              <w:tab w:val="left" w:pos="440"/>
              <w:tab w:val="right" w:leader="dot" w:pos="9016"/>
            </w:tabs>
            <w:rPr>
              <w:rFonts w:eastAsiaTheme="minorEastAsia"/>
              <w:b w:val="0"/>
              <w:bCs w:val="0"/>
              <w:caps w:val="0"/>
              <w:noProof/>
              <w:kern w:val="2"/>
              <w:sz w:val="24"/>
              <w:szCs w:val="24"/>
              <w:lang w:eastAsia="en-AU"/>
              <w14:ligatures w14:val="standardContextual"/>
            </w:rPr>
          </w:pPr>
          <w:hyperlink w:anchor="_Toc192777256" w:history="1">
            <w:r w:rsidR="007C2730" w:rsidRPr="00726DB7">
              <w:rPr>
                <w:rStyle w:val="Hyperlink"/>
                <w:noProof/>
              </w:rPr>
              <w:t>7.</w:t>
            </w:r>
            <w:r w:rsidR="007C2730">
              <w:rPr>
                <w:rFonts w:eastAsiaTheme="minorEastAsia"/>
                <w:b w:val="0"/>
                <w:bCs w:val="0"/>
                <w:caps w:val="0"/>
                <w:noProof/>
                <w:kern w:val="2"/>
                <w:sz w:val="24"/>
                <w:szCs w:val="24"/>
                <w:lang w:eastAsia="en-AU"/>
                <w14:ligatures w14:val="standardContextual"/>
              </w:rPr>
              <w:tab/>
            </w:r>
            <w:r w:rsidR="007C2730" w:rsidRPr="00726DB7">
              <w:rPr>
                <w:rStyle w:val="Hyperlink"/>
                <w:noProof/>
              </w:rPr>
              <w:t>Appendices</w:t>
            </w:r>
            <w:r w:rsidR="007C2730">
              <w:rPr>
                <w:noProof/>
                <w:webHidden/>
              </w:rPr>
              <w:tab/>
            </w:r>
            <w:r w:rsidR="007C2730">
              <w:rPr>
                <w:noProof/>
                <w:webHidden/>
              </w:rPr>
              <w:fldChar w:fldCharType="begin"/>
            </w:r>
            <w:r w:rsidR="007C2730">
              <w:rPr>
                <w:noProof/>
                <w:webHidden/>
              </w:rPr>
              <w:instrText xml:space="preserve"> PAGEREF _Toc192777256 \h </w:instrText>
            </w:r>
            <w:r w:rsidR="007C2730">
              <w:rPr>
                <w:noProof/>
                <w:webHidden/>
              </w:rPr>
            </w:r>
            <w:r w:rsidR="007C2730">
              <w:rPr>
                <w:noProof/>
                <w:webHidden/>
              </w:rPr>
              <w:fldChar w:fldCharType="separate"/>
            </w:r>
            <w:r w:rsidR="00EE76A5">
              <w:rPr>
                <w:noProof/>
                <w:webHidden/>
              </w:rPr>
              <w:t>64</w:t>
            </w:r>
            <w:r w:rsidR="007C2730">
              <w:rPr>
                <w:noProof/>
                <w:webHidden/>
              </w:rPr>
              <w:fldChar w:fldCharType="end"/>
            </w:r>
          </w:hyperlink>
        </w:p>
        <w:p w14:paraId="2777B8B1" w14:textId="26E2327A" w:rsidR="007C2730" w:rsidRDefault="00000000">
          <w:pPr>
            <w:pStyle w:val="TOC2"/>
            <w:tabs>
              <w:tab w:val="left" w:pos="1100"/>
              <w:tab w:val="right" w:leader="dot" w:pos="9016"/>
            </w:tabs>
            <w:rPr>
              <w:rFonts w:eastAsiaTheme="minorEastAsia"/>
              <w:smallCaps w:val="0"/>
              <w:noProof/>
              <w:kern w:val="2"/>
              <w:sz w:val="24"/>
              <w:szCs w:val="24"/>
              <w:lang w:eastAsia="en-AU"/>
              <w14:ligatures w14:val="standardContextual"/>
            </w:rPr>
          </w:pPr>
          <w:hyperlink w:anchor="_Toc192777259" w:history="1">
            <w:r w:rsidR="007C2730" w:rsidRPr="00726DB7">
              <w:rPr>
                <w:rStyle w:val="Hyperlink"/>
                <w:noProof/>
              </w:rPr>
              <w:t>7.1.</w:t>
            </w:r>
            <w:r w:rsidR="007C2730">
              <w:rPr>
                <w:rFonts w:eastAsiaTheme="minorEastAsia"/>
                <w:smallCaps w:val="0"/>
                <w:noProof/>
                <w:kern w:val="2"/>
                <w:sz w:val="24"/>
                <w:szCs w:val="24"/>
                <w:lang w:eastAsia="en-AU"/>
                <w14:ligatures w14:val="standardContextual"/>
              </w:rPr>
              <w:tab/>
            </w:r>
            <w:r w:rsidR="007C2730" w:rsidRPr="00726DB7">
              <w:rPr>
                <w:rStyle w:val="Hyperlink"/>
                <w:noProof/>
              </w:rPr>
              <w:t>Appendix 1: FIS length frequency data for (a) all sites and (b) Top 15 sites at each SMU where FIS were conducted historically.</w:t>
            </w:r>
            <w:r w:rsidR="007C2730">
              <w:rPr>
                <w:noProof/>
                <w:webHidden/>
              </w:rPr>
              <w:tab/>
            </w:r>
            <w:r w:rsidR="007C2730">
              <w:rPr>
                <w:noProof/>
                <w:webHidden/>
              </w:rPr>
              <w:fldChar w:fldCharType="begin"/>
            </w:r>
            <w:r w:rsidR="007C2730">
              <w:rPr>
                <w:noProof/>
                <w:webHidden/>
              </w:rPr>
              <w:instrText xml:space="preserve"> PAGEREF _Toc192777259 \h </w:instrText>
            </w:r>
            <w:r w:rsidR="007C2730">
              <w:rPr>
                <w:noProof/>
                <w:webHidden/>
              </w:rPr>
            </w:r>
            <w:r w:rsidR="007C2730">
              <w:rPr>
                <w:noProof/>
                <w:webHidden/>
              </w:rPr>
              <w:fldChar w:fldCharType="separate"/>
            </w:r>
            <w:r w:rsidR="00EE76A5">
              <w:rPr>
                <w:noProof/>
                <w:webHidden/>
              </w:rPr>
              <w:t>64</w:t>
            </w:r>
            <w:r w:rsidR="007C2730">
              <w:rPr>
                <w:noProof/>
                <w:webHidden/>
              </w:rPr>
              <w:fldChar w:fldCharType="end"/>
            </w:r>
          </w:hyperlink>
        </w:p>
        <w:p w14:paraId="36F52F39" w14:textId="6514BF0D" w:rsidR="007C2730" w:rsidRDefault="00000000">
          <w:pPr>
            <w:pStyle w:val="TOC2"/>
            <w:tabs>
              <w:tab w:val="left" w:pos="1100"/>
              <w:tab w:val="right" w:leader="dot" w:pos="9016"/>
            </w:tabs>
            <w:rPr>
              <w:rFonts w:eastAsiaTheme="minorEastAsia"/>
              <w:smallCaps w:val="0"/>
              <w:noProof/>
              <w:kern w:val="2"/>
              <w:sz w:val="24"/>
              <w:szCs w:val="24"/>
              <w:lang w:eastAsia="en-AU"/>
              <w14:ligatures w14:val="standardContextual"/>
            </w:rPr>
          </w:pPr>
          <w:hyperlink w:anchor="_Toc192777260" w:history="1">
            <w:r w:rsidR="007C2730" w:rsidRPr="00726DB7">
              <w:rPr>
                <w:rStyle w:val="Hyperlink"/>
                <w:noProof/>
              </w:rPr>
              <w:t>7.2.</w:t>
            </w:r>
            <w:r w:rsidR="007C2730">
              <w:rPr>
                <w:rFonts w:eastAsiaTheme="minorEastAsia"/>
                <w:smallCaps w:val="0"/>
                <w:noProof/>
                <w:kern w:val="2"/>
                <w:sz w:val="24"/>
                <w:szCs w:val="24"/>
                <w:lang w:eastAsia="en-AU"/>
                <w14:ligatures w14:val="standardContextual"/>
              </w:rPr>
              <w:tab/>
            </w:r>
            <w:r w:rsidR="007C2730" w:rsidRPr="00726DB7">
              <w:rPr>
                <w:rStyle w:val="Hyperlink"/>
                <w:noProof/>
              </w:rPr>
              <w:t>Appendix 2: Comparison of size structure data gathered in FIS since 2003.</w:t>
            </w:r>
            <w:r w:rsidR="007C2730">
              <w:rPr>
                <w:noProof/>
                <w:webHidden/>
              </w:rPr>
              <w:tab/>
            </w:r>
            <w:r w:rsidR="007C2730">
              <w:rPr>
                <w:noProof/>
                <w:webHidden/>
              </w:rPr>
              <w:fldChar w:fldCharType="begin"/>
            </w:r>
            <w:r w:rsidR="007C2730">
              <w:rPr>
                <w:noProof/>
                <w:webHidden/>
              </w:rPr>
              <w:instrText xml:space="preserve"> PAGEREF _Toc192777260 \h </w:instrText>
            </w:r>
            <w:r w:rsidR="007C2730">
              <w:rPr>
                <w:noProof/>
                <w:webHidden/>
              </w:rPr>
            </w:r>
            <w:r w:rsidR="007C2730">
              <w:rPr>
                <w:noProof/>
                <w:webHidden/>
              </w:rPr>
              <w:fldChar w:fldCharType="separate"/>
            </w:r>
            <w:r w:rsidR="00EE76A5">
              <w:rPr>
                <w:noProof/>
                <w:webHidden/>
              </w:rPr>
              <w:t>71</w:t>
            </w:r>
            <w:r w:rsidR="007C2730">
              <w:rPr>
                <w:noProof/>
                <w:webHidden/>
              </w:rPr>
              <w:fldChar w:fldCharType="end"/>
            </w:r>
          </w:hyperlink>
        </w:p>
        <w:p w14:paraId="77217E23" w14:textId="5680FAA6" w:rsidR="007C2730" w:rsidRDefault="00000000">
          <w:pPr>
            <w:pStyle w:val="TOC2"/>
            <w:tabs>
              <w:tab w:val="left" w:pos="1100"/>
              <w:tab w:val="right" w:leader="dot" w:pos="9016"/>
            </w:tabs>
            <w:rPr>
              <w:rFonts w:eastAsiaTheme="minorEastAsia"/>
              <w:smallCaps w:val="0"/>
              <w:noProof/>
              <w:kern w:val="2"/>
              <w:sz w:val="24"/>
              <w:szCs w:val="24"/>
              <w:lang w:eastAsia="en-AU"/>
              <w14:ligatures w14:val="standardContextual"/>
            </w:rPr>
          </w:pPr>
          <w:hyperlink w:anchor="_Toc192777261" w:history="1">
            <w:r w:rsidR="007C2730" w:rsidRPr="00726DB7">
              <w:rPr>
                <w:rStyle w:val="Hyperlink"/>
                <w:noProof/>
              </w:rPr>
              <w:t>7.3.</w:t>
            </w:r>
            <w:r w:rsidR="007C2730">
              <w:rPr>
                <w:rFonts w:eastAsiaTheme="minorEastAsia"/>
                <w:smallCaps w:val="0"/>
                <w:noProof/>
                <w:kern w:val="2"/>
                <w:sz w:val="24"/>
                <w:szCs w:val="24"/>
                <w:lang w:eastAsia="en-AU"/>
                <w14:ligatures w14:val="standardContextual"/>
              </w:rPr>
              <w:tab/>
            </w:r>
            <w:r w:rsidR="007C2730" w:rsidRPr="00726DB7">
              <w:rPr>
                <w:rStyle w:val="Hyperlink"/>
                <w:noProof/>
              </w:rPr>
              <w:t>Appendix 3: Summary of abalone length measuring in CZ updated to December 2024.</w:t>
            </w:r>
            <w:r w:rsidR="007C2730">
              <w:rPr>
                <w:noProof/>
                <w:webHidden/>
              </w:rPr>
              <w:tab/>
            </w:r>
            <w:r w:rsidR="007C2730">
              <w:rPr>
                <w:noProof/>
                <w:webHidden/>
              </w:rPr>
              <w:fldChar w:fldCharType="begin"/>
            </w:r>
            <w:r w:rsidR="007C2730">
              <w:rPr>
                <w:noProof/>
                <w:webHidden/>
              </w:rPr>
              <w:instrText xml:space="preserve"> PAGEREF _Toc192777261 \h </w:instrText>
            </w:r>
            <w:r w:rsidR="007C2730">
              <w:rPr>
                <w:noProof/>
                <w:webHidden/>
              </w:rPr>
            </w:r>
            <w:r w:rsidR="007C2730">
              <w:rPr>
                <w:noProof/>
                <w:webHidden/>
              </w:rPr>
              <w:fldChar w:fldCharType="separate"/>
            </w:r>
            <w:r w:rsidR="00EE76A5">
              <w:rPr>
                <w:noProof/>
                <w:webHidden/>
              </w:rPr>
              <w:t>73</w:t>
            </w:r>
            <w:r w:rsidR="007C2730">
              <w:rPr>
                <w:noProof/>
                <w:webHidden/>
              </w:rPr>
              <w:fldChar w:fldCharType="end"/>
            </w:r>
          </w:hyperlink>
        </w:p>
        <w:p w14:paraId="5AF0FC26" w14:textId="3C6FAB26" w:rsidR="007C2730" w:rsidRDefault="00000000">
          <w:pPr>
            <w:pStyle w:val="TOC2"/>
            <w:tabs>
              <w:tab w:val="left" w:pos="1100"/>
              <w:tab w:val="right" w:leader="dot" w:pos="9016"/>
            </w:tabs>
            <w:rPr>
              <w:rFonts w:eastAsiaTheme="minorEastAsia"/>
              <w:smallCaps w:val="0"/>
              <w:noProof/>
              <w:kern w:val="2"/>
              <w:sz w:val="24"/>
              <w:szCs w:val="24"/>
              <w:lang w:eastAsia="en-AU"/>
              <w14:ligatures w14:val="standardContextual"/>
            </w:rPr>
          </w:pPr>
          <w:hyperlink w:anchor="_Toc192777266" w:history="1">
            <w:r w:rsidR="007C2730" w:rsidRPr="00726DB7">
              <w:rPr>
                <w:rStyle w:val="Hyperlink"/>
                <w:noProof/>
              </w:rPr>
              <w:t>7.4.</w:t>
            </w:r>
            <w:r w:rsidR="007C2730">
              <w:rPr>
                <w:rFonts w:eastAsiaTheme="minorEastAsia"/>
                <w:smallCaps w:val="0"/>
                <w:noProof/>
                <w:kern w:val="2"/>
                <w:sz w:val="24"/>
                <w:szCs w:val="24"/>
                <w:lang w:eastAsia="en-AU"/>
                <w14:ligatures w14:val="standardContextual"/>
              </w:rPr>
              <w:tab/>
            </w:r>
            <w:r w:rsidR="007C2730" w:rsidRPr="00726DB7">
              <w:rPr>
                <w:rStyle w:val="Hyperlink"/>
                <w:noProof/>
              </w:rPr>
              <w:t>Appendix 4: Summary of LML changes</w:t>
            </w:r>
            <w:r w:rsidR="007C2730">
              <w:rPr>
                <w:noProof/>
                <w:webHidden/>
              </w:rPr>
              <w:tab/>
            </w:r>
            <w:r w:rsidR="007C2730">
              <w:rPr>
                <w:noProof/>
                <w:webHidden/>
              </w:rPr>
              <w:fldChar w:fldCharType="begin"/>
            </w:r>
            <w:r w:rsidR="007C2730">
              <w:rPr>
                <w:noProof/>
                <w:webHidden/>
              </w:rPr>
              <w:instrText xml:space="preserve"> PAGEREF _Toc192777266 \h </w:instrText>
            </w:r>
            <w:r w:rsidR="007C2730">
              <w:rPr>
                <w:noProof/>
                <w:webHidden/>
              </w:rPr>
            </w:r>
            <w:r w:rsidR="007C2730">
              <w:rPr>
                <w:noProof/>
                <w:webHidden/>
              </w:rPr>
              <w:fldChar w:fldCharType="separate"/>
            </w:r>
            <w:r w:rsidR="00EE76A5">
              <w:rPr>
                <w:noProof/>
                <w:webHidden/>
              </w:rPr>
              <w:t>86</w:t>
            </w:r>
            <w:r w:rsidR="007C2730">
              <w:rPr>
                <w:noProof/>
                <w:webHidden/>
              </w:rPr>
              <w:fldChar w:fldCharType="end"/>
            </w:r>
          </w:hyperlink>
        </w:p>
        <w:p w14:paraId="7C440728" w14:textId="6A062C52" w:rsidR="00FB0A3F" w:rsidRDefault="00000000">
          <w:r>
            <w:rPr>
              <w:b/>
              <w:bCs/>
            </w:rPr>
            <w:fldChar w:fldCharType="end"/>
          </w:r>
        </w:p>
      </w:sdtContent>
    </w:sdt>
    <w:p w14:paraId="58D37188" w14:textId="77777777" w:rsidR="00FB0A3F" w:rsidRDefault="00000000">
      <w:pPr>
        <w:pStyle w:val="Heading5"/>
      </w:pPr>
      <w:bookmarkStart w:id="1" w:name="executive-summary"/>
      <w:bookmarkStart w:id="2" w:name="_Hlk63771154"/>
      <w:r>
        <w:t>List of Figures</w:t>
      </w:r>
    </w:p>
    <w:p w14:paraId="67D40D80" w14:textId="4AEDBB95" w:rsidR="007C2730" w:rsidRDefault="00000000">
      <w:pPr>
        <w:pStyle w:val="TableofFigures"/>
        <w:tabs>
          <w:tab w:val="right" w:leader="dot" w:pos="9016"/>
        </w:tabs>
        <w:rPr>
          <w:rFonts w:eastAsiaTheme="minorEastAsia"/>
          <w:smallCaps w:val="0"/>
          <w:noProof/>
          <w:kern w:val="2"/>
          <w:sz w:val="24"/>
          <w:szCs w:val="24"/>
          <w:lang w:eastAsia="en-AU"/>
          <w14:ligatures w14:val="standardContextual"/>
        </w:rPr>
      </w:pPr>
      <w:r>
        <w:rPr>
          <w:lang w:val="en-US"/>
        </w:rPr>
        <w:fldChar w:fldCharType="begin"/>
      </w:r>
      <w:r>
        <w:rPr>
          <w:lang w:val="en-US"/>
        </w:rPr>
        <w:instrText xml:space="preserve"> TOC \h \z \t "Caption" \c </w:instrText>
      </w:r>
      <w:r>
        <w:rPr>
          <w:lang w:val="en-US"/>
        </w:rPr>
        <w:fldChar w:fldCharType="separate"/>
      </w:r>
      <w:hyperlink w:anchor="_Toc192777267" w:history="1">
        <w:r w:rsidR="007C2730" w:rsidRPr="00816D1E">
          <w:rPr>
            <w:rStyle w:val="Hyperlink"/>
            <w:noProof/>
          </w:rPr>
          <w:t>Figure 1: Map of the Central Zone Abalone Fishery showing the Spatial Management Units and Marine Protected Areas.</w:t>
        </w:r>
        <w:r w:rsidR="007C2730">
          <w:rPr>
            <w:noProof/>
            <w:webHidden/>
          </w:rPr>
          <w:tab/>
        </w:r>
        <w:r w:rsidR="007C2730">
          <w:rPr>
            <w:noProof/>
            <w:webHidden/>
          </w:rPr>
          <w:fldChar w:fldCharType="begin"/>
        </w:r>
        <w:r w:rsidR="007C2730">
          <w:rPr>
            <w:noProof/>
            <w:webHidden/>
          </w:rPr>
          <w:instrText xml:space="preserve"> PAGEREF _Toc192777267 \h </w:instrText>
        </w:r>
        <w:r w:rsidR="007C2730">
          <w:rPr>
            <w:noProof/>
            <w:webHidden/>
          </w:rPr>
        </w:r>
        <w:r w:rsidR="007C2730">
          <w:rPr>
            <w:noProof/>
            <w:webHidden/>
          </w:rPr>
          <w:fldChar w:fldCharType="separate"/>
        </w:r>
        <w:r w:rsidR="00EE76A5">
          <w:rPr>
            <w:noProof/>
            <w:webHidden/>
          </w:rPr>
          <w:t>2</w:t>
        </w:r>
        <w:r w:rsidR="007C2730">
          <w:rPr>
            <w:noProof/>
            <w:webHidden/>
          </w:rPr>
          <w:fldChar w:fldCharType="end"/>
        </w:r>
      </w:hyperlink>
    </w:p>
    <w:p w14:paraId="4D16C682" w14:textId="0F01A961" w:rsidR="007C2730"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77268" w:history="1">
        <w:r w:rsidR="007C2730" w:rsidRPr="00816D1E">
          <w:rPr>
            <w:rStyle w:val="Hyperlink"/>
            <w:noProof/>
          </w:rPr>
          <w:t>Figure 2: Historic catch (t) and effort (minutes) from 1979 to 2023. Quota was introduced in 1988 with the quota year running from April to March. All data prior to 2020 are from April to March. In 2020, the quota year was changed to the financial year, resulting in the 2020 quota year being 15 months in duration.</w:t>
        </w:r>
        <w:r w:rsidR="007C2730">
          <w:rPr>
            <w:noProof/>
            <w:webHidden/>
          </w:rPr>
          <w:tab/>
        </w:r>
        <w:r w:rsidR="007C2730">
          <w:rPr>
            <w:noProof/>
            <w:webHidden/>
          </w:rPr>
          <w:fldChar w:fldCharType="begin"/>
        </w:r>
        <w:r w:rsidR="007C2730">
          <w:rPr>
            <w:noProof/>
            <w:webHidden/>
          </w:rPr>
          <w:instrText xml:space="preserve"> PAGEREF _Toc192777268 \h </w:instrText>
        </w:r>
        <w:r w:rsidR="007C2730">
          <w:rPr>
            <w:noProof/>
            <w:webHidden/>
          </w:rPr>
        </w:r>
        <w:r w:rsidR="007C2730">
          <w:rPr>
            <w:noProof/>
            <w:webHidden/>
          </w:rPr>
          <w:fldChar w:fldCharType="separate"/>
        </w:r>
        <w:r w:rsidR="00EE76A5">
          <w:rPr>
            <w:noProof/>
            <w:webHidden/>
          </w:rPr>
          <w:t>10</w:t>
        </w:r>
        <w:r w:rsidR="007C2730">
          <w:rPr>
            <w:noProof/>
            <w:webHidden/>
          </w:rPr>
          <w:fldChar w:fldCharType="end"/>
        </w:r>
      </w:hyperlink>
    </w:p>
    <w:p w14:paraId="7DCA4F5A" w14:textId="168F2C19" w:rsidR="007C2730"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77269" w:history="1">
        <w:r w:rsidR="007C2730" w:rsidRPr="00816D1E">
          <w:rPr>
            <w:rStyle w:val="Hyperlink"/>
            <w:noProof/>
          </w:rPr>
          <w:t>Figure 3: Catch (t) and mean daily catch (kg per fishing day) from 2003 to 2023. Grey line nominal annual mean (+/-SE). Solid black line standardised annual mean. Dashed black line standardised quarterly mean. All data prior to 2020 are from April to March. In 2020, the quota year was changed to the financial year, resulting in the 2020 quota year being 15 months in duration.</w:t>
        </w:r>
        <w:r w:rsidR="007C2730">
          <w:rPr>
            <w:noProof/>
            <w:webHidden/>
          </w:rPr>
          <w:tab/>
        </w:r>
        <w:r w:rsidR="007C2730">
          <w:rPr>
            <w:noProof/>
            <w:webHidden/>
          </w:rPr>
          <w:fldChar w:fldCharType="begin"/>
        </w:r>
        <w:r w:rsidR="007C2730">
          <w:rPr>
            <w:noProof/>
            <w:webHidden/>
          </w:rPr>
          <w:instrText xml:space="preserve"> PAGEREF _Toc192777269 \h </w:instrText>
        </w:r>
        <w:r w:rsidR="007C2730">
          <w:rPr>
            <w:noProof/>
            <w:webHidden/>
          </w:rPr>
        </w:r>
        <w:r w:rsidR="007C2730">
          <w:rPr>
            <w:noProof/>
            <w:webHidden/>
          </w:rPr>
          <w:fldChar w:fldCharType="separate"/>
        </w:r>
        <w:r w:rsidR="00EE76A5">
          <w:rPr>
            <w:noProof/>
            <w:webHidden/>
          </w:rPr>
          <w:t>11</w:t>
        </w:r>
        <w:r w:rsidR="007C2730">
          <w:rPr>
            <w:noProof/>
            <w:webHidden/>
          </w:rPr>
          <w:fldChar w:fldCharType="end"/>
        </w:r>
      </w:hyperlink>
    </w:p>
    <w:p w14:paraId="55531FA3" w14:textId="1F46519D" w:rsidR="007C2730"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77270" w:history="1">
        <w:r w:rsidR="007C2730" w:rsidRPr="00816D1E">
          <w:rPr>
            <w:rStyle w:val="Hyperlink"/>
            <w:noProof/>
          </w:rPr>
          <w:t>Figure 4: Central Zone catch and CPUE (nominal and standardised) from 1992/1993 – 2023/24. Catch = bars. Grey line nominal annual mean (+/-SE). Solid black line standardised annual mean. Dashed black line standardised quarterly mean. MPs = introduction of Marine Parks. Quota was introduced in 1988 with the quota year running from April to March. All data prior to 2020 are from April to March. In 2020, the quota year was changed to the financial year, resulting in the 2020 quota year being 15 months in duration.</w:t>
        </w:r>
        <w:r w:rsidR="007C2730">
          <w:rPr>
            <w:noProof/>
            <w:webHidden/>
          </w:rPr>
          <w:tab/>
        </w:r>
        <w:r w:rsidR="007C2730">
          <w:rPr>
            <w:noProof/>
            <w:webHidden/>
          </w:rPr>
          <w:fldChar w:fldCharType="begin"/>
        </w:r>
        <w:r w:rsidR="007C2730">
          <w:rPr>
            <w:noProof/>
            <w:webHidden/>
          </w:rPr>
          <w:instrText xml:space="preserve"> PAGEREF _Toc192777270 \h </w:instrText>
        </w:r>
        <w:r w:rsidR="007C2730">
          <w:rPr>
            <w:noProof/>
            <w:webHidden/>
          </w:rPr>
        </w:r>
        <w:r w:rsidR="007C2730">
          <w:rPr>
            <w:noProof/>
            <w:webHidden/>
          </w:rPr>
          <w:fldChar w:fldCharType="separate"/>
        </w:r>
        <w:r w:rsidR="00EE76A5">
          <w:rPr>
            <w:noProof/>
            <w:webHidden/>
          </w:rPr>
          <w:t>11</w:t>
        </w:r>
        <w:r w:rsidR="007C2730">
          <w:rPr>
            <w:noProof/>
            <w:webHidden/>
          </w:rPr>
          <w:fldChar w:fldCharType="end"/>
        </w:r>
      </w:hyperlink>
    </w:p>
    <w:p w14:paraId="70F19870" w14:textId="42B0D2AE" w:rsidR="007C2730"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77271" w:history="1">
        <w:r w:rsidR="007C2730" w:rsidRPr="00816D1E">
          <w:rPr>
            <w:rStyle w:val="Hyperlink"/>
            <w:noProof/>
          </w:rPr>
          <w:t>Figure 5: FIS recruit abundance (1992-2023) and catch (1992/93 – 2023/24) for the Central Zone. Catch = bars, grey dashed series = nominal abundance across all FIS sites (+/-SE). Black series = nominal (dotted line, open datapoint in 2023; +/- SE) and standardised (solid line, solid datapoint in 2023) abundance across the Top 15 sites only.</w:t>
        </w:r>
        <w:r w:rsidR="007C2730">
          <w:rPr>
            <w:noProof/>
            <w:webHidden/>
          </w:rPr>
          <w:tab/>
        </w:r>
        <w:r w:rsidR="007C2730">
          <w:rPr>
            <w:noProof/>
            <w:webHidden/>
          </w:rPr>
          <w:fldChar w:fldCharType="begin"/>
        </w:r>
        <w:r w:rsidR="007C2730">
          <w:rPr>
            <w:noProof/>
            <w:webHidden/>
          </w:rPr>
          <w:instrText xml:space="preserve"> PAGEREF _Toc192777271 \h </w:instrText>
        </w:r>
        <w:r w:rsidR="007C2730">
          <w:rPr>
            <w:noProof/>
            <w:webHidden/>
          </w:rPr>
        </w:r>
        <w:r w:rsidR="007C2730">
          <w:rPr>
            <w:noProof/>
            <w:webHidden/>
          </w:rPr>
          <w:fldChar w:fldCharType="separate"/>
        </w:r>
        <w:r w:rsidR="00EE76A5">
          <w:rPr>
            <w:noProof/>
            <w:webHidden/>
          </w:rPr>
          <w:t>12</w:t>
        </w:r>
        <w:r w:rsidR="007C2730">
          <w:rPr>
            <w:noProof/>
            <w:webHidden/>
          </w:rPr>
          <w:fldChar w:fldCharType="end"/>
        </w:r>
      </w:hyperlink>
    </w:p>
    <w:p w14:paraId="7F71F3EC" w14:textId="54066D7D" w:rsidR="007C2730"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77272" w:history="1">
        <w:r w:rsidR="007C2730" w:rsidRPr="00816D1E">
          <w:rPr>
            <w:rStyle w:val="Hyperlink"/>
            <w:noProof/>
          </w:rPr>
          <w:t>Figure 6: Pre-recruit abundance (1992-2023) and catch (1992/93 – 2023/24) for the Central Zone. Catch = bars, Grey dashed series = nominal abundance across all FIS sites (+/-SE). Black series = nominal (dotted line, open datapoint in 2023; +/- SE) and standardised (solid line, solid datapoint in 2023) abundance across the Top 15 sites only.</w:t>
        </w:r>
        <w:r w:rsidR="007C2730">
          <w:rPr>
            <w:noProof/>
            <w:webHidden/>
          </w:rPr>
          <w:tab/>
        </w:r>
        <w:r w:rsidR="007C2730">
          <w:rPr>
            <w:noProof/>
            <w:webHidden/>
          </w:rPr>
          <w:fldChar w:fldCharType="begin"/>
        </w:r>
        <w:r w:rsidR="007C2730">
          <w:rPr>
            <w:noProof/>
            <w:webHidden/>
          </w:rPr>
          <w:instrText xml:space="preserve"> PAGEREF _Toc192777272 \h </w:instrText>
        </w:r>
        <w:r w:rsidR="007C2730">
          <w:rPr>
            <w:noProof/>
            <w:webHidden/>
          </w:rPr>
        </w:r>
        <w:r w:rsidR="007C2730">
          <w:rPr>
            <w:noProof/>
            <w:webHidden/>
          </w:rPr>
          <w:fldChar w:fldCharType="separate"/>
        </w:r>
        <w:r w:rsidR="00EE76A5">
          <w:rPr>
            <w:noProof/>
            <w:webHidden/>
          </w:rPr>
          <w:t>13</w:t>
        </w:r>
        <w:r w:rsidR="007C2730">
          <w:rPr>
            <w:noProof/>
            <w:webHidden/>
          </w:rPr>
          <w:fldChar w:fldCharType="end"/>
        </w:r>
      </w:hyperlink>
    </w:p>
    <w:p w14:paraId="51A7B306" w14:textId="343450C1" w:rsidR="007C2730"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77273" w:history="1">
        <w:r w:rsidR="007C2730" w:rsidRPr="00816D1E">
          <w:rPr>
            <w:rStyle w:val="Hyperlink"/>
            <w:noProof/>
          </w:rPr>
          <w:t>Figure 7: Relative distribution of catch at each SMU in the Central Zone by quota year.</w:t>
        </w:r>
        <w:r w:rsidR="007C2730">
          <w:rPr>
            <w:noProof/>
            <w:webHidden/>
          </w:rPr>
          <w:tab/>
        </w:r>
        <w:r w:rsidR="007C2730">
          <w:rPr>
            <w:noProof/>
            <w:webHidden/>
          </w:rPr>
          <w:fldChar w:fldCharType="begin"/>
        </w:r>
        <w:r w:rsidR="007C2730">
          <w:rPr>
            <w:noProof/>
            <w:webHidden/>
          </w:rPr>
          <w:instrText xml:space="preserve"> PAGEREF _Toc192777273 \h </w:instrText>
        </w:r>
        <w:r w:rsidR="007C2730">
          <w:rPr>
            <w:noProof/>
            <w:webHidden/>
          </w:rPr>
        </w:r>
        <w:r w:rsidR="007C2730">
          <w:rPr>
            <w:noProof/>
            <w:webHidden/>
          </w:rPr>
          <w:fldChar w:fldCharType="separate"/>
        </w:r>
        <w:r w:rsidR="00EE76A5">
          <w:rPr>
            <w:noProof/>
            <w:webHidden/>
          </w:rPr>
          <w:t>15</w:t>
        </w:r>
        <w:r w:rsidR="007C2730">
          <w:rPr>
            <w:noProof/>
            <w:webHidden/>
          </w:rPr>
          <w:fldChar w:fldCharType="end"/>
        </w:r>
      </w:hyperlink>
    </w:p>
    <w:p w14:paraId="298BC49F" w14:textId="76AAFB3C" w:rsidR="007C2730"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77274" w:history="1">
        <w:r w:rsidR="007C2730" w:rsidRPr="00816D1E">
          <w:rPr>
            <w:rStyle w:val="Hyperlink"/>
            <w:noProof/>
          </w:rPr>
          <w:t>Figure 8: Cape Otway SMU catch, and CPUE (nominal and standardised) from 1992/1993 – 2023/24. Nominal annual = grey series (+/- SE), standardised annual = solid black, standardised quarterly = dashed black. Numbers indicate changes to LMLs. MPs = introduction of Marine Parks</w:t>
        </w:r>
        <w:r w:rsidR="007C2730">
          <w:rPr>
            <w:noProof/>
            <w:webHidden/>
          </w:rPr>
          <w:tab/>
        </w:r>
        <w:r w:rsidR="007C2730">
          <w:rPr>
            <w:noProof/>
            <w:webHidden/>
          </w:rPr>
          <w:fldChar w:fldCharType="begin"/>
        </w:r>
        <w:r w:rsidR="007C2730">
          <w:rPr>
            <w:noProof/>
            <w:webHidden/>
          </w:rPr>
          <w:instrText xml:space="preserve"> PAGEREF _Toc192777274 \h </w:instrText>
        </w:r>
        <w:r w:rsidR="007C2730">
          <w:rPr>
            <w:noProof/>
            <w:webHidden/>
          </w:rPr>
        </w:r>
        <w:r w:rsidR="007C2730">
          <w:rPr>
            <w:noProof/>
            <w:webHidden/>
          </w:rPr>
          <w:fldChar w:fldCharType="separate"/>
        </w:r>
        <w:r w:rsidR="00EE76A5">
          <w:rPr>
            <w:noProof/>
            <w:webHidden/>
          </w:rPr>
          <w:t>19</w:t>
        </w:r>
        <w:r w:rsidR="007C2730">
          <w:rPr>
            <w:noProof/>
            <w:webHidden/>
          </w:rPr>
          <w:fldChar w:fldCharType="end"/>
        </w:r>
      </w:hyperlink>
    </w:p>
    <w:p w14:paraId="7202E0A0" w14:textId="618013DA" w:rsidR="007C2730"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77275" w:history="1">
        <w:r w:rsidR="007C2730" w:rsidRPr="00816D1E">
          <w:rPr>
            <w:rStyle w:val="Hyperlink"/>
            <w:noProof/>
          </w:rPr>
          <w:t>Figure 9: Total catch and mean daily catch for the Cape Otway SMU from 2003 to 2023. Nominal annual = grey series (+/- SE), standardised annual = solid black, standardised quarterly = dashed black.</w:t>
        </w:r>
        <w:r w:rsidR="007C2730">
          <w:rPr>
            <w:noProof/>
            <w:webHidden/>
          </w:rPr>
          <w:tab/>
        </w:r>
        <w:r w:rsidR="007C2730">
          <w:rPr>
            <w:noProof/>
            <w:webHidden/>
          </w:rPr>
          <w:fldChar w:fldCharType="begin"/>
        </w:r>
        <w:r w:rsidR="007C2730">
          <w:rPr>
            <w:noProof/>
            <w:webHidden/>
          </w:rPr>
          <w:instrText xml:space="preserve"> PAGEREF _Toc192777275 \h </w:instrText>
        </w:r>
        <w:r w:rsidR="007C2730">
          <w:rPr>
            <w:noProof/>
            <w:webHidden/>
          </w:rPr>
        </w:r>
        <w:r w:rsidR="007C2730">
          <w:rPr>
            <w:noProof/>
            <w:webHidden/>
          </w:rPr>
          <w:fldChar w:fldCharType="separate"/>
        </w:r>
        <w:r w:rsidR="00EE76A5">
          <w:rPr>
            <w:noProof/>
            <w:webHidden/>
          </w:rPr>
          <w:t>19</w:t>
        </w:r>
        <w:r w:rsidR="007C2730">
          <w:rPr>
            <w:noProof/>
            <w:webHidden/>
          </w:rPr>
          <w:fldChar w:fldCharType="end"/>
        </w:r>
      </w:hyperlink>
    </w:p>
    <w:p w14:paraId="7370444C" w14:textId="0874DE35" w:rsidR="007C2730"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77276" w:history="1">
        <w:r w:rsidR="007C2730" w:rsidRPr="00816D1E">
          <w:rPr>
            <w:rStyle w:val="Hyperlink"/>
            <w:noProof/>
          </w:rPr>
          <w:t>Figure 10: Recruit abundance (grey dashed, nominal all sites 1992 – 2021; black, Top 15 standardised (solid) 2003 – 2023) including catch from 1992/1993 – 2022/23 for the Cape Otway SMU. MPs = introduction of Marine Parks; numbers reflect size limit changes.</w:t>
        </w:r>
        <w:r w:rsidR="007C2730">
          <w:rPr>
            <w:noProof/>
            <w:webHidden/>
          </w:rPr>
          <w:tab/>
        </w:r>
        <w:r w:rsidR="007C2730">
          <w:rPr>
            <w:noProof/>
            <w:webHidden/>
          </w:rPr>
          <w:fldChar w:fldCharType="begin"/>
        </w:r>
        <w:r w:rsidR="007C2730">
          <w:rPr>
            <w:noProof/>
            <w:webHidden/>
          </w:rPr>
          <w:instrText xml:space="preserve"> PAGEREF _Toc192777276 \h </w:instrText>
        </w:r>
        <w:r w:rsidR="007C2730">
          <w:rPr>
            <w:noProof/>
            <w:webHidden/>
          </w:rPr>
        </w:r>
        <w:r w:rsidR="007C2730">
          <w:rPr>
            <w:noProof/>
            <w:webHidden/>
          </w:rPr>
          <w:fldChar w:fldCharType="separate"/>
        </w:r>
        <w:r w:rsidR="00EE76A5">
          <w:rPr>
            <w:noProof/>
            <w:webHidden/>
          </w:rPr>
          <w:t>20</w:t>
        </w:r>
        <w:r w:rsidR="007C2730">
          <w:rPr>
            <w:noProof/>
            <w:webHidden/>
          </w:rPr>
          <w:fldChar w:fldCharType="end"/>
        </w:r>
      </w:hyperlink>
    </w:p>
    <w:p w14:paraId="34F90049" w14:textId="10860FA7" w:rsidR="007C2730"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77277" w:history="1">
        <w:r w:rsidR="007C2730" w:rsidRPr="00816D1E">
          <w:rPr>
            <w:rStyle w:val="Hyperlink"/>
            <w:noProof/>
          </w:rPr>
          <w:t>Figure 11: Pre-recruit abundance (grey dashed, nominal all sites 1992 – 2021; black, Top 15 standardised (solid) 2003 – 2023) including catch from 1992/1993 – 2022/23 for the Cape Otway SMU. MPs = introduction of Marine Parks; numbers reflect size limit changes.</w:t>
        </w:r>
        <w:r w:rsidR="007C2730">
          <w:rPr>
            <w:noProof/>
            <w:webHidden/>
          </w:rPr>
          <w:tab/>
        </w:r>
        <w:r w:rsidR="007C2730">
          <w:rPr>
            <w:noProof/>
            <w:webHidden/>
          </w:rPr>
          <w:fldChar w:fldCharType="begin"/>
        </w:r>
        <w:r w:rsidR="007C2730">
          <w:rPr>
            <w:noProof/>
            <w:webHidden/>
          </w:rPr>
          <w:instrText xml:space="preserve"> PAGEREF _Toc192777277 \h </w:instrText>
        </w:r>
        <w:r w:rsidR="007C2730">
          <w:rPr>
            <w:noProof/>
            <w:webHidden/>
          </w:rPr>
        </w:r>
        <w:r w:rsidR="007C2730">
          <w:rPr>
            <w:noProof/>
            <w:webHidden/>
          </w:rPr>
          <w:fldChar w:fldCharType="separate"/>
        </w:r>
        <w:r w:rsidR="00EE76A5">
          <w:rPr>
            <w:noProof/>
            <w:webHidden/>
          </w:rPr>
          <w:t>21</w:t>
        </w:r>
        <w:r w:rsidR="007C2730">
          <w:rPr>
            <w:noProof/>
            <w:webHidden/>
          </w:rPr>
          <w:fldChar w:fldCharType="end"/>
        </w:r>
      </w:hyperlink>
    </w:p>
    <w:p w14:paraId="4F8CC0EB" w14:textId="3316E8DE" w:rsidR="007C2730"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77278" w:history="1">
        <w:r w:rsidR="007C2730" w:rsidRPr="00816D1E">
          <w:rPr>
            <w:rStyle w:val="Hyperlink"/>
            <w:noProof/>
          </w:rPr>
          <w:t>Figure 12: Back Beaches SMU catch, and CPUE (nominal and standardised) from 1992/1993 – 2023/24. Nominal annual = grey series (+/- SE), standardised annual = solid black, standardised quarterly = dashed black. Numbers indicate changes to LMLs. MPs = introduction of Marine Parks.</w:t>
        </w:r>
        <w:r w:rsidR="007C2730">
          <w:rPr>
            <w:noProof/>
            <w:webHidden/>
          </w:rPr>
          <w:tab/>
        </w:r>
        <w:r w:rsidR="007C2730">
          <w:rPr>
            <w:noProof/>
            <w:webHidden/>
          </w:rPr>
          <w:fldChar w:fldCharType="begin"/>
        </w:r>
        <w:r w:rsidR="007C2730">
          <w:rPr>
            <w:noProof/>
            <w:webHidden/>
          </w:rPr>
          <w:instrText xml:space="preserve"> PAGEREF _Toc192777278 \h </w:instrText>
        </w:r>
        <w:r w:rsidR="007C2730">
          <w:rPr>
            <w:noProof/>
            <w:webHidden/>
          </w:rPr>
        </w:r>
        <w:r w:rsidR="007C2730">
          <w:rPr>
            <w:noProof/>
            <w:webHidden/>
          </w:rPr>
          <w:fldChar w:fldCharType="separate"/>
        </w:r>
        <w:r w:rsidR="00EE76A5">
          <w:rPr>
            <w:noProof/>
            <w:webHidden/>
          </w:rPr>
          <w:t>23</w:t>
        </w:r>
        <w:r w:rsidR="007C2730">
          <w:rPr>
            <w:noProof/>
            <w:webHidden/>
          </w:rPr>
          <w:fldChar w:fldCharType="end"/>
        </w:r>
      </w:hyperlink>
    </w:p>
    <w:p w14:paraId="65D1CD63" w14:textId="6F17AEEC" w:rsidR="007C2730"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77279" w:history="1">
        <w:r w:rsidR="007C2730" w:rsidRPr="00816D1E">
          <w:rPr>
            <w:rStyle w:val="Hyperlink"/>
            <w:noProof/>
          </w:rPr>
          <w:t>Figure 14: Recruit abundance (grey dashed, nominal all sites 1992 – 2021; black, Top 15 standardised (solid) 2003 – 2023) including catch from 1992/1993 – 2022/23  for the Back Beaches SMU. MPs = introduction of Marine Parks; numbers reflect size limit changes.</w:t>
        </w:r>
        <w:r w:rsidR="007C2730">
          <w:rPr>
            <w:noProof/>
            <w:webHidden/>
          </w:rPr>
          <w:tab/>
        </w:r>
        <w:r w:rsidR="007C2730">
          <w:rPr>
            <w:noProof/>
            <w:webHidden/>
          </w:rPr>
          <w:fldChar w:fldCharType="begin"/>
        </w:r>
        <w:r w:rsidR="007C2730">
          <w:rPr>
            <w:noProof/>
            <w:webHidden/>
          </w:rPr>
          <w:instrText xml:space="preserve"> PAGEREF _Toc192777279 \h </w:instrText>
        </w:r>
        <w:r w:rsidR="007C2730">
          <w:rPr>
            <w:noProof/>
            <w:webHidden/>
          </w:rPr>
        </w:r>
        <w:r w:rsidR="007C2730">
          <w:rPr>
            <w:noProof/>
            <w:webHidden/>
          </w:rPr>
          <w:fldChar w:fldCharType="separate"/>
        </w:r>
        <w:r w:rsidR="00EE76A5">
          <w:rPr>
            <w:noProof/>
            <w:webHidden/>
          </w:rPr>
          <w:t>24</w:t>
        </w:r>
        <w:r w:rsidR="007C2730">
          <w:rPr>
            <w:noProof/>
            <w:webHidden/>
          </w:rPr>
          <w:fldChar w:fldCharType="end"/>
        </w:r>
      </w:hyperlink>
    </w:p>
    <w:p w14:paraId="3CC13CE3" w14:textId="2EEF0356" w:rsidR="007C2730"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77280" w:history="1">
        <w:r w:rsidR="007C2730" w:rsidRPr="00816D1E">
          <w:rPr>
            <w:rStyle w:val="Hyperlink"/>
            <w:noProof/>
          </w:rPr>
          <w:t>Figure 15: Pre-recruit abundance (grey dashed, nominal all sites 1992 – 2021; black, Top 15 standardised (solid) 2003 – 2023) including catch from 1992/1993 – 2022/23 for the Back Beaches SMU. MPs = introduction of Marine Parks; numbers reflect size limit changes.</w:t>
        </w:r>
        <w:r w:rsidR="007C2730">
          <w:rPr>
            <w:noProof/>
            <w:webHidden/>
          </w:rPr>
          <w:tab/>
        </w:r>
        <w:r w:rsidR="007C2730">
          <w:rPr>
            <w:noProof/>
            <w:webHidden/>
          </w:rPr>
          <w:fldChar w:fldCharType="begin"/>
        </w:r>
        <w:r w:rsidR="007C2730">
          <w:rPr>
            <w:noProof/>
            <w:webHidden/>
          </w:rPr>
          <w:instrText xml:space="preserve"> PAGEREF _Toc192777280 \h </w:instrText>
        </w:r>
        <w:r w:rsidR="007C2730">
          <w:rPr>
            <w:noProof/>
            <w:webHidden/>
          </w:rPr>
        </w:r>
        <w:r w:rsidR="007C2730">
          <w:rPr>
            <w:noProof/>
            <w:webHidden/>
          </w:rPr>
          <w:fldChar w:fldCharType="separate"/>
        </w:r>
        <w:r w:rsidR="00EE76A5">
          <w:rPr>
            <w:noProof/>
            <w:webHidden/>
          </w:rPr>
          <w:t>25</w:t>
        </w:r>
        <w:r w:rsidR="007C2730">
          <w:rPr>
            <w:noProof/>
            <w:webHidden/>
          </w:rPr>
          <w:fldChar w:fldCharType="end"/>
        </w:r>
      </w:hyperlink>
    </w:p>
    <w:p w14:paraId="5C4995D9" w14:textId="4D3BEAA2" w:rsidR="007C2730"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77281" w:history="1">
        <w:r w:rsidR="007C2730" w:rsidRPr="00816D1E">
          <w:rPr>
            <w:rStyle w:val="Hyperlink"/>
            <w:noProof/>
          </w:rPr>
          <w:t>Figure 16: Phillip Island SMU catch, and CPUE (nominal and standardised) from 1992/1993 – 2023/24. Nominal annual = grey series (+/- SE), standardised annual = solid black, standardised quarterly = dashed black. Numbers indicate changes to LMLs. MPs = introduction of Marine Parks.</w:t>
        </w:r>
        <w:r w:rsidR="007C2730">
          <w:rPr>
            <w:noProof/>
            <w:webHidden/>
          </w:rPr>
          <w:tab/>
        </w:r>
        <w:r w:rsidR="007C2730">
          <w:rPr>
            <w:noProof/>
            <w:webHidden/>
          </w:rPr>
          <w:fldChar w:fldCharType="begin"/>
        </w:r>
        <w:r w:rsidR="007C2730">
          <w:rPr>
            <w:noProof/>
            <w:webHidden/>
          </w:rPr>
          <w:instrText xml:space="preserve"> PAGEREF _Toc192777281 \h </w:instrText>
        </w:r>
        <w:r w:rsidR="007C2730">
          <w:rPr>
            <w:noProof/>
            <w:webHidden/>
          </w:rPr>
        </w:r>
        <w:r w:rsidR="007C2730">
          <w:rPr>
            <w:noProof/>
            <w:webHidden/>
          </w:rPr>
          <w:fldChar w:fldCharType="separate"/>
        </w:r>
        <w:r w:rsidR="00EE76A5">
          <w:rPr>
            <w:noProof/>
            <w:webHidden/>
          </w:rPr>
          <w:t>27</w:t>
        </w:r>
        <w:r w:rsidR="007C2730">
          <w:rPr>
            <w:noProof/>
            <w:webHidden/>
          </w:rPr>
          <w:fldChar w:fldCharType="end"/>
        </w:r>
      </w:hyperlink>
    </w:p>
    <w:p w14:paraId="0E068751" w14:textId="71F11DCC" w:rsidR="007C2730"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77282" w:history="1">
        <w:r w:rsidR="007C2730" w:rsidRPr="00816D1E">
          <w:rPr>
            <w:rStyle w:val="Hyperlink"/>
            <w:noProof/>
          </w:rPr>
          <w:t>Figure 17: Total catch and mean daily catch for the Phillip Island SMU from 2003 to 2023. Nominal annual = grey series (+/- SE), standardised annual = solid black, standardised quarterly = dashed black.</w:t>
        </w:r>
        <w:r w:rsidR="007C2730">
          <w:rPr>
            <w:noProof/>
            <w:webHidden/>
          </w:rPr>
          <w:tab/>
        </w:r>
        <w:r w:rsidR="007C2730">
          <w:rPr>
            <w:noProof/>
            <w:webHidden/>
          </w:rPr>
          <w:fldChar w:fldCharType="begin"/>
        </w:r>
        <w:r w:rsidR="007C2730">
          <w:rPr>
            <w:noProof/>
            <w:webHidden/>
          </w:rPr>
          <w:instrText xml:space="preserve"> PAGEREF _Toc192777282 \h </w:instrText>
        </w:r>
        <w:r w:rsidR="007C2730">
          <w:rPr>
            <w:noProof/>
            <w:webHidden/>
          </w:rPr>
        </w:r>
        <w:r w:rsidR="007C2730">
          <w:rPr>
            <w:noProof/>
            <w:webHidden/>
          </w:rPr>
          <w:fldChar w:fldCharType="separate"/>
        </w:r>
        <w:r w:rsidR="00EE76A5">
          <w:rPr>
            <w:noProof/>
            <w:webHidden/>
          </w:rPr>
          <w:t>27</w:t>
        </w:r>
        <w:r w:rsidR="007C2730">
          <w:rPr>
            <w:noProof/>
            <w:webHidden/>
          </w:rPr>
          <w:fldChar w:fldCharType="end"/>
        </w:r>
      </w:hyperlink>
    </w:p>
    <w:p w14:paraId="2B81EDF7" w14:textId="08E510C4" w:rsidR="007C2730"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77283" w:history="1">
        <w:r w:rsidR="007C2730" w:rsidRPr="00816D1E">
          <w:rPr>
            <w:rStyle w:val="Hyperlink"/>
            <w:noProof/>
          </w:rPr>
          <w:t>Figure 18: Recruit abundance (grey dashed, nominal all sites 1992 – 2021; black, Top 15 standardised (solid) 2003 – 2023) and catch from 1992/1993 – 2020/21 for the Phillip Island SMU. MPs = introduction of Marine Parks; numbers reflect size limit changes.</w:t>
        </w:r>
        <w:r w:rsidR="007C2730">
          <w:rPr>
            <w:noProof/>
            <w:webHidden/>
          </w:rPr>
          <w:tab/>
        </w:r>
        <w:r w:rsidR="007C2730">
          <w:rPr>
            <w:noProof/>
            <w:webHidden/>
          </w:rPr>
          <w:fldChar w:fldCharType="begin"/>
        </w:r>
        <w:r w:rsidR="007C2730">
          <w:rPr>
            <w:noProof/>
            <w:webHidden/>
          </w:rPr>
          <w:instrText xml:space="preserve"> PAGEREF _Toc192777283 \h </w:instrText>
        </w:r>
        <w:r w:rsidR="007C2730">
          <w:rPr>
            <w:noProof/>
            <w:webHidden/>
          </w:rPr>
        </w:r>
        <w:r w:rsidR="007C2730">
          <w:rPr>
            <w:noProof/>
            <w:webHidden/>
          </w:rPr>
          <w:fldChar w:fldCharType="separate"/>
        </w:r>
        <w:r w:rsidR="00EE76A5">
          <w:rPr>
            <w:noProof/>
            <w:webHidden/>
          </w:rPr>
          <w:t>28</w:t>
        </w:r>
        <w:r w:rsidR="007C2730">
          <w:rPr>
            <w:noProof/>
            <w:webHidden/>
          </w:rPr>
          <w:fldChar w:fldCharType="end"/>
        </w:r>
      </w:hyperlink>
    </w:p>
    <w:p w14:paraId="3292F7C5" w14:textId="439C3E2A" w:rsidR="007C2730"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77284" w:history="1">
        <w:r w:rsidR="007C2730" w:rsidRPr="00816D1E">
          <w:rPr>
            <w:rStyle w:val="Hyperlink"/>
            <w:noProof/>
          </w:rPr>
          <w:t>Figure 19: Pre-recruit abundance (grey dashed, nominal all sites 1992 – 2021; black, Top 15 standardised (solid) 2003 – 2023) including catch from 1992/1993 – 2022/23 for the Phillip Island SMU. MPs = introduction of Marine Parks; numbers reflect size limit changes.</w:t>
        </w:r>
        <w:r w:rsidR="007C2730">
          <w:rPr>
            <w:noProof/>
            <w:webHidden/>
          </w:rPr>
          <w:tab/>
        </w:r>
        <w:r w:rsidR="007C2730">
          <w:rPr>
            <w:noProof/>
            <w:webHidden/>
          </w:rPr>
          <w:fldChar w:fldCharType="begin"/>
        </w:r>
        <w:r w:rsidR="007C2730">
          <w:rPr>
            <w:noProof/>
            <w:webHidden/>
          </w:rPr>
          <w:instrText xml:space="preserve"> PAGEREF _Toc192777284 \h </w:instrText>
        </w:r>
        <w:r w:rsidR="007C2730">
          <w:rPr>
            <w:noProof/>
            <w:webHidden/>
          </w:rPr>
        </w:r>
        <w:r w:rsidR="007C2730">
          <w:rPr>
            <w:noProof/>
            <w:webHidden/>
          </w:rPr>
          <w:fldChar w:fldCharType="separate"/>
        </w:r>
        <w:r w:rsidR="00EE76A5">
          <w:rPr>
            <w:noProof/>
            <w:webHidden/>
          </w:rPr>
          <w:t>29</w:t>
        </w:r>
        <w:r w:rsidR="007C2730">
          <w:rPr>
            <w:noProof/>
            <w:webHidden/>
          </w:rPr>
          <w:fldChar w:fldCharType="end"/>
        </w:r>
      </w:hyperlink>
    </w:p>
    <w:p w14:paraId="4B380EA4" w14:textId="78DEDC4C" w:rsidR="007C2730"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77285" w:history="1">
        <w:r w:rsidR="007C2730" w:rsidRPr="00816D1E">
          <w:rPr>
            <w:rStyle w:val="Hyperlink"/>
            <w:noProof/>
          </w:rPr>
          <w:t>Figure 20: Shipwreck Coast SMU catch, and CPUE (nominal and standardised) from 1992/1993 – 2023/24. Nominal annual = grey series (+/- SE), standardised annual = solid black, standardised quarterly = dashed black. Numbers indicate changes to LMLs. MPs = introduction of Marine Parks.</w:t>
        </w:r>
        <w:r w:rsidR="007C2730">
          <w:rPr>
            <w:noProof/>
            <w:webHidden/>
          </w:rPr>
          <w:tab/>
        </w:r>
        <w:r w:rsidR="007C2730">
          <w:rPr>
            <w:noProof/>
            <w:webHidden/>
          </w:rPr>
          <w:fldChar w:fldCharType="begin"/>
        </w:r>
        <w:r w:rsidR="007C2730">
          <w:rPr>
            <w:noProof/>
            <w:webHidden/>
          </w:rPr>
          <w:instrText xml:space="preserve"> PAGEREF _Toc192777285 \h </w:instrText>
        </w:r>
        <w:r w:rsidR="007C2730">
          <w:rPr>
            <w:noProof/>
            <w:webHidden/>
          </w:rPr>
        </w:r>
        <w:r w:rsidR="007C2730">
          <w:rPr>
            <w:noProof/>
            <w:webHidden/>
          </w:rPr>
          <w:fldChar w:fldCharType="separate"/>
        </w:r>
        <w:r w:rsidR="00EE76A5">
          <w:rPr>
            <w:noProof/>
            <w:webHidden/>
          </w:rPr>
          <w:t>31</w:t>
        </w:r>
        <w:r w:rsidR="007C2730">
          <w:rPr>
            <w:noProof/>
            <w:webHidden/>
          </w:rPr>
          <w:fldChar w:fldCharType="end"/>
        </w:r>
      </w:hyperlink>
    </w:p>
    <w:p w14:paraId="40968DC2" w14:textId="21B9B76C" w:rsidR="007C2730"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77286" w:history="1">
        <w:r w:rsidR="007C2730" w:rsidRPr="00816D1E">
          <w:rPr>
            <w:rStyle w:val="Hyperlink"/>
            <w:noProof/>
          </w:rPr>
          <w:t>Figure 21: Total catch and mean daily catch for the Shipwreck Coast SMU from 2003 to 2023. Nominal annual = grey series (+/- SE), standardised annual = solid black, standardised quarterly = dashed black.</w:t>
        </w:r>
        <w:r w:rsidR="007C2730">
          <w:rPr>
            <w:noProof/>
            <w:webHidden/>
          </w:rPr>
          <w:tab/>
        </w:r>
        <w:r w:rsidR="007C2730">
          <w:rPr>
            <w:noProof/>
            <w:webHidden/>
          </w:rPr>
          <w:fldChar w:fldCharType="begin"/>
        </w:r>
        <w:r w:rsidR="007C2730">
          <w:rPr>
            <w:noProof/>
            <w:webHidden/>
          </w:rPr>
          <w:instrText xml:space="preserve"> PAGEREF _Toc192777286 \h </w:instrText>
        </w:r>
        <w:r w:rsidR="007C2730">
          <w:rPr>
            <w:noProof/>
            <w:webHidden/>
          </w:rPr>
        </w:r>
        <w:r w:rsidR="007C2730">
          <w:rPr>
            <w:noProof/>
            <w:webHidden/>
          </w:rPr>
          <w:fldChar w:fldCharType="separate"/>
        </w:r>
        <w:r w:rsidR="00EE76A5">
          <w:rPr>
            <w:noProof/>
            <w:webHidden/>
          </w:rPr>
          <w:t>31</w:t>
        </w:r>
        <w:r w:rsidR="007C2730">
          <w:rPr>
            <w:noProof/>
            <w:webHidden/>
          </w:rPr>
          <w:fldChar w:fldCharType="end"/>
        </w:r>
      </w:hyperlink>
    </w:p>
    <w:p w14:paraId="6AC91FB2" w14:textId="61345D39" w:rsidR="007C2730"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77287" w:history="1">
        <w:r w:rsidR="007C2730" w:rsidRPr="00816D1E">
          <w:rPr>
            <w:rStyle w:val="Hyperlink"/>
            <w:noProof/>
          </w:rPr>
          <w:t>Figure 22: Recruit abundance (grey dashed, nominal all sites 1992 – 2021; black, Top 15 standardised (solid) 2003 – 2023) including catch from 1992/1993 – 2022/23 for the Shipwreck Coast SMU. MPs = introduction of Marine Parks; numbers reflect size limit changes.</w:t>
        </w:r>
        <w:r w:rsidR="007C2730">
          <w:rPr>
            <w:noProof/>
            <w:webHidden/>
          </w:rPr>
          <w:tab/>
        </w:r>
        <w:r w:rsidR="007C2730">
          <w:rPr>
            <w:noProof/>
            <w:webHidden/>
          </w:rPr>
          <w:fldChar w:fldCharType="begin"/>
        </w:r>
        <w:r w:rsidR="007C2730">
          <w:rPr>
            <w:noProof/>
            <w:webHidden/>
          </w:rPr>
          <w:instrText xml:space="preserve"> PAGEREF _Toc192777287 \h </w:instrText>
        </w:r>
        <w:r w:rsidR="007C2730">
          <w:rPr>
            <w:noProof/>
            <w:webHidden/>
          </w:rPr>
        </w:r>
        <w:r w:rsidR="007C2730">
          <w:rPr>
            <w:noProof/>
            <w:webHidden/>
          </w:rPr>
          <w:fldChar w:fldCharType="separate"/>
        </w:r>
        <w:r w:rsidR="00EE76A5">
          <w:rPr>
            <w:noProof/>
            <w:webHidden/>
          </w:rPr>
          <w:t>32</w:t>
        </w:r>
        <w:r w:rsidR="007C2730">
          <w:rPr>
            <w:noProof/>
            <w:webHidden/>
          </w:rPr>
          <w:fldChar w:fldCharType="end"/>
        </w:r>
      </w:hyperlink>
    </w:p>
    <w:p w14:paraId="40D1CFCC" w14:textId="7F1A47C8" w:rsidR="007C2730"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77288" w:history="1">
        <w:r w:rsidR="007C2730" w:rsidRPr="00816D1E">
          <w:rPr>
            <w:rStyle w:val="Hyperlink"/>
            <w:noProof/>
          </w:rPr>
          <w:t>Figure 23: Pre-recruit abundance (grey dashed, nominal all sites 1992 – 2021; black, Top 15 standardised (solid) 2003 – 2023) including catch from 1992/1993 – 2022/23 for the Shipwreck Coast SMU. MPs = introduction of Marine Parks; numbers reflect size limit changes.</w:t>
        </w:r>
        <w:r w:rsidR="007C2730">
          <w:rPr>
            <w:noProof/>
            <w:webHidden/>
          </w:rPr>
          <w:tab/>
        </w:r>
        <w:r w:rsidR="007C2730">
          <w:rPr>
            <w:noProof/>
            <w:webHidden/>
          </w:rPr>
          <w:fldChar w:fldCharType="begin"/>
        </w:r>
        <w:r w:rsidR="007C2730">
          <w:rPr>
            <w:noProof/>
            <w:webHidden/>
          </w:rPr>
          <w:instrText xml:space="preserve"> PAGEREF _Toc192777288 \h </w:instrText>
        </w:r>
        <w:r w:rsidR="007C2730">
          <w:rPr>
            <w:noProof/>
            <w:webHidden/>
          </w:rPr>
        </w:r>
        <w:r w:rsidR="007C2730">
          <w:rPr>
            <w:noProof/>
            <w:webHidden/>
          </w:rPr>
          <w:fldChar w:fldCharType="separate"/>
        </w:r>
        <w:r w:rsidR="00EE76A5">
          <w:rPr>
            <w:noProof/>
            <w:webHidden/>
          </w:rPr>
          <w:t>33</w:t>
        </w:r>
        <w:r w:rsidR="007C2730">
          <w:rPr>
            <w:noProof/>
            <w:webHidden/>
          </w:rPr>
          <w:fldChar w:fldCharType="end"/>
        </w:r>
      </w:hyperlink>
    </w:p>
    <w:p w14:paraId="4C1DA0BF" w14:textId="07448E0D" w:rsidR="007C2730"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77289" w:history="1">
        <w:r w:rsidR="007C2730" w:rsidRPr="00816D1E">
          <w:rPr>
            <w:rStyle w:val="Hyperlink"/>
            <w:noProof/>
          </w:rPr>
          <w:t>Figure 24: Prom Westside SMU catch, and CPUE (nominal and standardised) from 1992/1993 – 2023/24. Nominal annual = grey series (+/- SE), standardised annual = solid black, standardised quarterly = dashed black. Numbers indicate changes to LMLs. MPs = introduction of Marine Parks.</w:t>
        </w:r>
        <w:r w:rsidR="007C2730">
          <w:rPr>
            <w:noProof/>
            <w:webHidden/>
          </w:rPr>
          <w:tab/>
        </w:r>
        <w:r w:rsidR="007C2730">
          <w:rPr>
            <w:noProof/>
            <w:webHidden/>
          </w:rPr>
          <w:fldChar w:fldCharType="begin"/>
        </w:r>
        <w:r w:rsidR="007C2730">
          <w:rPr>
            <w:noProof/>
            <w:webHidden/>
          </w:rPr>
          <w:instrText xml:space="preserve"> PAGEREF _Toc192777289 \h </w:instrText>
        </w:r>
        <w:r w:rsidR="007C2730">
          <w:rPr>
            <w:noProof/>
            <w:webHidden/>
          </w:rPr>
        </w:r>
        <w:r w:rsidR="007C2730">
          <w:rPr>
            <w:noProof/>
            <w:webHidden/>
          </w:rPr>
          <w:fldChar w:fldCharType="separate"/>
        </w:r>
        <w:r w:rsidR="00EE76A5">
          <w:rPr>
            <w:noProof/>
            <w:webHidden/>
          </w:rPr>
          <w:t>35</w:t>
        </w:r>
        <w:r w:rsidR="007C2730">
          <w:rPr>
            <w:noProof/>
            <w:webHidden/>
          </w:rPr>
          <w:fldChar w:fldCharType="end"/>
        </w:r>
      </w:hyperlink>
    </w:p>
    <w:p w14:paraId="27AC9ED9" w14:textId="5DFC75FC" w:rsidR="007C2730"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77290" w:history="1">
        <w:r w:rsidR="007C2730" w:rsidRPr="00816D1E">
          <w:rPr>
            <w:rStyle w:val="Hyperlink"/>
            <w:noProof/>
          </w:rPr>
          <w:t>Figure 25: Total catch and mean daily catch for the Prom Westside SMU from 2003 to 2023. Nominal annual = grey series (+/- SE), standardised annual = solid black, standardised quarterly = dashed black.</w:t>
        </w:r>
        <w:r w:rsidR="007C2730">
          <w:rPr>
            <w:noProof/>
            <w:webHidden/>
          </w:rPr>
          <w:tab/>
        </w:r>
        <w:r w:rsidR="007C2730">
          <w:rPr>
            <w:noProof/>
            <w:webHidden/>
          </w:rPr>
          <w:fldChar w:fldCharType="begin"/>
        </w:r>
        <w:r w:rsidR="007C2730">
          <w:rPr>
            <w:noProof/>
            <w:webHidden/>
          </w:rPr>
          <w:instrText xml:space="preserve"> PAGEREF _Toc192777290 \h </w:instrText>
        </w:r>
        <w:r w:rsidR="007C2730">
          <w:rPr>
            <w:noProof/>
            <w:webHidden/>
          </w:rPr>
        </w:r>
        <w:r w:rsidR="007C2730">
          <w:rPr>
            <w:noProof/>
            <w:webHidden/>
          </w:rPr>
          <w:fldChar w:fldCharType="separate"/>
        </w:r>
        <w:r w:rsidR="00EE76A5">
          <w:rPr>
            <w:noProof/>
            <w:webHidden/>
          </w:rPr>
          <w:t>35</w:t>
        </w:r>
        <w:r w:rsidR="007C2730">
          <w:rPr>
            <w:noProof/>
            <w:webHidden/>
          </w:rPr>
          <w:fldChar w:fldCharType="end"/>
        </w:r>
      </w:hyperlink>
    </w:p>
    <w:p w14:paraId="2456AE0B" w14:textId="7AD83171" w:rsidR="007C2730"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77291" w:history="1">
        <w:r w:rsidR="007C2730" w:rsidRPr="00816D1E">
          <w:rPr>
            <w:rStyle w:val="Hyperlink"/>
            <w:noProof/>
          </w:rPr>
          <w:t>Figure 26: Recruit abundance (grey dashed, nominal all sites 1992 – 2021; black, Top 15 standardised (solid) 2003 – 2023) including catch from 1992/1993 – 2022/23 for the Prom Westside SMU. MPs = introduction of Marine Parks; numbers reflect size limit changes.</w:t>
        </w:r>
        <w:r w:rsidR="007C2730">
          <w:rPr>
            <w:noProof/>
            <w:webHidden/>
          </w:rPr>
          <w:tab/>
        </w:r>
        <w:r w:rsidR="007C2730">
          <w:rPr>
            <w:noProof/>
            <w:webHidden/>
          </w:rPr>
          <w:fldChar w:fldCharType="begin"/>
        </w:r>
        <w:r w:rsidR="007C2730">
          <w:rPr>
            <w:noProof/>
            <w:webHidden/>
          </w:rPr>
          <w:instrText xml:space="preserve"> PAGEREF _Toc192777291 \h </w:instrText>
        </w:r>
        <w:r w:rsidR="007C2730">
          <w:rPr>
            <w:noProof/>
            <w:webHidden/>
          </w:rPr>
        </w:r>
        <w:r w:rsidR="007C2730">
          <w:rPr>
            <w:noProof/>
            <w:webHidden/>
          </w:rPr>
          <w:fldChar w:fldCharType="separate"/>
        </w:r>
        <w:r w:rsidR="00EE76A5">
          <w:rPr>
            <w:noProof/>
            <w:webHidden/>
          </w:rPr>
          <w:t>36</w:t>
        </w:r>
        <w:r w:rsidR="007C2730">
          <w:rPr>
            <w:noProof/>
            <w:webHidden/>
          </w:rPr>
          <w:fldChar w:fldCharType="end"/>
        </w:r>
      </w:hyperlink>
    </w:p>
    <w:p w14:paraId="2C5FB337" w14:textId="02E377D1" w:rsidR="007C2730"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77292" w:history="1">
        <w:r w:rsidR="007C2730" w:rsidRPr="00816D1E">
          <w:rPr>
            <w:rStyle w:val="Hyperlink"/>
            <w:noProof/>
          </w:rPr>
          <w:t>Figure 27: Pre-recruit abundance (grey dashed, nominal all sites 1992 – 2021; black, Top 15 standardised (solid) 2003 – 2023) including catch from 1992/1993 – 2022/23 for the Prom Westside SMU. MPs = introduction of Marine Parks; numbers reflect size limit changes.</w:t>
        </w:r>
        <w:r w:rsidR="007C2730">
          <w:rPr>
            <w:noProof/>
            <w:webHidden/>
          </w:rPr>
          <w:tab/>
        </w:r>
        <w:r w:rsidR="007C2730">
          <w:rPr>
            <w:noProof/>
            <w:webHidden/>
          </w:rPr>
          <w:fldChar w:fldCharType="begin"/>
        </w:r>
        <w:r w:rsidR="007C2730">
          <w:rPr>
            <w:noProof/>
            <w:webHidden/>
          </w:rPr>
          <w:instrText xml:space="preserve"> PAGEREF _Toc192777292 \h </w:instrText>
        </w:r>
        <w:r w:rsidR="007C2730">
          <w:rPr>
            <w:noProof/>
            <w:webHidden/>
          </w:rPr>
        </w:r>
        <w:r w:rsidR="007C2730">
          <w:rPr>
            <w:noProof/>
            <w:webHidden/>
          </w:rPr>
          <w:fldChar w:fldCharType="separate"/>
        </w:r>
        <w:r w:rsidR="00EE76A5">
          <w:rPr>
            <w:noProof/>
            <w:webHidden/>
          </w:rPr>
          <w:t>37</w:t>
        </w:r>
        <w:r w:rsidR="007C2730">
          <w:rPr>
            <w:noProof/>
            <w:webHidden/>
          </w:rPr>
          <w:fldChar w:fldCharType="end"/>
        </w:r>
      </w:hyperlink>
    </w:p>
    <w:p w14:paraId="6E6B08F0" w14:textId="7E292E27" w:rsidR="007C2730"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77293" w:history="1">
        <w:r w:rsidR="007C2730" w:rsidRPr="00816D1E">
          <w:rPr>
            <w:rStyle w:val="Hyperlink"/>
            <w:noProof/>
          </w:rPr>
          <w:t>Figure 28: Flinders SMU catch, and CPUE (nominal and standardised) from 1992/1993 – 2023/24. Nominal annual = grey series (+/- SE), standardised annual = solid black, standardised quarterly = dashed black. Numbers indicate changes to LMLs. MPs = introduction of Marine Parks.</w:t>
        </w:r>
        <w:r w:rsidR="007C2730">
          <w:rPr>
            <w:noProof/>
            <w:webHidden/>
          </w:rPr>
          <w:tab/>
        </w:r>
        <w:r w:rsidR="007C2730">
          <w:rPr>
            <w:noProof/>
            <w:webHidden/>
          </w:rPr>
          <w:fldChar w:fldCharType="begin"/>
        </w:r>
        <w:r w:rsidR="007C2730">
          <w:rPr>
            <w:noProof/>
            <w:webHidden/>
          </w:rPr>
          <w:instrText xml:space="preserve"> PAGEREF _Toc192777293 \h </w:instrText>
        </w:r>
        <w:r w:rsidR="007C2730">
          <w:rPr>
            <w:noProof/>
            <w:webHidden/>
          </w:rPr>
        </w:r>
        <w:r w:rsidR="007C2730">
          <w:rPr>
            <w:noProof/>
            <w:webHidden/>
          </w:rPr>
          <w:fldChar w:fldCharType="separate"/>
        </w:r>
        <w:r w:rsidR="00EE76A5">
          <w:rPr>
            <w:noProof/>
            <w:webHidden/>
          </w:rPr>
          <w:t>39</w:t>
        </w:r>
        <w:r w:rsidR="007C2730">
          <w:rPr>
            <w:noProof/>
            <w:webHidden/>
          </w:rPr>
          <w:fldChar w:fldCharType="end"/>
        </w:r>
      </w:hyperlink>
    </w:p>
    <w:p w14:paraId="1B42D5BA" w14:textId="0112C982" w:rsidR="007C2730"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77294" w:history="1">
        <w:r w:rsidR="007C2730" w:rsidRPr="00816D1E">
          <w:rPr>
            <w:rStyle w:val="Hyperlink"/>
            <w:noProof/>
          </w:rPr>
          <w:t>Figure 29: Total catch and mean daily catch for the Flinders SMU from 2003 to 2023. Nominal annual = grey series (+/- SE), standardised annual = solid black, standardised quarterly = dashed black.</w:t>
        </w:r>
        <w:r w:rsidR="007C2730">
          <w:rPr>
            <w:noProof/>
            <w:webHidden/>
          </w:rPr>
          <w:tab/>
        </w:r>
        <w:r w:rsidR="007C2730">
          <w:rPr>
            <w:noProof/>
            <w:webHidden/>
          </w:rPr>
          <w:fldChar w:fldCharType="begin"/>
        </w:r>
        <w:r w:rsidR="007C2730">
          <w:rPr>
            <w:noProof/>
            <w:webHidden/>
          </w:rPr>
          <w:instrText xml:space="preserve"> PAGEREF _Toc192777294 \h </w:instrText>
        </w:r>
        <w:r w:rsidR="007C2730">
          <w:rPr>
            <w:noProof/>
            <w:webHidden/>
          </w:rPr>
        </w:r>
        <w:r w:rsidR="007C2730">
          <w:rPr>
            <w:noProof/>
            <w:webHidden/>
          </w:rPr>
          <w:fldChar w:fldCharType="separate"/>
        </w:r>
        <w:r w:rsidR="00EE76A5">
          <w:rPr>
            <w:noProof/>
            <w:webHidden/>
          </w:rPr>
          <w:t>39</w:t>
        </w:r>
        <w:r w:rsidR="007C2730">
          <w:rPr>
            <w:noProof/>
            <w:webHidden/>
          </w:rPr>
          <w:fldChar w:fldCharType="end"/>
        </w:r>
      </w:hyperlink>
    </w:p>
    <w:p w14:paraId="6E0E01D5" w14:textId="6A6F6AF3" w:rsidR="007C2730"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77295" w:history="1">
        <w:r w:rsidR="007C2730" w:rsidRPr="00816D1E">
          <w:rPr>
            <w:rStyle w:val="Hyperlink"/>
            <w:noProof/>
          </w:rPr>
          <w:t>Figure 30: Recruit abundance (grey dashed, nominal all sites 1992 – 2021; black, Top 15 standardised (solid) 2003 – 2023) including catch from 1992/1993 – 2022/23 for the Flinders SMU. MPs = introduction of Marine Parks; numbers reflect size limit changes.</w:t>
        </w:r>
        <w:r w:rsidR="007C2730">
          <w:rPr>
            <w:noProof/>
            <w:webHidden/>
          </w:rPr>
          <w:tab/>
        </w:r>
        <w:r w:rsidR="007C2730">
          <w:rPr>
            <w:noProof/>
            <w:webHidden/>
          </w:rPr>
          <w:fldChar w:fldCharType="begin"/>
        </w:r>
        <w:r w:rsidR="007C2730">
          <w:rPr>
            <w:noProof/>
            <w:webHidden/>
          </w:rPr>
          <w:instrText xml:space="preserve"> PAGEREF _Toc192777295 \h </w:instrText>
        </w:r>
        <w:r w:rsidR="007C2730">
          <w:rPr>
            <w:noProof/>
            <w:webHidden/>
          </w:rPr>
        </w:r>
        <w:r w:rsidR="007C2730">
          <w:rPr>
            <w:noProof/>
            <w:webHidden/>
          </w:rPr>
          <w:fldChar w:fldCharType="separate"/>
        </w:r>
        <w:r w:rsidR="00EE76A5">
          <w:rPr>
            <w:noProof/>
            <w:webHidden/>
          </w:rPr>
          <w:t>40</w:t>
        </w:r>
        <w:r w:rsidR="007C2730">
          <w:rPr>
            <w:noProof/>
            <w:webHidden/>
          </w:rPr>
          <w:fldChar w:fldCharType="end"/>
        </w:r>
      </w:hyperlink>
    </w:p>
    <w:p w14:paraId="2A692A3D" w14:textId="36F8E57B" w:rsidR="007C2730"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77296" w:history="1">
        <w:r w:rsidR="007C2730" w:rsidRPr="00816D1E">
          <w:rPr>
            <w:rStyle w:val="Hyperlink"/>
            <w:noProof/>
          </w:rPr>
          <w:t>Figure 31: Pre-recruit abundance (grey dashed, nominal all sites 1992 – 2021; black, Top 15 standardised (solid) 2003 – 2023) including catch from 1992/1993 – 2022/23 for the Flinders SMU. MPs = introduction of Marine Parks; numbers reflect size limit changes.</w:t>
        </w:r>
        <w:r w:rsidR="007C2730">
          <w:rPr>
            <w:noProof/>
            <w:webHidden/>
          </w:rPr>
          <w:tab/>
        </w:r>
        <w:r w:rsidR="007C2730">
          <w:rPr>
            <w:noProof/>
            <w:webHidden/>
          </w:rPr>
          <w:fldChar w:fldCharType="begin"/>
        </w:r>
        <w:r w:rsidR="007C2730">
          <w:rPr>
            <w:noProof/>
            <w:webHidden/>
          </w:rPr>
          <w:instrText xml:space="preserve"> PAGEREF _Toc192777296 \h </w:instrText>
        </w:r>
        <w:r w:rsidR="007C2730">
          <w:rPr>
            <w:noProof/>
            <w:webHidden/>
          </w:rPr>
        </w:r>
        <w:r w:rsidR="007C2730">
          <w:rPr>
            <w:noProof/>
            <w:webHidden/>
          </w:rPr>
          <w:fldChar w:fldCharType="separate"/>
        </w:r>
        <w:r w:rsidR="00EE76A5">
          <w:rPr>
            <w:noProof/>
            <w:webHidden/>
          </w:rPr>
          <w:t>41</w:t>
        </w:r>
        <w:r w:rsidR="007C2730">
          <w:rPr>
            <w:noProof/>
            <w:webHidden/>
          </w:rPr>
          <w:fldChar w:fldCharType="end"/>
        </w:r>
      </w:hyperlink>
    </w:p>
    <w:p w14:paraId="1F862254" w14:textId="60855185" w:rsidR="007C2730"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77297" w:history="1">
        <w:r w:rsidR="007C2730" w:rsidRPr="00816D1E">
          <w:rPr>
            <w:rStyle w:val="Hyperlink"/>
            <w:noProof/>
          </w:rPr>
          <w:t>Figure 32: Kilcunda SMU catch, and CPUE (nominal and standardised) from 1992/1993 – 2023/24. Nominal annual = grey series (+/- SE), standardised annual = solid black, standardised quarterly = dashed black. Numbers indicate changes to LMLs. MPs = introduction of Marine Parks.</w:t>
        </w:r>
        <w:r w:rsidR="007C2730">
          <w:rPr>
            <w:noProof/>
            <w:webHidden/>
          </w:rPr>
          <w:tab/>
        </w:r>
        <w:r w:rsidR="007C2730">
          <w:rPr>
            <w:noProof/>
            <w:webHidden/>
          </w:rPr>
          <w:fldChar w:fldCharType="begin"/>
        </w:r>
        <w:r w:rsidR="007C2730">
          <w:rPr>
            <w:noProof/>
            <w:webHidden/>
          </w:rPr>
          <w:instrText xml:space="preserve"> PAGEREF _Toc192777297 \h </w:instrText>
        </w:r>
        <w:r w:rsidR="007C2730">
          <w:rPr>
            <w:noProof/>
            <w:webHidden/>
          </w:rPr>
        </w:r>
        <w:r w:rsidR="007C2730">
          <w:rPr>
            <w:noProof/>
            <w:webHidden/>
          </w:rPr>
          <w:fldChar w:fldCharType="separate"/>
        </w:r>
        <w:r w:rsidR="00EE76A5">
          <w:rPr>
            <w:noProof/>
            <w:webHidden/>
          </w:rPr>
          <w:t>43</w:t>
        </w:r>
        <w:r w:rsidR="007C2730">
          <w:rPr>
            <w:noProof/>
            <w:webHidden/>
          </w:rPr>
          <w:fldChar w:fldCharType="end"/>
        </w:r>
      </w:hyperlink>
    </w:p>
    <w:p w14:paraId="77DFC4E2" w14:textId="7CE21AA0" w:rsidR="007C2730"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77298" w:history="1">
        <w:r w:rsidR="007C2730" w:rsidRPr="00816D1E">
          <w:rPr>
            <w:rStyle w:val="Hyperlink"/>
            <w:noProof/>
          </w:rPr>
          <w:t>Figure 33: Total catch and mean daily catch for the Kilcunda SMU from 2003 to 2023. Nominal annual = grey series (+/- SE), standardised annual = solid black, standardised quarterly = dashed black.</w:t>
        </w:r>
        <w:r w:rsidR="007C2730">
          <w:rPr>
            <w:noProof/>
            <w:webHidden/>
          </w:rPr>
          <w:tab/>
        </w:r>
        <w:r w:rsidR="007C2730">
          <w:rPr>
            <w:noProof/>
            <w:webHidden/>
          </w:rPr>
          <w:fldChar w:fldCharType="begin"/>
        </w:r>
        <w:r w:rsidR="007C2730">
          <w:rPr>
            <w:noProof/>
            <w:webHidden/>
          </w:rPr>
          <w:instrText xml:space="preserve"> PAGEREF _Toc192777298 \h </w:instrText>
        </w:r>
        <w:r w:rsidR="007C2730">
          <w:rPr>
            <w:noProof/>
            <w:webHidden/>
          </w:rPr>
        </w:r>
        <w:r w:rsidR="007C2730">
          <w:rPr>
            <w:noProof/>
            <w:webHidden/>
          </w:rPr>
          <w:fldChar w:fldCharType="separate"/>
        </w:r>
        <w:r w:rsidR="00EE76A5">
          <w:rPr>
            <w:noProof/>
            <w:webHidden/>
          </w:rPr>
          <w:t>43</w:t>
        </w:r>
        <w:r w:rsidR="007C2730">
          <w:rPr>
            <w:noProof/>
            <w:webHidden/>
          </w:rPr>
          <w:fldChar w:fldCharType="end"/>
        </w:r>
      </w:hyperlink>
    </w:p>
    <w:p w14:paraId="5E91002B" w14:textId="5362BB06" w:rsidR="007C2730"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77299" w:history="1">
        <w:r w:rsidR="007C2730" w:rsidRPr="00816D1E">
          <w:rPr>
            <w:rStyle w:val="Hyperlink"/>
            <w:noProof/>
          </w:rPr>
          <w:t>Figure 34: Cape Liptrap SMU catch, and CPUE (nominal and standardised) from 1992/1993 – 2023/24. Nominal annual = grey series (+/- SE), standardised annual = solid black, standardised quarterly = dashed black. Numbers indicate changes to LMLs. MPs = introduction of Marine Parks.</w:t>
        </w:r>
        <w:r w:rsidR="007C2730">
          <w:rPr>
            <w:noProof/>
            <w:webHidden/>
          </w:rPr>
          <w:tab/>
        </w:r>
        <w:r w:rsidR="007C2730">
          <w:rPr>
            <w:noProof/>
            <w:webHidden/>
          </w:rPr>
          <w:fldChar w:fldCharType="begin"/>
        </w:r>
        <w:r w:rsidR="007C2730">
          <w:rPr>
            <w:noProof/>
            <w:webHidden/>
          </w:rPr>
          <w:instrText xml:space="preserve"> PAGEREF _Toc192777299 \h </w:instrText>
        </w:r>
        <w:r w:rsidR="007C2730">
          <w:rPr>
            <w:noProof/>
            <w:webHidden/>
          </w:rPr>
        </w:r>
        <w:r w:rsidR="007C2730">
          <w:rPr>
            <w:noProof/>
            <w:webHidden/>
          </w:rPr>
          <w:fldChar w:fldCharType="separate"/>
        </w:r>
        <w:r w:rsidR="00EE76A5">
          <w:rPr>
            <w:noProof/>
            <w:webHidden/>
          </w:rPr>
          <w:t>45</w:t>
        </w:r>
        <w:r w:rsidR="007C2730">
          <w:rPr>
            <w:noProof/>
            <w:webHidden/>
          </w:rPr>
          <w:fldChar w:fldCharType="end"/>
        </w:r>
      </w:hyperlink>
    </w:p>
    <w:p w14:paraId="7BC06B60" w14:textId="5B903F71" w:rsidR="007C2730"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77300" w:history="1">
        <w:r w:rsidR="007C2730" w:rsidRPr="00816D1E">
          <w:rPr>
            <w:rStyle w:val="Hyperlink"/>
            <w:noProof/>
          </w:rPr>
          <w:t>Figure 35: Total catch and mean daily catch for the Cape Liptrap SMU from 2003 to 2023. Nominal annual = grey series (+/- SE), standardised annual = solid black, standardised quarterly = dashed black.</w:t>
        </w:r>
        <w:r w:rsidR="007C2730">
          <w:rPr>
            <w:noProof/>
            <w:webHidden/>
          </w:rPr>
          <w:tab/>
        </w:r>
        <w:r w:rsidR="007C2730">
          <w:rPr>
            <w:noProof/>
            <w:webHidden/>
          </w:rPr>
          <w:fldChar w:fldCharType="begin"/>
        </w:r>
        <w:r w:rsidR="007C2730">
          <w:rPr>
            <w:noProof/>
            <w:webHidden/>
          </w:rPr>
          <w:instrText xml:space="preserve"> PAGEREF _Toc192777300 \h </w:instrText>
        </w:r>
        <w:r w:rsidR="007C2730">
          <w:rPr>
            <w:noProof/>
            <w:webHidden/>
          </w:rPr>
        </w:r>
        <w:r w:rsidR="007C2730">
          <w:rPr>
            <w:noProof/>
            <w:webHidden/>
          </w:rPr>
          <w:fldChar w:fldCharType="separate"/>
        </w:r>
        <w:r w:rsidR="00EE76A5">
          <w:rPr>
            <w:noProof/>
            <w:webHidden/>
          </w:rPr>
          <w:t>46</w:t>
        </w:r>
        <w:r w:rsidR="007C2730">
          <w:rPr>
            <w:noProof/>
            <w:webHidden/>
          </w:rPr>
          <w:fldChar w:fldCharType="end"/>
        </w:r>
      </w:hyperlink>
    </w:p>
    <w:p w14:paraId="1FE44873" w14:textId="490CC69B" w:rsidR="007C2730"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77301" w:history="1">
        <w:r w:rsidR="007C2730" w:rsidRPr="00816D1E">
          <w:rPr>
            <w:rStyle w:val="Hyperlink"/>
            <w:noProof/>
          </w:rPr>
          <w:t>Figure 36: Prom Eastside SMU catch, and CPUE (nominal and standardised) from 1992/1993 – 2023/24. Nominal annual = grey series (+/- SE), standardised annual = solid black, standardised quarterly = dashed black. Numbers indicate changes to LMLs. MPs = introduction of Marine Parks.</w:t>
        </w:r>
        <w:r w:rsidR="007C2730">
          <w:rPr>
            <w:noProof/>
            <w:webHidden/>
          </w:rPr>
          <w:tab/>
        </w:r>
        <w:r w:rsidR="007C2730">
          <w:rPr>
            <w:noProof/>
            <w:webHidden/>
          </w:rPr>
          <w:fldChar w:fldCharType="begin"/>
        </w:r>
        <w:r w:rsidR="007C2730">
          <w:rPr>
            <w:noProof/>
            <w:webHidden/>
          </w:rPr>
          <w:instrText xml:space="preserve"> PAGEREF _Toc192777301 \h </w:instrText>
        </w:r>
        <w:r w:rsidR="007C2730">
          <w:rPr>
            <w:noProof/>
            <w:webHidden/>
          </w:rPr>
        </w:r>
        <w:r w:rsidR="007C2730">
          <w:rPr>
            <w:noProof/>
            <w:webHidden/>
          </w:rPr>
          <w:fldChar w:fldCharType="separate"/>
        </w:r>
        <w:r w:rsidR="00EE76A5">
          <w:rPr>
            <w:noProof/>
            <w:webHidden/>
          </w:rPr>
          <w:t>48</w:t>
        </w:r>
        <w:r w:rsidR="007C2730">
          <w:rPr>
            <w:noProof/>
            <w:webHidden/>
          </w:rPr>
          <w:fldChar w:fldCharType="end"/>
        </w:r>
      </w:hyperlink>
    </w:p>
    <w:p w14:paraId="13BC1FF3" w14:textId="55A8D9FC" w:rsidR="007C2730"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77302" w:history="1">
        <w:r w:rsidR="007C2730" w:rsidRPr="00816D1E">
          <w:rPr>
            <w:rStyle w:val="Hyperlink"/>
            <w:noProof/>
          </w:rPr>
          <w:t>Figure 37: Total catch and mean daily catch for the Prom Eastside SMU from 2003 to 2023. Nominal annual = grey series (+/- SE), standardised annual = solid black, standardised quarterly = dashed black.</w:t>
        </w:r>
        <w:r w:rsidR="007C2730">
          <w:rPr>
            <w:noProof/>
            <w:webHidden/>
          </w:rPr>
          <w:tab/>
        </w:r>
        <w:r w:rsidR="007C2730">
          <w:rPr>
            <w:noProof/>
            <w:webHidden/>
          </w:rPr>
          <w:fldChar w:fldCharType="begin"/>
        </w:r>
        <w:r w:rsidR="007C2730">
          <w:rPr>
            <w:noProof/>
            <w:webHidden/>
          </w:rPr>
          <w:instrText xml:space="preserve"> PAGEREF _Toc192777302 \h </w:instrText>
        </w:r>
        <w:r w:rsidR="007C2730">
          <w:rPr>
            <w:noProof/>
            <w:webHidden/>
          </w:rPr>
        </w:r>
        <w:r w:rsidR="007C2730">
          <w:rPr>
            <w:noProof/>
            <w:webHidden/>
          </w:rPr>
          <w:fldChar w:fldCharType="separate"/>
        </w:r>
        <w:r w:rsidR="00EE76A5">
          <w:rPr>
            <w:noProof/>
            <w:webHidden/>
          </w:rPr>
          <w:t>48</w:t>
        </w:r>
        <w:r w:rsidR="007C2730">
          <w:rPr>
            <w:noProof/>
            <w:webHidden/>
          </w:rPr>
          <w:fldChar w:fldCharType="end"/>
        </w:r>
      </w:hyperlink>
    </w:p>
    <w:p w14:paraId="33225B49" w14:textId="51156BD1" w:rsidR="007C2730"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77303" w:history="1">
        <w:r w:rsidR="007C2730" w:rsidRPr="00816D1E">
          <w:rPr>
            <w:rStyle w:val="Hyperlink"/>
            <w:noProof/>
          </w:rPr>
          <w:t>Figure 38: Cliffy Group SMU catch, and CPUE (nominal and standardised) from 1992/1993 – 2023/24. Nominal annual = grey series (+/- SE), standardised annual = solid black, standardised quarterly = dashed black. Numbers indicate changes to LMLs. MPs = introduction of Marine Parks.</w:t>
        </w:r>
        <w:r w:rsidR="007C2730">
          <w:rPr>
            <w:noProof/>
            <w:webHidden/>
          </w:rPr>
          <w:tab/>
        </w:r>
        <w:r w:rsidR="007C2730">
          <w:rPr>
            <w:noProof/>
            <w:webHidden/>
          </w:rPr>
          <w:fldChar w:fldCharType="begin"/>
        </w:r>
        <w:r w:rsidR="007C2730">
          <w:rPr>
            <w:noProof/>
            <w:webHidden/>
          </w:rPr>
          <w:instrText xml:space="preserve"> PAGEREF _Toc192777303 \h </w:instrText>
        </w:r>
        <w:r w:rsidR="007C2730">
          <w:rPr>
            <w:noProof/>
            <w:webHidden/>
          </w:rPr>
        </w:r>
        <w:r w:rsidR="007C2730">
          <w:rPr>
            <w:noProof/>
            <w:webHidden/>
          </w:rPr>
          <w:fldChar w:fldCharType="separate"/>
        </w:r>
        <w:r w:rsidR="00EE76A5">
          <w:rPr>
            <w:noProof/>
            <w:webHidden/>
          </w:rPr>
          <w:t>50</w:t>
        </w:r>
        <w:r w:rsidR="007C2730">
          <w:rPr>
            <w:noProof/>
            <w:webHidden/>
          </w:rPr>
          <w:fldChar w:fldCharType="end"/>
        </w:r>
      </w:hyperlink>
    </w:p>
    <w:p w14:paraId="4814C73A" w14:textId="584AE8A8" w:rsidR="007C2730"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77304" w:history="1">
        <w:r w:rsidR="007C2730" w:rsidRPr="00816D1E">
          <w:rPr>
            <w:rStyle w:val="Hyperlink"/>
            <w:noProof/>
          </w:rPr>
          <w:t>Figure 39: Total catch and mean daily catch for the Cliffy Group SMU from 2003 to 2023. Nominal annual = grey series (+/- SE), standardised annual = solid black, standardised quarterly = dashed black.</w:t>
        </w:r>
        <w:r w:rsidR="007C2730">
          <w:rPr>
            <w:noProof/>
            <w:webHidden/>
          </w:rPr>
          <w:tab/>
        </w:r>
        <w:r w:rsidR="007C2730">
          <w:rPr>
            <w:noProof/>
            <w:webHidden/>
          </w:rPr>
          <w:fldChar w:fldCharType="begin"/>
        </w:r>
        <w:r w:rsidR="007C2730">
          <w:rPr>
            <w:noProof/>
            <w:webHidden/>
          </w:rPr>
          <w:instrText xml:space="preserve"> PAGEREF _Toc192777304 \h </w:instrText>
        </w:r>
        <w:r w:rsidR="007C2730">
          <w:rPr>
            <w:noProof/>
            <w:webHidden/>
          </w:rPr>
        </w:r>
        <w:r w:rsidR="007C2730">
          <w:rPr>
            <w:noProof/>
            <w:webHidden/>
          </w:rPr>
          <w:fldChar w:fldCharType="separate"/>
        </w:r>
        <w:r w:rsidR="00EE76A5">
          <w:rPr>
            <w:noProof/>
            <w:webHidden/>
          </w:rPr>
          <w:t>51</w:t>
        </w:r>
        <w:r w:rsidR="007C2730">
          <w:rPr>
            <w:noProof/>
            <w:webHidden/>
          </w:rPr>
          <w:fldChar w:fldCharType="end"/>
        </w:r>
      </w:hyperlink>
    </w:p>
    <w:p w14:paraId="602BCF64" w14:textId="57DD5172" w:rsidR="007C2730"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77305" w:history="1">
        <w:r w:rsidR="007C2730" w:rsidRPr="00816D1E">
          <w:rPr>
            <w:rStyle w:val="Hyperlink"/>
            <w:noProof/>
          </w:rPr>
          <w:t>Figure 40: Surf Coast SMU catch, and CPUE (nominal and standardised) from 1992/1993 – 2023/24. Nominal annual = grey series (+/- SE), standardised annual = solid black, standardised quarterly = dashed black. Numbers indicate changes to LMLs. MPs = introduction of Marine Parks.</w:t>
        </w:r>
        <w:r w:rsidR="007C2730">
          <w:rPr>
            <w:noProof/>
            <w:webHidden/>
          </w:rPr>
          <w:tab/>
        </w:r>
        <w:r w:rsidR="007C2730">
          <w:rPr>
            <w:noProof/>
            <w:webHidden/>
          </w:rPr>
          <w:fldChar w:fldCharType="begin"/>
        </w:r>
        <w:r w:rsidR="007C2730">
          <w:rPr>
            <w:noProof/>
            <w:webHidden/>
          </w:rPr>
          <w:instrText xml:space="preserve"> PAGEREF _Toc192777305 \h </w:instrText>
        </w:r>
        <w:r w:rsidR="007C2730">
          <w:rPr>
            <w:noProof/>
            <w:webHidden/>
          </w:rPr>
        </w:r>
        <w:r w:rsidR="007C2730">
          <w:rPr>
            <w:noProof/>
            <w:webHidden/>
          </w:rPr>
          <w:fldChar w:fldCharType="separate"/>
        </w:r>
        <w:r w:rsidR="00EE76A5">
          <w:rPr>
            <w:noProof/>
            <w:webHidden/>
          </w:rPr>
          <w:t>52</w:t>
        </w:r>
        <w:r w:rsidR="007C2730">
          <w:rPr>
            <w:noProof/>
            <w:webHidden/>
          </w:rPr>
          <w:fldChar w:fldCharType="end"/>
        </w:r>
      </w:hyperlink>
    </w:p>
    <w:p w14:paraId="0BC00892" w14:textId="39328211" w:rsidR="007C2730"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77306" w:history="1">
        <w:r w:rsidR="007C2730" w:rsidRPr="00816D1E">
          <w:rPr>
            <w:rStyle w:val="Hyperlink"/>
            <w:noProof/>
          </w:rPr>
          <w:t>Figure 41: Total catch and mean daily catch for the Surf Coast SMU from 2003 to 2023. Nominal annual = grey series (+/- SE), standardised annual = solid black, standardised quarterly = dashed black.</w:t>
        </w:r>
        <w:r w:rsidR="007C2730">
          <w:rPr>
            <w:noProof/>
            <w:webHidden/>
          </w:rPr>
          <w:tab/>
        </w:r>
        <w:r w:rsidR="007C2730">
          <w:rPr>
            <w:noProof/>
            <w:webHidden/>
          </w:rPr>
          <w:fldChar w:fldCharType="begin"/>
        </w:r>
        <w:r w:rsidR="007C2730">
          <w:rPr>
            <w:noProof/>
            <w:webHidden/>
          </w:rPr>
          <w:instrText xml:space="preserve"> PAGEREF _Toc192777306 \h </w:instrText>
        </w:r>
        <w:r w:rsidR="007C2730">
          <w:rPr>
            <w:noProof/>
            <w:webHidden/>
          </w:rPr>
        </w:r>
        <w:r w:rsidR="007C2730">
          <w:rPr>
            <w:noProof/>
            <w:webHidden/>
          </w:rPr>
          <w:fldChar w:fldCharType="separate"/>
        </w:r>
        <w:r w:rsidR="00EE76A5">
          <w:rPr>
            <w:noProof/>
            <w:webHidden/>
          </w:rPr>
          <w:t>53</w:t>
        </w:r>
        <w:r w:rsidR="007C2730">
          <w:rPr>
            <w:noProof/>
            <w:webHidden/>
          </w:rPr>
          <w:fldChar w:fldCharType="end"/>
        </w:r>
      </w:hyperlink>
    </w:p>
    <w:p w14:paraId="61158953" w14:textId="69A7E868" w:rsidR="007C2730"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77307" w:history="1">
        <w:r w:rsidR="007C2730" w:rsidRPr="00816D1E">
          <w:rPr>
            <w:rStyle w:val="Hyperlink"/>
            <w:noProof/>
          </w:rPr>
          <w:t>Figure 42: Port Phillip Bay SMU catch, and CPUE (nominal only) from 1992/1993 – 2023/24. Nominal CPUE = grey series (+/- SE). Numbers indicate changes to LMLs. MPs = introduction of Marine Parks.</w:t>
        </w:r>
        <w:r w:rsidR="007C2730">
          <w:rPr>
            <w:noProof/>
            <w:webHidden/>
          </w:rPr>
          <w:tab/>
        </w:r>
        <w:r w:rsidR="007C2730">
          <w:rPr>
            <w:noProof/>
            <w:webHidden/>
          </w:rPr>
          <w:fldChar w:fldCharType="begin"/>
        </w:r>
        <w:r w:rsidR="007C2730">
          <w:rPr>
            <w:noProof/>
            <w:webHidden/>
          </w:rPr>
          <w:instrText xml:space="preserve"> PAGEREF _Toc192777307 \h </w:instrText>
        </w:r>
        <w:r w:rsidR="007C2730">
          <w:rPr>
            <w:noProof/>
            <w:webHidden/>
          </w:rPr>
        </w:r>
        <w:r w:rsidR="007C2730">
          <w:rPr>
            <w:noProof/>
            <w:webHidden/>
          </w:rPr>
          <w:fldChar w:fldCharType="separate"/>
        </w:r>
        <w:r w:rsidR="00EE76A5">
          <w:rPr>
            <w:noProof/>
            <w:webHidden/>
          </w:rPr>
          <w:t>54</w:t>
        </w:r>
        <w:r w:rsidR="007C2730">
          <w:rPr>
            <w:noProof/>
            <w:webHidden/>
          </w:rPr>
          <w:fldChar w:fldCharType="end"/>
        </w:r>
      </w:hyperlink>
    </w:p>
    <w:p w14:paraId="12422F83" w14:textId="34460FF0" w:rsidR="007C2730"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77308" w:history="1">
        <w:r w:rsidR="007C2730" w:rsidRPr="00816D1E">
          <w:rPr>
            <w:rStyle w:val="Hyperlink"/>
            <w:noProof/>
          </w:rPr>
          <w:t>Figure 43: Total catch and mean daily catch for the Port Phillip Bay SMU from 2003 to 2023.</w:t>
        </w:r>
        <w:r w:rsidR="007C2730">
          <w:rPr>
            <w:noProof/>
            <w:webHidden/>
          </w:rPr>
          <w:tab/>
        </w:r>
        <w:r w:rsidR="007C2730">
          <w:rPr>
            <w:noProof/>
            <w:webHidden/>
          </w:rPr>
          <w:fldChar w:fldCharType="begin"/>
        </w:r>
        <w:r w:rsidR="007C2730">
          <w:rPr>
            <w:noProof/>
            <w:webHidden/>
          </w:rPr>
          <w:instrText xml:space="preserve"> PAGEREF _Toc192777308 \h </w:instrText>
        </w:r>
        <w:r w:rsidR="007C2730">
          <w:rPr>
            <w:noProof/>
            <w:webHidden/>
          </w:rPr>
        </w:r>
        <w:r w:rsidR="007C2730">
          <w:rPr>
            <w:noProof/>
            <w:webHidden/>
          </w:rPr>
          <w:fldChar w:fldCharType="separate"/>
        </w:r>
        <w:r w:rsidR="00EE76A5">
          <w:rPr>
            <w:noProof/>
            <w:webHidden/>
          </w:rPr>
          <w:t>55</w:t>
        </w:r>
        <w:r w:rsidR="007C2730">
          <w:rPr>
            <w:noProof/>
            <w:webHidden/>
          </w:rPr>
          <w:fldChar w:fldCharType="end"/>
        </w:r>
      </w:hyperlink>
    </w:p>
    <w:p w14:paraId="10257FD2" w14:textId="2E3285BF" w:rsidR="007C2730"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77309" w:history="1">
        <w:r w:rsidR="007C2730" w:rsidRPr="00816D1E">
          <w:rPr>
            <w:rStyle w:val="Hyperlink"/>
            <w:noProof/>
          </w:rPr>
          <w:t>Figure 44: Bubble plot of catch distribution for greenlip abalone in the Central Zone from 1979 to 2023 quota years. Only SMUs where &gt;1 t of greenlip have been caught in total are shown.</w:t>
        </w:r>
        <w:r w:rsidR="007C2730">
          <w:rPr>
            <w:noProof/>
            <w:webHidden/>
          </w:rPr>
          <w:tab/>
        </w:r>
        <w:r w:rsidR="007C2730">
          <w:rPr>
            <w:noProof/>
            <w:webHidden/>
          </w:rPr>
          <w:fldChar w:fldCharType="begin"/>
        </w:r>
        <w:r w:rsidR="007C2730">
          <w:rPr>
            <w:noProof/>
            <w:webHidden/>
          </w:rPr>
          <w:instrText xml:space="preserve"> PAGEREF _Toc192777309 \h </w:instrText>
        </w:r>
        <w:r w:rsidR="007C2730">
          <w:rPr>
            <w:noProof/>
            <w:webHidden/>
          </w:rPr>
        </w:r>
        <w:r w:rsidR="007C2730">
          <w:rPr>
            <w:noProof/>
            <w:webHidden/>
          </w:rPr>
          <w:fldChar w:fldCharType="separate"/>
        </w:r>
        <w:r w:rsidR="00EE76A5">
          <w:rPr>
            <w:noProof/>
            <w:webHidden/>
          </w:rPr>
          <w:t>56</w:t>
        </w:r>
        <w:r w:rsidR="007C2730">
          <w:rPr>
            <w:noProof/>
            <w:webHidden/>
          </w:rPr>
          <w:fldChar w:fldCharType="end"/>
        </w:r>
      </w:hyperlink>
    </w:p>
    <w:p w14:paraId="09A55CDB" w14:textId="696E98FD" w:rsidR="007C2730"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77310" w:history="1">
        <w:r w:rsidR="007C2730" w:rsidRPr="00816D1E">
          <w:rPr>
            <w:rStyle w:val="Hyperlink"/>
            <w:noProof/>
          </w:rPr>
          <w:t>Figure 45: Catch distribution for greenlip abalone in the Central Zone from 2009 to 2023 quota years.</w:t>
        </w:r>
        <w:r w:rsidR="007C2730">
          <w:rPr>
            <w:noProof/>
            <w:webHidden/>
          </w:rPr>
          <w:tab/>
        </w:r>
        <w:r w:rsidR="007C2730">
          <w:rPr>
            <w:noProof/>
            <w:webHidden/>
          </w:rPr>
          <w:fldChar w:fldCharType="begin"/>
        </w:r>
        <w:r w:rsidR="007C2730">
          <w:rPr>
            <w:noProof/>
            <w:webHidden/>
          </w:rPr>
          <w:instrText xml:space="preserve"> PAGEREF _Toc192777310 \h </w:instrText>
        </w:r>
        <w:r w:rsidR="007C2730">
          <w:rPr>
            <w:noProof/>
            <w:webHidden/>
          </w:rPr>
        </w:r>
        <w:r w:rsidR="007C2730">
          <w:rPr>
            <w:noProof/>
            <w:webHidden/>
          </w:rPr>
          <w:fldChar w:fldCharType="separate"/>
        </w:r>
        <w:r w:rsidR="00EE76A5">
          <w:rPr>
            <w:noProof/>
            <w:webHidden/>
          </w:rPr>
          <w:t>56</w:t>
        </w:r>
        <w:r w:rsidR="007C2730">
          <w:rPr>
            <w:noProof/>
            <w:webHidden/>
          </w:rPr>
          <w:fldChar w:fldCharType="end"/>
        </w:r>
      </w:hyperlink>
    </w:p>
    <w:p w14:paraId="27E7EE90" w14:textId="5DD2ECD0" w:rsidR="007C2730"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77311" w:history="1">
        <w:r w:rsidR="007C2730" w:rsidRPr="00816D1E">
          <w:rPr>
            <w:rStyle w:val="Hyperlink"/>
            <w:noProof/>
          </w:rPr>
          <w:t>Size frequency distributions for the Cape Otway SMU from (A) 2003 to 2021 for all sites and (B) from 2003 to 2023 for the four Top 15 sites. Black bars represent undersize abalone, grey bars represent (current) legal size abalone. FIS data were not collected in 2022. Note scales differ slightly.</w:t>
        </w:r>
        <w:r w:rsidR="007C2730">
          <w:rPr>
            <w:noProof/>
            <w:webHidden/>
          </w:rPr>
          <w:tab/>
        </w:r>
        <w:r w:rsidR="007C2730">
          <w:rPr>
            <w:noProof/>
            <w:webHidden/>
          </w:rPr>
          <w:fldChar w:fldCharType="begin"/>
        </w:r>
        <w:r w:rsidR="007C2730">
          <w:rPr>
            <w:noProof/>
            <w:webHidden/>
          </w:rPr>
          <w:instrText xml:space="preserve"> PAGEREF _Toc192777311 \h </w:instrText>
        </w:r>
        <w:r w:rsidR="007C2730">
          <w:rPr>
            <w:noProof/>
            <w:webHidden/>
          </w:rPr>
        </w:r>
        <w:r w:rsidR="007C2730">
          <w:rPr>
            <w:noProof/>
            <w:webHidden/>
          </w:rPr>
          <w:fldChar w:fldCharType="separate"/>
        </w:r>
        <w:r w:rsidR="00EE76A5">
          <w:rPr>
            <w:noProof/>
            <w:webHidden/>
          </w:rPr>
          <w:t>64</w:t>
        </w:r>
        <w:r w:rsidR="007C2730">
          <w:rPr>
            <w:noProof/>
            <w:webHidden/>
          </w:rPr>
          <w:fldChar w:fldCharType="end"/>
        </w:r>
      </w:hyperlink>
    </w:p>
    <w:p w14:paraId="07B7DC36" w14:textId="7DD12E7F" w:rsidR="007C2730"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77312" w:history="1">
        <w:r w:rsidR="007C2730" w:rsidRPr="00816D1E">
          <w:rPr>
            <w:rStyle w:val="Hyperlink"/>
            <w:noProof/>
          </w:rPr>
          <w:t>(A)</w:t>
        </w:r>
        <w:r w:rsidR="007C2730">
          <w:rPr>
            <w:noProof/>
            <w:webHidden/>
          </w:rPr>
          <w:tab/>
        </w:r>
        <w:r w:rsidR="007C2730">
          <w:rPr>
            <w:noProof/>
            <w:webHidden/>
          </w:rPr>
          <w:fldChar w:fldCharType="begin"/>
        </w:r>
        <w:r w:rsidR="007C2730">
          <w:rPr>
            <w:noProof/>
            <w:webHidden/>
          </w:rPr>
          <w:instrText xml:space="preserve"> PAGEREF _Toc192777312 \h </w:instrText>
        </w:r>
        <w:r w:rsidR="007C2730">
          <w:rPr>
            <w:noProof/>
            <w:webHidden/>
          </w:rPr>
        </w:r>
        <w:r w:rsidR="007C2730">
          <w:rPr>
            <w:noProof/>
            <w:webHidden/>
          </w:rPr>
          <w:fldChar w:fldCharType="separate"/>
        </w:r>
        <w:r w:rsidR="00EE76A5">
          <w:rPr>
            <w:noProof/>
            <w:webHidden/>
          </w:rPr>
          <w:t>64</w:t>
        </w:r>
        <w:r w:rsidR="007C2730">
          <w:rPr>
            <w:noProof/>
            <w:webHidden/>
          </w:rPr>
          <w:fldChar w:fldCharType="end"/>
        </w:r>
      </w:hyperlink>
    </w:p>
    <w:p w14:paraId="3387CB8D" w14:textId="3E06850C" w:rsidR="007C2730"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77313" w:history="1">
        <w:r w:rsidR="007C2730" w:rsidRPr="00816D1E">
          <w:rPr>
            <w:rStyle w:val="Hyperlink"/>
            <w:noProof/>
          </w:rPr>
          <w:t>Size frequency distributions for the Back Beaches SMU from (A) 2003 to 2021 for all sites and (B) from 2003 to 2023 for the three Top 15 sites. Black bars represent undersize abalone, grey bars represent (current) legal size abalone. FIS data were not collected in 2022.</w:t>
        </w:r>
        <w:r w:rsidR="007C2730">
          <w:rPr>
            <w:noProof/>
            <w:webHidden/>
          </w:rPr>
          <w:tab/>
        </w:r>
        <w:r w:rsidR="007C2730">
          <w:rPr>
            <w:noProof/>
            <w:webHidden/>
          </w:rPr>
          <w:fldChar w:fldCharType="begin"/>
        </w:r>
        <w:r w:rsidR="007C2730">
          <w:rPr>
            <w:noProof/>
            <w:webHidden/>
          </w:rPr>
          <w:instrText xml:space="preserve"> PAGEREF _Toc192777313 \h </w:instrText>
        </w:r>
        <w:r w:rsidR="007C2730">
          <w:rPr>
            <w:noProof/>
            <w:webHidden/>
          </w:rPr>
        </w:r>
        <w:r w:rsidR="007C2730">
          <w:rPr>
            <w:noProof/>
            <w:webHidden/>
          </w:rPr>
          <w:fldChar w:fldCharType="separate"/>
        </w:r>
        <w:r w:rsidR="00EE76A5">
          <w:rPr>
            <w:noProof/>
            <w:webHidden/>
          </w:rPr>
          <w:t>65</w:t>
        </w:r>
        <w:r w:rsidR="007C2730">
          <w:rPr>
            <w:noProof/>
            <w:webHidden/>
          </w:rPr>
          <w:fldChar w:fldCharType="end"/>
        </w:r>
      </w:hyperlink>
    </w:p>
    <w:p w14:paraId="7B98A215" w14:textId="594EDD3A" w:rsidR="007C2730"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77314" w:history="1">
        <w:r w:rsidR="007C2730" w:rsidRPr="00816D1E">
          <w:rPr>
            <w:rStyle w:val="Hyperlink"/>
            <w:noProof/>
          </w:rPr>
          <w:t>Size frequency distributions for the Phillip Island SMU from (A) 2003 to 2021 for all sites and (B) from 2003 to 2023 for the two Top 15 sites. Black bars represent undersize abalone, grey bars represent (current) legal size abalone. FIS data were not collected in 2022.</w:t>
        </w:r>
        <w:r w:rsidR="007C2730">
          <w:rPr>
            <w:noProof/>
            <w:webHidden/>
          </w:rPr>
          <w:tab/>
        </w:r>
        <w:r w:rsidR="007C2730">
          <w:rPr>
            <w:noProof/>
            <w:webHidden/>
          </w:rPr>
          <w:fldChar w:fldCharType="begin"/>
        </w:r>
        <w:r w:rsidR="007C2730">
          <w:rPr>
            <w:noProof/>
            <w:webHidden/>
          </w:rPr>
          <w:instrText xml:space="preserve"> PAGEREF _Toc192777314 \h </w:instrText>
        </w:r>
        <w:r w:rsidR="007C2730">
          <w:rPr>
            <w:noProof/>
            <w:webHidden/>
          </w:rPr>
        </w:r>
        <w:r w:rsidR="007C2730">
          <w:rPr>
            <w:noProof/>
            <w:webHidden/>
          </w:rPr>
          <w:fldChar w:fldCharType="separate"/>
        </w:r>
        <w:r w:rsidR="00EE76A5">
          <w:rPr>
            <w:noProof/>
            <w:webHidden/>
          </w:rPr>
          <w:t>66</w:t>
        </w:r>
        <w:r w:rsidR="007C2730">
          <w:rPr>
            <w:noProof/>
            <w:webHidden/>
          </w:rPr>
          <w:fldChar w:fldCharType="end"/>
        </w:r>
      </w:hyperlink>
    </w:p>
    <w:p w14:paraId="298EF2DF" w14:textId="5F73C4BD" w:rsidR="007C2730"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77315" w:history="1">
        <w:r w:rsidR="007C2730" w:rsidRPr="00816D1E">
          <w:rPr>
            <w:rStyle w:val="Hyperlink"/>
            <w:noProof/>
          </w:rPr>
          <w:t>Size frequency distributions for the Shipwreck Coast SMU from (A) 2003 to 2021 for all sites and (B) from 2003 to 2023 for the two Top 15 sites. Black bars represent undersize abalone, grey bars represent (current) legal size abalone. FIS data were not collected in 2022.</w:t>
        </w:r>
        <w:r w:rsidR="007C2730">
          <w:rPr>
            <w:noProof/>
            <w:webHidden/>
          </w:rPr>
          <w:tab/>
        </w:r>
        <w:r w:rsidR="007C2730">
          <w:rPr>
            <w:noProof/>
            <w:webHidden/>
          </w:rPr>
          <w:fldChar w:fldCharType="begin"/>
        </w:r>
        <w:r w:rsidR="007C2730">
          <w:rPr>
            <w:noProof/>
            <w:webHidden/>
          </w:rPr>
          <w:instrText xml:space="preserve"> PAGEREF _Toc192777315 \h </w:instrText>
        </w:r>
        <w:r w:rsidR="007C2730">
          <w:rPr>
            <w:noProof/>
            <w:webHidden/>
          </w:rPr>
        </w:r>
        <w:r w:rsidR="007C2730">
          <w:rPr>
            <w:noProof/>
            <w:webHidden/>
          </w:rPr>
          <w:fldChar w:fldCharType="separate"/>
        </w:r>
        <w:r w:rsidR="00EE76A5">
          <w:rPr>
            <w:noProof/>
            <w:webHidden/>
          </w:rPr>
          <w:t>67</w:t>
        </w:r>
        <w:r w:rsidR="007C2730">
          <w:rPr>
            <w:noProof/>
            <w:webHidden/>
          </w:rPr>
          <w:fldChar w:fldCharType="end"/>
        </w:r>
      </w:hyperlink>
    </w:p>
    <w:p w14:paraId="6C081692" w14:textId="3C2FF4EC" w:rsidR="007C2730"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77316" w:history="1">
        <w:r w:rsidR="007C2730" w:rsidRPr="00816D1E">
          <w:rPr>
            <w:rStyle w:val="Hyperlink"/>
            <w:noProof/>
          </w:rPr>
          <w:t>Size frequency distributions for the Flinders SMU from (A) 2003 to 2021 for all sites and (B) from 2003 to 2023 for the two Top 15 sites. Black bars represent undersize abalone, grey bars represent (current) legal size abalone. FIS data were not collected in 2022.</w:t>
        </w:r>
        <w:r w:rsidR="007C2730">
          <w:rPr>
            <w:noProof/>
            <w:webHidden/>
          </w:rPr>
          <w:tab/>
        </w:r>
        <w:r w:rsidR="007C2730">
          <w:rPr>
            <w:noProof/>
            <w:webHidden/>
          </w:rPr>
          <w:fldChar w:fldCharType="begin"/>
        </w:r>
        <w:r w:rsidR="007C2730">
          <w:rPr>
            <w:noProof/>
            <w:webHidden/>
          </w:rPr>
          <w:instrText xml:space="preserve"> PAGEREF _Toc192777316 \h </w:instrText>
        </w:r>
        <w:r w:rsidR="007C2730">
          <w:rPr>
            <w:noProof/>
            <w:webHidden/>
          </w:rPr>
        </w:r>
        <w:r w:rsidR="007C2730">
          <w:rPr>
            <w:noProof/>
            <w:webHidden/>
          </w:rPr>
          <w:fldChar w:fldCharType="separate"/>
        </w:r>
        <w:r w:rsidR="00EE76A5">
          <w:rPr>
            <w:noProof/>
            <w:webHidden/>
          </w:rPr>
          <w:t>68</w:t>
        </w:r>
        <w:r w:rsidR="007C2730">
          <w:rPr>
            <w:noProof/>
            <w:webHidden/>
          </w:rPr>
          <w:fldChar w:fldCharType="end"/>
        </w:r>
      </w:hyperlink>
    </w:p>
    <w:p w14:paraId="0D56DCC6" w14:textId="56903F9C" w:rsidR="007C2730"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77317" w:history="1">
        <w:r w:rsidR="007C2730" w:rsidRPr="00816D1E">
          <w:rPr>
            <w:rStyle w:val="Hyperlink"/>
            <w:noProof/>
          </w:rPr>
          <w:t>Size frequency distributions for the Prom West SMU from (A) 2003 to 2021 for all sites and (B) from 2003 to 2023 for the two Top 15 sites. Black bars represent undersize abalone, grey bars represent (current) legal size abalone. FIS data were not collected in 2022.</w:t>
        </w:r>
        <w:r w:rsidR="007C2730">
          <w:rPr>
            <w:noProof/>
            <w:webHidden/>
          </w:rPr>
          <w:tab/>
        </w:r>
        <w:r w:rsidR="007C2730">
          <w:rPr>
            <w:noProof/>
            <w:webHidden/>
          </w:rPr>
          <w:fldChar w:fldCharType="begin"/>
        </w:r>
        <w:r w:rsidR="007C2730">
          <w:rPr>
            <w:noProof/>
            <w:webHidden/>
          </w:rPr>
          <w:instrText xml:space="preserve"> PAGEREF _Toc192777317 \h </w:instrText>
        </w:r>
        <w:r w:rsidR="007C2730">
          <w:rPr>
            <w:noProof/>
            <w:webHidden/>
          </w:rPr>
        </w:r>
        <w:r w:rsidR="007C2730">
          <w:rPr>
            <w:noProof/>
            <w:webHidden/>
          </w:rPr>
          <w:fldChar w:fldCharType="separate"/>
        </w:r>
        <w:r w:rsidR="00EE76A5">
          <w:rPr>
            <w:noProof/>
            <w:webHidden/>
          </w:rPr>
          <w:t>69</w:t>
        </w:r>
        <w:r w:rsidR="007C2730">
          <w:rPr>
            <w:noProof/>
            <w:webHidden/>
          </w:rPr>
          <w:fldChar w:fldCharType="end"/>
        </w:r>
      </w:hyperlink>
    </w:p>
    <w:p w14:paraId="5860439D" w14:textId="51C35891" w:rsidR="007C2730"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77318" w:history="1">
        <w:r w:rsidR="007C2730" w:rsidRPr="00816D1E">
          <w:rPr>
            <w:rStyle w:val="Hyperlink"/>
            <w:noProof/>
          </w:rPr>
          <w:t>Size frequency distributions for the Cape Liptrap SMU from 2003 to 2021 for all sites. Black bars represent undersize abalone, grey bars represent (current) legal size abalone. FIS data were not collected in 2022 or 2023.</w:t>
        </w:r>
        <w:r w:rsidR="007C2730">
          <w:rPr>
            <w:noProof/>
            <w:webHidden/>
          </w:rPr>
          <w:tab/>
        </w:r>
        <w:r w:rsidR="007C2730">
          <w:rPr>
            <w:noProof/>
            <w:webHidden/>
          </w:rPr>
          <w:fldChar w:fldCharType="begin"/>
        </w:r>
        <w:r w:rsidR="007C2730">
          <w:rPr>
            <w:noProof/>
            <w:webHidden/>
          </w:rPr>
          <w:instrText xml:space="preserve"> PAGEREF _Toc192777318 \h </w:instrText>
        </w:r>
        <w:r w:rsidR="007C2730">
          <w:rPr>
            <w:noProof/>
            <w:webHidden/>
          </w:rPr>
        </w:r>
        <w:r w:rsidR="007C2730">
          <w:rPr>
            <w:noProof/>
            <w:webHidden/>
          </w:rPr>
          <w:fldChar w:fldCharType="separate"/>
        </w:r>
        <w:r w:rsidR="00EE76A5">
          <w:rPr>
            <w:noProof/>
            <w:webHidden/>
          </w:rPr>
          <w:t>70</w:t>
        </w:r>
        <w:r w:rsidR="007C2730">
          <w:rPr>
            <w:noProof/>
            <w:webHidden/>
          </w:rPr>
          <w:fldChar w:fldCharType="end"/>
        </w:r>
      </w:hyperlink>
    </w:p>
    <w:p w14:paraId="604200E6" w14:textId="000EB3E8" w:rsidR="00FB0A3F" w:rsidRDefault="00000000">
      <w:pPr>
        <w:pStyle w:val="tablecaption0"/>
      </w:pPr>
      <w:r>
        <w:fldChar w:fldCharType="end"/>
      </w:r>
    </w:p>
    <w:p w14:paraId="5F29731C" w14:textId="77777777" w:rsidR="00FB0A3F" w:rsidRDefault="00000000">
      <w:pPr>
        <w:pStyle w:val="Heading5"/>
      </w:pPr>
      <w:r>
        <w:t>List of Tables</w:t>
      </w:r>
    </w:p>
    <w:p w14:paraId="4010E98B" w14:textId="2CFA5EDD" w:rsidR="00611807" w:rsidRDefault="00000000">
      <w:pPr>
        <w:pStyle w:val="TableofFigures"/>
        <w:tabs>
          <w:tab w:val="right" w:leader="dot" w:pos="9016"/>
        </w:tabs>
        <w:rPr>
          <w:rFonts w:eastAsiaTheme="minorEastAsia"/>
          <w:smallCaps w:val="0"/>
          <w:noProof/>
          <w:kern w:val="2"/>
          <w:sz w:val="24"/>
          <w:szCs w:val="24"/>
          <w:lang w:eastAsia="en-AU"/>
          <w14:ligatures w14:val="standardContextual"/>
        </w:rPr>
      </w:pPr>
      <w:r>
        <w:rPr>
          <w:lang w:val="en-US"/>
        </w:rPr>
        <w:fldChar w:fldCharType="begin"/>
      </w:r>
      <w:r>
        <w:rPr>
          <w:lang w:val="en-US"/>
        </w:rPr>
        <w:instrText xml:space="preserve"> TOC \h \z \t "Table Caption" \c </w:instrText>
      </w:r>
      <w:r>
        <w:rPr>
          <w:lang w:val="en-US"/>
        </w:rPr>
        <w:fldChar w:fldCharType="separate"/>
      </w:r>
      <w:hyperlink w:anchor="_Toc192762269" w:history="1">
        <w:r w:rsidR="00611807" w:rsidRPr="00546827">
          <w:rPr>
            <w:rStyle w:val="Hyperlink"/>
            <w:noProof/>
          </w:rPr>
          <w:t>Table 1: Performance indicators used in the assessment of the Central Zone abalone fishery. LML = Legal Minimum Length.</w:t>
        </w:r>
        <w:r w:rsidR="00611807">
          <w:rPr>
            <w:noProof/>
            <w:webHidden/>
          </w:rPr>
          <w:tab/>
        </w:r>
        <w:r w:rsidR="00611807">
          <w:rPr>
            <w:noProof/>
            <w:webHidden/>
          </w:rPr>
          <w:fldChar w:fldCharType="begin"/>
        </w:r>
        <w:r w:rsidR="00611807">
          <w:rPr>
            <w:noProof/>
            <w:webHidden/>
          </w:rPr>
          <w:instrText xml:space="preserve"> PAGEREF _Toc192762269 \h </w:instrText>
        </w:r>
        <w:r w:rsidR="00611807">
          <w:rPr>
            <w:noProof/>
            <w:webHidden/>
          </w:rPr>
        </w:r>
        <w:r w:rsidR="00611807">
          <w:rPr>
            <w:noProof/>
            <w:webHidden/>
          </w:rPr>
          <w:fldChar w:fldCharType="separate"/>
        </w:r>
        <w:r w:rsidR="00EE76A5">
          <w:rPr>
            <w:noProof/>
            <w:webHidden/>
          </w:rPr>
          <w:t>8</w:t>
        </w:r>
        <w:r w:rsidR="00611807">
          <w:rPr>
            <w:noProof/>
            <w:webHidden/>
          </w:rPr>
          <w:fldChar w:fldCharType="end"/>
        </w:r>
      </w:hyperlink>
    </w:p>
    <w:p w14:paraId="63DC4373" w14:textId="18073DDE" w:rsidR="00611807"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62270" w:history="1">
        <w:r w:rsidR="00611807" w:rsidRPr="00546827">
          <w:rPr>
            <w:rStyle w:val="Hyperlink"/>
            <w:noProof/>
          </w:rPr>
          <w:t>Table 2: Assessment of zone wide performance measures. * Recruit and pre-recruit abundance data are for 2022/23</w:t>
        </w:r>
        <w:r w:rsidR="00611807">
          <w:rPr>
            <w:noProof/>
            <w:webHidden/>
          </w:rPr>
          <w:tab/>
        </w:r>
        <w:r w:rsidR="00611807">
          <w:rPr>
            <w:noProof/>
            <w:webHidden/>
          </w:rPr>
          <w:fldChar w:fldCharType="begin"/>
        </w:r>
        <w:r w:rsidR="00611807">
          <w:rPr>
            <w:noProof/>
            <w:webHidden/>
          </w:rPr>
          <w:instrText xml:space="preserve"> PAGEREF _Toc192762270 \h </w:instrText>
        </w:r>
        <w:r w:rsidR="00611807">
          <w:rPr>
            <w:noProof/>
            <w:webHidden/>
          </w:rPr>
        </w:r>
        <w:r w:rsidR="00611807">
          <w:rPr>
            <w:noProof/>
            <w:webHidden/>
          </w:rPr>
          <w:fldChar w:fldCharType="separate"/>
        </w:r>
        <w:r w:rsidR="00EE76A5">
          <w:rPr>
            <w:noProof/>
            <w:webHidden/>
          </w:rPr>
          <w:t>13</w:t>
        </w:r>
        <w:r w:rsidR="00611807">
          <w:rPr>
            <w:noProof/>
            <w:webHidden/>
          </w:rPr>
          <w:fldChar w:fldCharType="end"/>
        </w:r>
      </w:hyperlink>
    </w:p>
    <w:p w14:paraId="14147756" w14:textId="0909FABF" w:rsidR="00611807"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62271" w:history="1">
        <w:r w:rsidR="00611807" w:rsidRPr="00546827">
          <w:rPr>
            <w:rStyle w:val="Hyperlink"/>
            <w:noProof/>
          </w:rPr>
          <w:t>Table 3: Performance measures used in the assessment of the Central Zone abalone fishery at the SMU scale (Zone totals repeated for reference). OTs include carry-over TACC.</w:t>
        </w:r>
        <w:r w:rsidR="00611807">
          <w:rPr>
            <w:noProof/>
            <w:webHidden/>
          </w:rPr>
          <w:tab/>
        </w:r>
        <w:r w:rsidR="00611807">
          <w:rPr>
            <w:noProof/>
            <w:webHidden/>
          </w:rPr>
          <w:fldChar w:fldCharType="begin"/>
        </w:r>
        <w:r w:rsidR="00611807">
          <w:rPr>
            <w:noProof/>
            <w:webHidden/>
          </w:rPr>
          <w:instrText xml:space="preserve"> PAGEREF _Toc192762271 \h </w:instrText>
        </w:r>
        <w:r w:rsidR="00611807">
          <w:rPr>
            <w:noProof/>
            <w:webHidden/>
          </w:rPr>
        </w:r>
        <w:r w:rsidR="00611807">
          <w:rPr>
            <w:noProof/>
            <w:webHidden/>
          </w:rPr>
          <w:fldChar w:fldCharType="separate"/>
        </w:r>
        <w:r w:rsidR="00EE76A5">
          <w:rPr>
            <w:noProof/>
            <w:webHidden/>
          </w:rPr>
          <w:t>14</w:t>
        </w:r>
        <w:r w:rsidR="00611807">
          <w:rPr>
            <w:noProof/>
            <w:webHidden/>
          </w:rPr>
          <w:fldChar w:fldCharType="end"/>
        </w:r>
      </w:hyperlink>
    </w:p>
    <w:p w14:paraId="7032C893" w14:textId="167C52B4" w:rsidR="00611807"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62272" w:history="1">
        <w:r w:rsidR="00611807" w:rsidRPr="00546827">
          <w:rPr>
            <w:rStyle w:val="Hyperlink"/>
            <w:noProof/>
          </w:rPr>
          <w:t>Table 4: Standardised reference points for Central Zone SMUs, standardised mean annual CPUE from 2018- 2023 and catch control rules (CCR).</w:t>
        </w:r>
        <w:r w:rsidR="00611807">
          <w:rPr>
            <w:noProof/>
            <w:webHidden/>
          </w:rPr>
          <w:tab/>
        </w:r>
        <w:r w:rsidR="00611807">
          <w:rPr>
            <w:noProof/>
            <w:webHidden/>
          </w:rPr>
          <w:fldChar w:fldCharType="begin"/>
        </w:r>
        <w:r w:rsidR="00611807">
          <w:rPr>
            <w:noProof/>
            <w:webHidden/>
          </w:rPr>
          <w:instrText xml:space="preserve"> PAGEREF _Toc192762272 \h </w:instrText>
        </w:r>
        <w:r w:rsidR="00611807">
          <w:rPr>
            <w:noProof/>
            <w:webHidden/>
          </w:rPr>
        </w:r>
        <w:r w:rsidR="00611807">
          <w:rPr>
            <w:noProof/>
            <w:webHidden/>
          </w:rPr>
          <w:fldChar w:fldCharType="separate"/>
        </w:r>
        <w:r w:rsidR="00EE76A5">
          <w:rPr>
            <w:noProof/>
            <w:webHidden/>
          </w:rPr>
          <w:t>16</w:t>
        </w:r>
        <w:r w:rsidR="00611807">
          <w:rPr>
            <w:noProof/>
            <w:webHidden/>
          </w:rPr>
          <w:fldChar w:fldCharType="end"/>
        </w:r>
      </w:hyperlink>
    </w:p>
    <w:p w14:paraId="6745A14B" w14:textId="7B9EE4CC" w:rsidR="00611807"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62273" w:history="1">
        <w:r w:rsidR="00611807" w:rsidRPr="00546827">
          <w:rPr>
            <w:rStyle w:val="Hyperlink"/>
            <w:noProof/>
          </w:rPr>
          <w:t>Table 5: Draft Harvest Strategy results (standardised reference points) for Central Zone SMUs with suggested target catch ranges.</w:t>
        </w:r>
        <w:r w:rsidR="00611807">
          <w:rPr>
            <w:noProof/>
            <w:webHidden/>
          </w:rPr>
          <w:tab/>
        </w:r>
        <w:r w:rsidR="00611807">
          <w:rPr>
            <w:noProof/>
            <w:webHidden/>
          </w:rPr>
          <w:fldChar w:fldCharType="begin"/>
        </w:r>
        <w:r w:rsidR="00611807">
          <w:rPr>
            <w:noProof/>
            <w:webHidden/>
          </w:rPr>
          <w:instrText xml:space="preserve"> PAGEREF _Toc192762273 \h </w:instrText>
        </w:r>
        <w:r w:rsidR="00611807">
          <w:rPr>
            <w:noProof/>
            <w:webHidden/>
          </w:rPr>
        </w:r>
        <w:r w:rsidR="00611807">
          <w:rPr>
            <w:noProof/>
            <w:webHidden/>
          </w:rPr>
          <w:fldChar w:fldCharType="separate"/>
        </w:r>
        <w:r w:rsidR="00EE76A5">
          <w:rPr>
            <w:noProof/>
            <w:webHidden/>
          </w:rPr>
          <w:t>16</w:t>
        </w:r>
        <w:r w:rsidR="00611807">
          <w:rPr>
            <w:noProof/>
            <w:webHidden/>
          </w:rPr>
          <w:fldChar w:fldCharType="end"/>
        </w:r>
      </w:hyperlink>
    </w:p>
    <w:p w14:paraId="754997AE" w14:textId="6C3D9657" w:rsidR="00611807"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62274" w:history="1">
        <w:r w:rsidR="00611807" w:rsidRPr="00546827">
          <w:rPr>
            <w:rStyle w:val="Hyperlink"/>
            <w:noProof/>
          </w:rPr>
          <w:t>Table 6: Nominal reference points (VFA 2019b) for Central Zone SMUs, standardised mean annual CPUE from 2018- 2023 and catch control rules (CCR).</w:t>
        </w:r>
        <w:r w:rsidR="00611807">
          <w:rPr>
            <w:noProof/>
            <w:webHidden/>
          </w:rPr>
          <w:tab/>
        </w:r>
        <w:r w:rsidR="00611807">
          <w:rPr>
            <w:noProof/>
            <w:webHidden/>
          </w:rPr>
          <w:fldChar w:fldCharType="begin"/>
        </w:r>
        <w:r w:rsidR="00611807">
          <w:rPr>
            <w:noProof/>
            <w:webHidden/>
          </w:rPr>
          <w:instrText xml:space="preserve"> PAGEREF _Toc192762274 \h </w:instrText>
        </w:r>
        <w:r w:rsidR="00611807">
          <w:rPr>
            <w:noProof/>
            <w:webHidden/>
          </w:rPr>
        </w:r>
        <w:r w:rsidR="00611807">
          <w:rPr>
            <w:noProof/>
            <w:webHidden/>
          </w:rPr>
          <w:fldChar w:fldCharType="separate"/>
        </w:r>
        <w:r w:rsidR="00EE76A5">
          <w:rPr>
            <w:noProof/>
            <w:webHidden/>
          </w:rPr>
          <w:t>17</w:t>
        </w:r>
        <w:r w:rsidR="00611807">
          <w:rPr>
            <w:noProof/>
            <w:webHidden/>
          </w:rPr>
          <w:fldChar w:fldCharType="end"/>
        </w:r>
      </w:hyperlink>
    </w:p>
    <w:p w14:paraId="234CDB75" w14:textId="2DE7CF31" w:rsidR="00611807"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62275" w:history="1">
        <w:r w:rsidR="00611807" w:rsidRPr="00546827">
          <w:rPr>
            <w:rStyle w:val="Hyperlink"/>
            <w:noProof/>
          </w:rPr>
          <w:t>Table 7: Draft Harvest Strategy results (nominal reference points) for Central Zone SMUs, with suggested target catch ranges.</w:t>
        </w:r>
        <w:r w:rsidR="00611807">
          <w:rPr>
            <w:noProof/>
            <w:webHidden/>
          </w:rPr>
          <w:tab/>
        </w:r>
        <w:r w:rsidR="00611807">
          <w:rPr>
            <w:noProof/>
            <w:webHidden/>
          </w:rPr>
          <w:fldChar w:fldCharType="begin"/>
        </w:r>
        <w:r w:rsidR="00611807">
          <w:rPr>
            <w:noProof/>
            <w:webHidden/>
          </w:rPr>
          <w:instrText xml:space="preserve"> PAGEREF _Toc192762275 \h </w:instrText>
        </w:r>
        <w:r w:rsidR="00611807">
          <w:rPr>
            <w:noProof/>
            <w:webHidden/>
          </w:rPr>
        </w:r>
        <w:r w:rsidR="00611807">
          <w:rPr>
            <w:noProof/>
            <w:webHidden/>
          </w:rPr>
          <w:fldChar w:fldCharType="separate"/>
        </w:r>
        <w:r w:rsidR="00EE76A5">
          <w:rPr>
            <w:noProof/>
            <w:webHidden/>
          </w:rPr>
          <w:t>17</w:t>
        </w:r>
        <w:r w:rsidR="00611807">
          <w:rPr>
            <w:noProof/>
            <w:webHidden/>
          </w:rPr>
          <w:fldChar w:fldCharType="end"/>
        </w:r>
      </w:hyperlink>
    </w:p>
    <w:p w14:paraId="568BEB0C" w14:textId="10E355C3" w:rsidR="00611807"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62276" w:history="1">
        <w:r w:rsidR="00611807" w:rsidRPr="00546827">
          <w:rPr>
            <w:rStyle w:val="Hyperlink"/>
            <w:noProof/>
          </w:rPr>
          <w:t>Table 8: Summary of Catch, Optimal targets and CPUE performance indicators for the Cape Otway SMU. The LML and nominal mean daily catch are also shown.</w:t>
        </w:r>
        <w:r w:rsidR="00611807">
          <w:rPr>
            <w:noProof/>
            <w:webHidden/>
          </w:rPr>
          <w:tab/>
        </w:r>
        <w:r w:rsidR="00611807">
          <w:rPr>
            <w:noProof/>
            <w:webHidden/>
          </w:rPr>
          <w:fldChar w:fldCharType="begin"/>
        </w:r>
        <w:r w:rsidR="00611807">
          <w:rPr>
            <w:noProof/>
            <w:webHidden/>
          </w:rPr>
          <w:instrText xml:space="preserve"> PAGEREF _Toc192762276 \h </w:instrText>
        </w:r>
        <w:r w:rsidR="00611807">
          <w:rPr>
            <w:noProof/>
            <w:webHidden/>
          </w:rPr>
        </w:r>
        <w:r w:rsidR="00611807">
          <w:rPr>
            <w:noProof/>
            <w:webHidden/>
          </w:rPr>
          <w:fldChar w:fldCharType="separate"/>
        </w:r>
        <w:r w:rsidR="00EE76A5">
          <w:rPr>
            <w:noProof/>
            <w:webHidden/>
          </w:rPr>
          <w:t>18</w:t>
        </w:r>
        <w:r w:rsidR="00611807">
          <w:rPr>
            <w:noProof/>
            <w:webHidden/>
          </w:rPr>
          <w:fldChar w:fldCharType="end"/>
        </w:r>
      </w:hyperlink>
    </w:p>
    <w:p w14:paraId="50C51981" w14:textId="361BC847" w:rsidR="00611807"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62277" w:history="1">
        <w:r w:rsidR="00611807" w:rsidRPr="00546827">
          <w:rPr>
            <w:rStyle w:val="Hyperlink"/>
            <w:noProof/>
          </w:rPr>
          <w:t>Table 9: Catches (kg) by reefcode for the Cape Otway SMU from 2018/19 to 2023/24 and the five-year average catch from 2018/19 to 2022/23.</w:t>
        </w:r>
        <w:r w:rsidR="00611807">
          <w:rPr>
            <w:noProof/>
            <w:webHidden/>
          </w:rPr>
          <w:tab/>
        </w:r>
        <w:r w:rsidR="00611807">
          <w:rPr>
            <w:noProof/>
            <w:webHidden/>
          </w:rPr>
          <w:fldChar w:fldCharType="begin"/>
        </w:r>
        <w:r w:rsidR="00611807">
          <w:rPr>
            <w:noProof/>
            <w:webHidden/>
          </w:rPr>
          <w:instrText xml:space="preserve"> PAGEREF _Toc192762277 \h </w:instrText>
        </w:r>
        <w:r w:rsidR="00611807">
          <w:rPr>
            <w:noProof/>
            <w:webHidden/>
          </w:rPr>
        </w:r>
        <w:r w:rsidR="00611807">
          <w:rPr>
            <w:noProof/>
            <w:webHidden/>
          </w:rPr>
          <w:fldChar w:fldCharType="separate"/>
        </w:r>
        <w:r w:rsidR="00EE76A5">
          <w:rPr>
            <w:noProof/>
            <w:webHidden/>
          </w:rPr>
          <w:t>20</w:t>
        </w:r>
        <w:r w:rsidR="00611807">
          <w:rPr>
            <w:noProof/>
            <w:webHidden/>
          </w:rPr>
          <w:fldChar w:fldCharType="end"/>
        </w:r>
      </w:hyperlink>
    </w:p>
    <w:p w14:paraId="34704427" w14:textId="26997F2E" w:rsidR="00611807"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62278" w:history="1">
        <w:r w:rsidR="00611807" w:rsidRPr="00546827">
          <w:rPr>
            <w:rStyle w:val="Hyperlink"/>
            <w:noProof/>
          </w:rPr>
          <w:t>Table 10: Summary of Catch, Optimal targets and CPUE performance indicators for the Back Beaches SMU. The LML and mean daily catch are also shown.</w:t>
        </w:r>
        <w:r w:rsidR="00611807">
          <w:rPr>
            <w:noProof/>
            <w:webHidden/>
          </w:rPr>
          <w:tab/>
        </w:r>
        <w:r w:rsidR="00611807">
          <w:rPr>
            <w:noProof/>
            <w:webHidden/>
          </w:rPr>
          <w:fldChar w:fldCharType="begin"/>
        </w:r>
        <w:r w:rsidR="00611807">
          <w:rPr>
            <w:noProof/>
            <w:webHidden/>
          </w:rPr>
          <w:instrText xml:space="preserve"> PAGEREF _Toc192762278 \h </w:instrText>
        </w:r>
        <w:r w:rsidR="00611807">
          <w:rPr>
            <w:noProof/>
            <w:webHidden/>
          </w:rPr>
        </w:r>
        <w:r w:rsidR="00611807">
          <w:rPr>
            <w:noProof/>
            <w:webHidden/>
          </w:rPr>
          <w:fldChar w:fldCharType="separate"/>
        </w:r>
        <w:r w:rsidR="00EE76A5">
          <w:rPr>
            <w:noProof/>
            <w:webHidden/>
          </w:rPr>
          <w:t>22</w:t>
        </w:r>
        <w:r w:rsidR="00611807">
          <w:rPr>
            <w:noProof/>
            <w:webHidden/>
          </w:rPr>
          <w:fldChar w:fldCharType="end"/>
        </w:r>
      </w:hyperlink>
    </w:p>
    <w:p w14:paraId="51F36149" w14:textId="3E4E97FC" w:rsidR="00611807"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62279" w:history="1">
        <w:r w:rsidR="00611807" w:rsidRPr="00546827">
          <w:rPr>
            <w:rStyle w:val="Hyperlink"/>
            <w:noProof/>
          </w:rPr>
          <w:t>Table 11: Catches (kg) by reefcode for the Back Beaches SMU from 2018/19 to 2023/24 and the five-year average catch from 2018/19 to 2022/23.*</w:t>
        </w:r>
        <w:r w:rsidR="00611807">
          <w:rPr>
            <w:noProof/>
            <w:webHidden/>
          </w:rPr>
          <w:tab/>
        </w:r>
        <w:r w:rsidR="00611807">
          <w:rPr>
            <w:noProof/>
            <w:webHidden/>
          </w:rPr>
          <w:fldChar w:fldCharType="begin"/>
        </w:r>
        <w:r w:rsidR="00611807">
          <w:rPr>
            <w:noProof/>
            <w:webHidden/>
          </w:rPr>
          <w:instrText xml:space="preserve"> PAGEREF _Toc192762279 \h </w:instrText>
        </w:r>
        <w:r w:rsidR="00611807">
          <w:rPr>
            <w:noProof/>
            <w:webHidden/>
          </w:rPr>
        </w:r>
        <w:r w:rsidR="00611807">
          <w:rPr>
            <w:noProof/>
            <w:webHidden/>
          </w:rPr>
          <w:fldChar w:fldCharType="separate"/>
        </w:r>
        <w:r w:rsidR="00EE76A5">
          <w:rPr>
            <w:noProof/>
            <w:webHidden/>
          </w:rPr>
          <w:t>24</w:t>
        </w:r>
        <w:r w:rsidR="00611807">
          <w:rPr>
            <w:noProof/>
            <w:webHidden/>
          </w:rPr>
          <w:fldChar w:fldCharType="end"/>
        </w:r>
      </w:hyperlink>
    </w:p>
    <w:p w14:paraId="00E8148D" w14:textId="1BA5AC80" w:rsidR="00611807"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62280" w:history="1">
        <w:r w:rsidR="00611807" w:rsidRPr="00546827">
          <w:rPr>
            <w:rStyle w:val="Hyperlink"/>
            <w:noProof/>
          </w:rPr>
          <w:t>Table 12: Summary of Catch, Optimal targets and CPUE performance indicators for the Phillip Island SMU. The LML and mean daily catch are also shown.</w:t>
        </w:r>
        <w:r w:rsidR="00611807">
          <w:rPr>
            <w:noProof/>
            <w:webHidden/>
          </w:rPr>
          <w:tab/>
        </w:r>
        <w:r w:rsidR="00611807">
          <w:rPr>
            <w:noProof/>
            <w:webHidden/>
          </w:rPr>
          <w:fldChar w:fldCharType="begin"/>
        </w:r>
        <w:r w:rsidR="00611807">
          <w:rPr>
            <w:noProof/>
            <w:webHidden/>
          </w:rPr>
          <w:instrText xml:space="preserve"> PAGEREF _Toc192762280 \h </w:instrText>
        </w:r>
        <w:r w:rsidR="00611807">
          <w:rPr>
            <w:noProof/>
            <w:webHidden/>
          </w:rPr>
        </w:r>
        <w:r w:rsidR="00611807">
          <w:rPr>
            <w:noProof/>
            <w:webHidden/>
          </w:rPr>
          <w:fldChar w:fldCharType="separate"/>
        </w:r>
        <w:r w:rsidR="00EE76A5">
          <w:rPr>
            <w:noProof/>
            <w:webHidden/>
          </w:rPr>
          <w:t>26</w:t>
        </w:r>
        <w:r w:rsidR="00611807">
          <w:rPr>
            <w:noProof/>
            <w:webHidden/>
          </w:rPr>
          <w:fldChar w:fldCharType="end"/>
        </w:r>
      </w:hyperlink>
    </w:p>
    <w:p w14:paraId="62690F55" w14:textId="0AC14B8C" w:rsidR="00611807"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62281" w:history="1">
        <w:r w:rsidR="00611807" w:rsidRPr="00546827">
          <w:rPr>
            <w:rStyle w:val="Hyperlink"/>
            <w:noProof/>
          </w:rPr>
          <w:t>Table 13: Catches (kg) by reefcode for the Phillip Island SMU from 2018/19 to 2023/24 and the five-year average catch from 2018/19 to 2022/23.</w:t>
        </w:r>
        <w:r w:rsidR="00611807">
          <w:rPr>
            <w:noProof/>
            <w:webHidden/>
          </w:rPr>
          <w:tab/>
        </w:r>
        <w:r w:rsidR="00611807">
          <w:rPr>
            <w:noProof/>
            <w:webHidden/>
          </w:rPr>
          <w:fldChar w:fldCharType="begin"/>
        </w:r>
        <w:r w:rsidR="00611807">
          <w:rPr>
            <w:noProof/>
            <w:webHidden/>
          </w:rPr>
          <w:instrText xml:space="preserve"> PAGEREF _Toc192762281 \h </w:instrText>
        </w:r>
        <w:r w:rsidR="00611807">
          <w:rPr>
            <w:noProof/>
            <w:webHidden/>
          </w:rPr>
        </w:r>
        <w:r w:rsidR="00611807">
          <w:rPr>
            <w:noProof/>
            <w:webHidden/>
          </w:rPr>
          <w:fldChar w:fldCharType="separate"/>
        </w:r>
        <w:r w:rsidR="00EE76A5">
          <w:rPr>
            <w:noProof/>
            <w:webHidden/>
          </w:rPr>
          <w:t>28</w:t>
        </w:r>
        <w:r w:rsidR="00611807">
          <w:rPr>
            <w:noProof/>
            <w:webHidden/>
          </w:rPr>
          <w:fldChar w:fldCharType="end"/>
        </w:r>
      </w:hyperlink>
    </w:p>
    <w:p w14:paraId="737E0CDD" w14:textId="1191CAD0" w:rsidR="00611807"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62282" w:history="1">
        <w:r w:rsidR="00611807" w:rsidRPr="00546827">
          <w:rPr>
            <w:rStyle w:val="Hyperlink"/>
            <w:noProof/>
          </w:rPr>
          <w:t>Table 14: Summary of Catch, Optimal targets and CPUE performance indicators for the Shipwreck Coast SMU. The LML and mean daily catch are also shown.</w:t>
        </w:r>
        <w:r w:rsidR="00611807">
          <w:rPr>
            <w:noProof/>
            <w:webHidden/>
          </w:rPr>
          <w:tab/>
        </w:r>
        <w:r w:rsidR="00611807">
          <w:rPr>
            <w:noProof/>
            <w:webHidden/>
          </w:rPr>
          <w:fldChar w:fldCharType="begin"/>
        </w:r>
        <w:r w:rsidR="00611807">
          <w:rPr>
            <w:noProof/>
            <w:webHidden/>
          </w:rPr>
          <w:instrText xml:space="preserve"> PAGEREF _Toc192762282 \h </w:instrText>
        </w:r>
        <w:r w:rsidR="00611807">
          <w:rPr>
            <w:noProof/>
            <w:webHidden/>
          </w:rPr>
        </w:r>
        <w:r w:rsidR="00611807">
          <w:rPr>
            <w:noProof/>
            <w:webHidden/>
          </w:rPr>
          <w:fldChar w:fldCharType="separate"/>
        </w:r>
        <w:r w:rsidR="00EE76A5">
          <w:rPr>
            <w:noProof/>
            <w:webHidden/>
          </w:rPr>
          <w:t>30</w:t>
        </w:r>
        <w:r w:rsidR="00611807">
          <w:rPr>
            <w:noProof/>
            <w:webHidden/>
          </w:rPr>
          <w:fldChar w:fldCharType="end"/>
        </w:r>
      </w:hyperlink>
    </w:p>
    <w:p w14:paraId="45C06F8C" w14:textId="230D9326" w:rsidR="00611807"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62283" w:history="1">
        <w:r w:rsidR="00611807" w:rsidRPr="00546827">
          <w:rPr>
            <w:rStyle w:val="Hyperlink"/>
            <w:noProof/>
          </w:rPr>
          <w:t>Table 15: Catches (kg) by reefcode for the Shipwreck Coast SMU from 2018/19 to 2023/24 and the five-year average catch from 2018/19 to 2022/23.</w:t>
        </w:r>
        <w:r w:rsidR="00611807">
          <w:rPr>
            <w:noProof/>
            <w:webHidden/>
          </w:rPr>
          <w:tab/>
        </w:r>
        <w:r w:rsidR="00611807">
          <w:rPr>
            <w:noProof/>
            <w:webHidden/>
          </w:rPr>
          <w:fldChar w:fldCharType="begin"/>
        </w:r>
        <w:r w:rsidR="00611807">
          <w:rPr>
            <w:noProof/>
            <w:webHidden/>
          </w:rPr>
          <w:instrText xml:space="preserve"> PAGEREF _Toc192762283 \h </w:instrText>
        </w:r>
        <w:r w:rsidR="00611807">
          <w:rPr>
            <w:noProof/>
            <w:webHidden/>
          </w:rPr>
        </w:r>
        <w:r w:rsidR="00611807">
          <w:rPr>
            <w:noProof/>
            <w:webHidden/>
          </w:rPr>
          <w:fldChar w:fldCharType="separate"/>
        </w:r>
        <w:r w:rsidR="00EE76A5">
          <w:rPr>
            <w:noProof/>
            <w:webHidden/>
          </w:rPr>
          <w:t>32</w:t>
        </w:r>
        <w:r w:rsidR="00611807">
          <w:rPr>
            <w:noProof/>
            <w:webHidden/>
          </w:rPr>
          <w:fldChar w:fldCharType="end"/>
        </w:r>
      </w:hyperlink>
    </w:p>
    <w:p w14:paraId="0284320B" w14:textId="666C1B60" w:rsidR="00611807"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62284" w:history="1">
        <w:r w:rsidR="00611807" w:rsidRPr="00546827">
          <w:rPr>
            <w:rStyle w:val="Hyperlink"/>
            <w:noProof/>
          </w:rPr>
          <w:t>Table 16: Summary of Catch, Optimal targets and performance indicators for the Prom Westside SMU. The LML and mean daily catch are also shown.</w:t>
        </w:r>
        <w:r w:rsidR="00611807">
          <w:rPr>
            <w:noProof/>
            <w:webHidden/>
          </w:rPr>
          <w:tab/>
        </w:r>
        <w:r w:rsidR="00611807">
          <w:rPr>
            <w:noProof/>
            <w:webHidden/>
          </w:rPr>
          <w:fldChar w:fldCharType="begin"/>
        </w:r>
        <w:r w:rsidR="00611807">
          <w:rPr>
            <w:noProof/>
            <w:webHidden/>
          </w:rPr>
          <w:instrText xml:space="preserve"> PAGEREF _Toc192762284 \h </w:instrText>
        </w:r>
        <w:r w:rsidR="00611807">
          <w:rPr>
            <w:noProof/>
            <w:webHidden/>
          </w:rPr>
        </w:r>
        <w:r w:rsidR="00611807">
          <w:rPr>
            <w:noProof/>
            <w:webHidden/>
          </w:rPr>
          <w:fldChar w:fldCharType="separate"/>
        </w:r>
        <w:r w:rsidR="00EE76A5">
          <w:rPr>
            <w:noProof/>
            <w:webHidden/>
          </w:rPr>
          <w:t>34</w:t>
        </w:r>
        <w:r w:rsidR="00611807">
          <w:rPr>
            <w:noProof/>
            <w:webHidden/>
          </w:rPr>
          <w:fldChar w:fldCharType="end"/>
        </w:r>
      </w:hyperlink>
    </w:p>
    <w:p w14:paraId="24807DDB" w14:textId="60D0659D" w:rsidR="00611807"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62285" w:history="1">
        <w:r w:rsidR="00611807" w:rsidRPr="00546827">
          <w:rPr>
            <w:rStyle w:val="Hyperlink"/>
            <w:noProof/>
          </w:rPr>
          <w:t>Table 17: Catches (kg) by reefcode for the Prom Westside SMU from 2018/19 to 2023/24 and the five-year average catch from 2018/19 to 2022/23.</w:t>
        </w:r>
        <w:r w:rsidR="00611807">
          <w:rPr>
            <w:noProof/>
            <w:webHidden/>
          </w:rPr>
          <w:tab/>
        </w:r>
        <w:r w:rsidR="00611807">
          <w:rPr>
            <w:noProof/>
            <w:webHidden/>
          </w:rPr>
          <w:fldChar w:fldCharType="begin"/>
        </w:r>
        <w:r w:rsidR="00611807">
          <w:rPr>
            <w:noProof/>
            <w:webHidden/>
          </w:rPr>
          <w:instrText xml:space="preserve"> PAGEREF _Toc192762285 \h </w:instrText>
        </w:r>
        <w:r w:rsidR="00611807">
          <w:rPr>
            <w:noProof/>
            <w:webHidden/>
          </w:rPr>
        </w:r>
        <w:r w:rsidR="00611807">
          <w:rPr>
            <w:noProof/>
            <w:webHidden/>
          </w:rPr>
          <w:fldChar w:fldCharType="separate"/>
        </w:r>
        <w:r w:rsidR="00EE76A5">
          <w:rPr>
            <w:noProof/>
            <w:webHidden/>
          </w:rPr>
          <w:t>36</w:t>
        </w:r>
        <w:r w:rsidR="00611807">
          <w:rPr>
            <w:noProof/>
            <w:webHidden/>
          </w:rPr>
          <w:fldChar w:fldCharType="end"/>
        </w:r>
      </w:hyperlink>
    </w:p>
    <w:p w14:paraId="7068F454" w14:textId="19597315" w:rsidR="00611807"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62286" w:history="1">
        <w:r w:rsidR="00611807" w:rsidRPr="00546827">
          <w:rPr>
            <w:rStyle w:val="Hyperlink"/>
            <w:noProof/>
          </w:rPr>
          <w:t>Table 18: Summary of Catch, Optimal targets and CPUE performance indicators for the Flinders SMU. The LML and mean daily catch are also shown.</w:t>
        </w:r>
        <w:r w:rsidR="00611807">
          <w:rPr>
            <w:noProof/>
            <w:webHidden/>
          </w:rPr>
          <w:tab/>
        </w:r>
        <w:r w:rsidR="00611807">
          <w:rPr>
            <w:noProof/>
            <w:webHidden/>
          </w:rPr>
          <w:fldChar w:fldCharType="begin"/>
        </w:r>
        <w:r w:rsidR="00611807">
          <w:rPr>
            <w:noProof/>
            <w:webHidden/>
          </w:rPr>
          <w:instrText xml:space="preserve"> PAGEREF _Toc192762286 \h </w:instrText>
        </w:r>
        <w:r w:rsidR="00611807">
          <w:rPr>
            <w:noProof/>
            <w:webHidden/>
          </w:rPr>
        </w:r>
        <w:r w:rsidR="00611807">
          <w:rPr>
            <w:noProof/>
            <w:webHidden/>
          </w:rPr>
          <w:fldChar w:fldCharType="separate"/>
        </w:r>
        <w:r w:rsidR="00EE76A5">
          <w:rPr>
            <w:noProof/>
            <w:webHidden/>
          </w:rPr>
          <w:t>38</w:t>
        </w:r>
        <w:r w:rsidR="00611807">
          <w:rPr>
            <w:noProof/>
            <w:webHidden/>
          </w:rPr>
          <w:fldChar w:fldCharType="end"/>
        </w:r>
      </w:hyperlink>
    </w:p>
    <w:p w14:paraId="05722D16" w14:textId="07BDC266" w:rsidR="00611807"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62287" w:history="1">
        <w:r w:rsidR="00611807" w:rsidRPr="00546827">
          <w:rPr>
            <w:rStyle w:val="Hyperlink"/>
            <w:noProof/>
          </w:rPr>
          <w:t>Table 19: Catches (kg) by reefcode for the Flinders SMU from 2018/19 to 2023/24 and the five-year average catch from 2018/19 to 2022/23.</w:t>
        </w:r>
        <w:r w:rsidR="00611807">
          <w:rPr>
            <w:noProof/>
            <w:webHidden/>
          </w:rPr>
          <w:tab/>
        </w:r>
        <w:r w:rsidR="00611807">
          <w:rPr>
            <w:noProof/>
            <w:webHidden/>
          </w:rPr>
          <w:fldChar w:fldCharType="begin"/>
        </w:r>
        <w:r w:rsidR="00611807">
          <w:rPr>
            <w:noProof/>
            <w:webHidden/>
          </w:rPr>
          <w:instrText xml:space="preserve"> PAGEREF _Toc192762287 \h </w:instrText>
        </w:r>
        <w:r w:rsidR="00611807">
          <w:rPr>
            <w:noProof/>
            <w:webHidden/>
          </w:rPr>
        </w:r>
        <w:r w:rsidR="00611807">
          <w:rPr>
            <w:noProof/>
            <w:webHidden/>
          </w:rPr>
          <w:fldChar w:fldCharType="separate"/>
        </w:r>
        <w:r w:rsidR="00EE76A5">
          <w:rPr>
            <w:noProof/>
            <w:webHidden/>
          </w:rPr>
          <w:t>40</w:t>
        </w:r>
        <w:r w:rsidR="00611807">
          <w:rPr>
            <w:noProof/>
            <w:webHidden/>
          </w:rPr>
          <w:fldChar w:fldCharType="end"/>
        </w:r>
      </w:hyperlink>
    </w:p>
    <w:p w14:paraId="08384E22" w14:textId="06528C6D" w:rsidR="00611807"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62288" w:history="1">
        <w:r w:rsidR="00611807" w:rsidRPr="00546827">
          <w:rPr>
            <w:rStyle w:val="Hyperlink"/>
            <w:noProof/>
          </w:rPr>
          <w:t>Table 20: Summary of Catch, Optimal targets and CPUE performance indicators for the Kilcunda SMU. The LML and mean daily catch are also shown.</w:t>
        </w:r>
        <w:r w:rsidR="00611807">
          <w:rPr>
            <w:noProof/>
            <w:webHidden/>
          </w:rPr>
          <w:tab/>
        </w:r>
        <w:r w:rsidR="00611807">
          <w:rPr>
            <w:noProof/>
            <w:webHidden/>
          </w:rPr>
          <w:fldChar w:fldCharType="begin"/>
        </w:r>
        <w:r w:rsidR="00611807">
          <w:rPr>
            <w:noProof/>
            <w:webHidden/>
          </w:rPr>
          <w:instrText xml:space="preserve"> PAGEREF _Toc192762288 \h </w:instrText>
        </w:r>
        <w:r w:rsidR="00611807">
          <w:rPr>
            <w:noProof/>
            <w:webHidden/>
          </w:rPr>
        </w:r>
        <w:r w:rsidR="00611807">
          <w:rPr>
            <w:noProof/>
            <w:webHidden/>
          </w:rPr>
          <w:fldChar w:fldCharType="separate"/>
        </w:r>
        <w:r w:rsidR="00EE76A5">
          <w:rPr>
            <w:noProof/>
            <w:webHidden/>
          </w:rPr>
          <w:t>42</w:t>
        </w:r>
        <w:r w:rsidR="00611807">
          <w:rPr>
            <w:noProof/>
            <w:webHidden/>
          </w:rPr>
          <w:fldChar w:fldCharType="end"/>
        </w:r>
      </w:hyperlink>
    </w:p>
    <w:p w14:paraId="731A171C" w14:textId="20D0138F" w:rsidR="00611807"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62289" w:history="1">
        <w:r w:rsidR="00611807" w:rsidRPr="00546827">
          <w:rPr>
            <w:rStyle w:val="Hyperlink"/>
            <w:noProof/>
          </w:rPr>
          <w:t>Table 21: Catches (kg) by reefcode for the Kilcunda SMU from 2018/19 to 2023/24 and the five-year average catch from 2018/19 to 2022/23.</w:t>
        </w:r>
        <w:r w:rsidR="00611807">
          <w:rPr>
            <w:noProof/>
            <w:webHidden/>
          </w:rPr>
          <w:tab/>
        </w:r>
        <w:r w:rsidR="00611807">
          <w:rPr>
            <w:noProof/>
            <w:webHidden/>
          </w:rPr>
          <w:fldChar w:fldCharType="begin"/>
        </w:r>
        <w:r w:rsidR="00611807">
          <w:rPr>
            <w:noProof/>
            <w:webHidden/>
          </w:rPr>
          <w:instrText xml:space="preserve"> PAGEREF _Toc192762289 \h </w:instrText>
        </w:r>
        <w:r w:rsidR="00611807">
          <w:rPr>
            <w:noProof/>
            <w:webHidden/>
          </w:rPr>
        </w:r>
        <w:r w:rsidR="00611807">
          <w:rPr>
            <w:noProof/>
            <w:webHidden/>
          </w:rPr>
          <w:fldChar w:fldCharType="separate"/>
        </w:r>
        <w:r w:rsidR="00EE76A5">
          <w:rPr>
            <w:noProof/>
            <w:webHidden/>
          </w:rPr>
          <w:t>44</w:t>
        </w:r>
        <w:r w:rsidR="00611807">
          <w:rPr>
            <w:noProof/>
            <w:webHidden/>
          </w:rPr>
          <w:fldChar w:fldCharType="end"/>
        </w:r>
      </w:hyperlink>
    </w:p>
    <w:p w14:paraId="4AF5862E" w14:textId="17B1F98C" w:rsidR="00611807"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62290" w:history="1">
        <w:r w:rsidR="00611807" w:rsidRPr="00546827">
          <w:rPr>
            <w:rStyle w:val="Hyperlink"/>
            <w:noProof/>
          </w:rPr>
          <w:t>Table 22: Summary of Catch, Optimal targets and CPUE performance indicators for the Cape Liptrap SMU. The LML and mean daily catch are also shown.</w:t>
        </w:r>
        <w:r w:rsidR="00611807">
          <w:rPr>
            <w:noProof/>
            <w:webHidden/>
          </w:rPr>
          <w:tab/>
        </w:r>
        <w:r w:rsidR="00611807">
          <w:rPr>
            <w:noProof/>
            <w:webHidden/>
          </w:rPr>
          <w:fldChar w:fldCharType="begin"/>
        </w:r>
        <w:r w:rsidR="00611807">
          <w:rPr>
            <w:noProof/>
            <w:webHidden/>
          </w:rPr>
          <w:instrText xml:space="preserve"> PAGEREF _Toc192762290 \h </w:instrText>
        </w:r>
        <w:r w:rsidR="00611807">
          <w:rPr>
            <w:noProof/>
            <w:webHidden/>
          </w:rPr>
        </w:r>
        <w:r w:rsidR="00611807">
          <w:rPr>
            <w:noProof/>
            <w:webHidden/>
          </w:rPr>
          <w:fldChar w:fldCharType="separate"/>
        </w:r>
        <w:r w:rsidR="00EE76A5">
          <w:rPr>
            <w:noProof/>
            <w:webHidden/>
          </w:rPr>
          <w:t>45</w:t>
        </w:r>
        <w:r w:rsidR="00611807">
          <w:rPr>
            <w:noProof/>
            <w:webHidden/>
          </w:rPr>
          <w:fldChar w:fldCharType="end"/>
        </w:r>
      </w:hyperlink>
    </w:p>
    <w:p w14:paraId="48297A09" w14:textId="3C652FCB" w:rsidR="00611807"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62291" w:history="1">
        <w:r w:rsidR="00611807" w:rsidRPr="00546827">
          <w:rPr>
            <w:rStyle w:val="Hyperlink"/>
            <w:noProof/>
          </w:rPr>
          <w:t>Table 23: Catches (kg) by reefcode for the Cape Liptrap SMU from 2018/19 to 2023/24 and the five-year average catch from 2018/19 to 2022/23.</w:t>
        </w:r>
        <w:r w:rsidR="00611807">
          <w:rPr>
            <w:noProof/>
            <w:webHidden/>
          </w:rPr>
          <w:tab/>
        </w:r>
        <w:r w:rsidR="00611807">
          <w:rPr>
            <w:noProof/>
            <w:webHidden/>
          </w:rPr>
          <w:fldChar w:fldCharType="begin"/>
        </w:r>
        <w:r w:rsidR="00611807">
          <w:rPr>
            <w:noProof/>
            <w:webHidden/>
          </w:rPr>
          <w:instrText xml:space="preserve"> PAGEREF _Toc192762291 \h </w:instrText>
        </w:r>
        <w:r w:rsidR="00611807">
          <w:rPr>
            <w:noProof/>
            <w:webHidden/>
          </w:rPr>
        </w:r>
        <w:r w:rsidR="00611807">
          <w:rPr>
            <w:noProof/>
            <w:webHidden/>
          </w:rPr>
          <w:fldChar w:fldCharType="separate"/>
        </w:r>
        <w:r w:rsidR="00EE76A5">
          <w:rPr>
            <w:noProof/>
            <w:webHidden/>
          </w:rPr>
          <w:t>46</w:t>
        </w:r>
        <w:r w:rsidR="00611807">
          <w:rPr>
            <w:noProof/>
            <w:webHidden/>
          </w:rPr>
          <w:fldChar w:fldCharType="end"/>
        </w:r>
      </w:hyperlink>
    </w:p>
    <w:p w14:paraId="7A3B979D" w14:textId="1774B633" w:rsidR="00611807"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62292" w:history="1">
        <w:r w:rsidR="00611807" w:rsidRPr="00546827">
          <w:rPr>
            <w:rStyle w:val="Hyperlink"/>
            <w:noProof/>
          </w:rPr>
          <w:t>Table 24: Summary of Catch, Optimal targets and CPUE performance indicators for the Prom Eastside SMU. The LML and nominal mean daily catch are also shown.</w:t>
        </w:r>
        <w:r w:rsidR="00611807">
          <w:rPr>
            <w:noProof/>
            <w:webHidden/>
          </w:rPr>
          <w:tab/>
        </w:r>
        <w:r w:rsidR="00611807">
          <w:rPr>
            <w:noProof/>
            <w:webHidden/>
          </w:rPr>
          <w:fldChar w:fldCharType="begin"/>
        </w:r>
        <w:r w:rsidR="00611807">
          <w:rPr>
            <w:noProof/>
            <w:webHidden/>
          </w:rPr>
          <w:instrText xml:space="preserve"> PAGEREF _Toc192762292 \h </w:instrText>
        </w:r>
        <w:r w:rsidR="00611807">
          <w:rPr>
            <w:noProof/>
            <w:webHidden/>
          </w:rPr>
        </w:r>
        <w:r w:rsidR="00611807">
          <w:rPr>
            <w:noProof/>
            <w:webHidden/>
          </w:rPr>
          <w:fldChar w:fldCharType="separate"/>
        </w:r>
        <w:r w:rsidR="00EE76A5">
          <w:rPr>
            <w:noProof/>
            <w:webHidden/>
          </w:rPr>
          <w:t>47</w:t>
        </w:r>
        <w:r w:rsidR="00611807">
          <w:rPr>
            <w:noProof/>
            <w:webHidden/>
          </w:rPr>
          <w:fldChar w:fldCharType="end"/>
        </w:r>
      </w:hyperlink>
    </w:p>
    <w:p w14:paraId="5B3454E6" w14:textId="57BAFC6D" w:rsidR="00611807"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62293" w:history="1">
        <w:r w:rsidR="00611807" w:rsidRPr="00546827">
          <w:rPr>
            <w:rStyle w:val="Hyperlink"/>
            <w:noProof/>
          </w:rPr>
          <w:t>Table 25: Catches (kg) by reefcode for the Prom Eastside SMU from 2018/19 to 2023/24 and the five-year average catch from 2018/19 to 2022/23.</w:t>
        </w:r>
        <w:r w:rsidR="00611807">
          <w:rPr>
            <w:noProof/>
            <w:webHidden/>
          </w:rPr>
          <w:tab/>
        </w:r>
        <w:r w:rsidR="00611807">
          <w:rPr>
            <w:noProof/>
            <w:webHidden/>
          </w:rPr>
          <w:fldChar w:fldCharType="begin"/>
        </w:r>
        <w:r w:rsidR="00611807">
          <w:rPr>
            <w:noProof/>
            <w:webHidden/>
          </w:rPr>
          <w:instrText xml:space="preserve"> PAGEREF _Toc192762293 \h </w:instrText>
        </w:r>
        <w:r w:rsidR="00611807">
          <w:rPr>
            <w:noProof/>
            <w:webHidden/>
          </w:rPr>
        </w:r>
        <w:r w:rsidR="00611807">
          <w:rPr>
            <w:noProof/>
            <w:webHidden/>
          </w:rPr>
          <w:fldChar w:fldCharType="separate"/>
        </w:r>
        <w:r w:rsidR="00EE76A5">
          <w:rPr>
            <w:noProof/>
            <w:webHidden/>
          </w:rPr>
          <w:t>49</w:t>
        </w:r>
        <w:r w:rsidR="00611807">
          <w:rPr>
            <w:noProof/>
            <w:webHidden/>
          </w:rPr>
          <w:fldChar w:fldCharType="end"/>
        </w:r>
      </w:hyperlink>
    </w:p>
    <w:p w14:paraId="01A9E6EE" w14:textId="3FAF59C5" w:rsidR="00611807"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62294" w:history="1">
        <w:r w:rsidR="00611807" w:rsidRPr="00546827">
          <w:rPr>
            <w:rStyle w:val="Hyperlink"/>
            <w:noProof/>
          </w:rPr>
          <w:t>Table 26: Summary of Catch, Optimal targets and CPUE performance indicators for the Cliffy Group SMU. The LML and nominal mean daily catch are also shown.</w:t>
        </w:r>
        <w:r w:rsidR="00611807">
          <w:rPr>
            <w:noProof/>
            <w:webHidden/>
          </w:rPr>
          <w:tab/>
        </w:r>
        <w:r w:rsidR="00611807">
          <w:rPr>
            <w:noProof/>
            <w:webHidden/>
          </w:rPr>
          <w:fldChar w:fldCharType="begin"/>
        </w:r>
        <w:r w:rsidR="00611807">
          <w:rPr>
            <w:noProof/>
            <w:webHidden/>
          </w:rPr>
          <w:instrText xml:space="preserve"> PAGEREF _Toc192762294 \h </w:instrText>
        </w:r>
        <w:r w:rsidR="00611807">
          <w:rPr>
            <w:noProof/>
            <w:webHidden/>
          </w:rPr>
        </w:r>
        <w:r w:rsidR="00611807">
          <w:rPr>
            <w:noProof/>
            <w:webHidden/>
          </w:rPr>
          <w:fldChar w:fldCharType="separate"/>
        </w:r>
        <w:r w:rsidR="00EE76A5">
          <w:rPr>
            <w:noProof/>
            <w:webHidden/>
          </w:rPr>
          <w:t>50</w:t>
        </w:r>
        <w:r w:rsidR="00611807">
          <w:rPr>
            <w:noProof/>
            <w:webHidden/>
          </w:rPr>
          <w:fldChar w:fldCharType="end"/>
        </w:r>
      </w:hyperlink>
    </w:p>
    <w:p w14:paraId="6E0CF719" w14:textId="1CDDAF68" w:rsidR="00611807"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62295" w:history="1">
        <w:r w:rsidR="00611807" w:rsidRPr="00546827">
          <w:rPr>
            <w:rStyle w:val="Hyperlink"/>
            <w:noProof/>
          </w:rPr>
          <w:t>Table 27: Summary of Catch, Optimal targets and CPUE performance indicators for the Surf Coast SMU. The LML and nominal mean daily catch are also shown.</w:t>
        </w:r>
        <w:r w:rsidR="00611807">
          <w:rPr>
            <w:noProof/>
            <w:webHidden/>
          </w:rPr>
          <w:tab/>
        </w:r>
        <w:r w:rsidR="00611807">
          <w:rPr>
            <w:noProof/>
            <w:webHidden/>
          </w:rPr>
          <w:fldChar w:fldCharType="begin"/>
        </w:r>
        <w:r w:rsidR="00611807">
          <w:rPr>
            <w:noProof/>
            <w:webHidden/>
          </w:rPr>
          <w:instrText xml:space="preserve"> PAGEREF _Toc192762295 \h </w:instrText>
        </w:r>
        <w:r w:rsidR="00611807">
          <w:rPr>
            <w:noProof/>
            <w:webHidden/>
          </w:rPr>
        </w:r>
        <w:r w:rsidR="00611807">
          <w:rPr>
            <w:noProof/>
            <w:webHidden/>
          </w:rPr>
          <w:fldChar w:fldCharType="separate"/>
        </w:r>
        <w:r w:rsidR="00EE76A5">
          <w:rPr>
            <w:noProof/>
            <w:webHidden/>
          </w:rPr>
          <w:t>52</w:t>
        </w:r>
        <w:r w:rsidR="00611807">
          <w:rPr>
            <w:noProof/>
            <w:webHidden/>
          </w:rPr>
          <w:fldChar w:fldCharType="end"/>
        </w:r>
      </w:hyperlink>
    </w:p>
    <w:p w14:paraId="02707498" w14:textId="1159E944" w:rsidR="00611807"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62296" w:history="1">
        <w:r w:rsidR="00611807" w:rsidRPr="00546827">
          <w:rPr>
            <w:rStyle w:val="Hyperlink"/>
            <w:noProof/>
          </w:rPr>
          <w:t>Table 28: Catches (kg) by reefcode for the Surf Coast SMU from 2018/19 to 2023/24 and the five-year average catch from 2018/19 to 2022/23.</w:t>
        </w:r>
        <w:r w:rsidR="00611807">
          <w:rPr>
            <w:noProof/>
            <w:webHidden/>
          </w:rPr>
          <w:tab/>
        </w:r>
        <w:r w:rsidR="00611807">
          <w:rPr>
            <w:noProof/>
            <w:webHidden/>
          </w:rPr>
          <w:fldChar w:fldCharType="begin"/>
        </w:r>
        <w:r w:rsidR="00611807">
          <w:rPr>
            <w:noProof/>
            <w:webHidden/>
          </w:rPr>
          <w:instrText xml:space="preserve"> PAGEREF _Toc192762296 \h </w:instrText>
        </w:r>
        <w:r w:rsidR="00611807">
          <w:rPr>
            <w:noProof/>
            <w:webHidden/>
          </w:rPr>
        </w:r>
        <w:r w:rsidR="00611807">
          <w:rPr>
            <w:noProof/>
            <w:webHidden/>
          </w:rPr>
          <w:fldChar w:fldCharType="separate"/>
        </w:r>
        <w:r w:rsidR="00EE76A5">
          <w:rPr>
            <w:noProof/>
            <w:webHidden/>
          </w:rPr>
          <w:t>53</w:t>
        </w:r>
        <w:r w:rsidR="00611807">
          <w:rPr>
            <w:noProof/>
            <w:webHidden/>
          </w:rPr>
          <w:fldChar w:fldCharType="end"/>
        </w:r>
      </w:hyperlink>
    </w:p>
    <w:p w14:paraId="2F35A9A3" w14:textId="30BF710A" w:rsidR="00611807"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62297" w:history="1">
        <w:r w:rsidR="00611807" w:rsidRPr="00546827">
          <w:rPr>
            <w:rStyle w:val="Hyperlink"/>
            <w:noProof/>
          </w:rPr>
          <w:t>Table 29: Summary of Catch and Optimal targets for the Port Phillip Bay SMU. The LML is also shown. There are insufficient data for assessment against CPUE performance indicators.</w:t>
        </w:r>
        <w:r w:rsidR="00611807">
          <w:rPr>
            <w:noProof/>
            <w:webHidden/>
          </w:rPr>
          <w:tab/>
        </w:r>
        <w:r w:rsidR="00611807">
          <w:rPr>
            <w:noProof/>
            <w:webHidden/>
          </w:rPr>
          <w:fldChar w:fldCharType="begin"/>
        </w:r>
        <w:r w:rsidR="00611807">
          <w:rPr>
            <w:noProof/>
            <w:webHidden/>
          </w:rPr>
          <w:instrText xml:space="preserve"> PAGEREF _Toc192762297 \h </w:instrText>
        </w:r>
        <w:r w:rsidR="00611807">
          <w:rPr>
            <w:noProof/>
            <w:webHidden/>
          </w:rPr>
        </w:r>
        <w:r w:rsidR="00611807">
          <w:rPr>
            <w:noProof/>
            <w:webHidden/>
          </w:rPr>
          <w:fldChar w:fldCharType="separate"/>
        </w:r>
        <w:r w:rsidR="00EE76A5">
          <w:rPr>
            <w:noProof/>
            <w:webHidden/>
          </w:rPr>
          <w:t>54</w:t>
        </w:r>
        <w:r w:rsidR="00611807">
          <w:rPr>
            <w:noProof/>
            <w:webHidden/>
          </w:rPr>
          <w:fldChar w:fldCharType="end"/>
        </w:r>
      </w:hyperlink>
    </w:p>
    <w:p w14:paraId="38B99175" w14:textId="78CCE9B7" w:rsidR="00611807" w:rsidRDefault="00000000">
      <w:pPr>
        <w:pStyle w:val="TableofFigures"/>
        <w:tabs>
          <w:tab w:val="right" w:leader="dot" w:pos="9016"/>
        </w:tabs>
        <w:rPr>
          <w:rFonts w:eastAsiaTheme="minorEastAsia"/>
          <w:smallCaps w:val="0"/>
          <w:noProof/>
          <w:kern w:val="2"/>
          <w:sz w:val="24"/>
          <w:szCs w:val="24"/>
          <w:lang w:eastAsia="en-AU"/>
          <w14:ligatures w14:val="standardContextual"/>
        </w:rPr>
      </w:pPr>
      <w:hyperlink w:anchor="_Toc192762298" w:history="1">
        <w:r w:rsidR="00611807" w:rsidRPr="00546827">
          <w:rPr>
            <w:rStyle w:val="Hyperlink"/>
            <w:noProof/>
          </w:rPr>
          <w:t>Table 30: Summary of changes in LML for the Central Zone. All measurements are in millimetres. Multiple LMLs indicate different LMLs for reefcodes within an SMU.</w:t>
        </w:r>
        <w:r w:rsidR="00611807">
          <w:rPr>
            <w:noProof/>
            <w:webHidden/>
          </w:rPr>
          <w:tab/>
        </w:r>
        <w:r w:rsidR="00611807">
          <w:rPr>
            <w:noProof/>
            <w:webHidden/>
          </w:rPr>
          <w:fldChar w:fldCharType="begin"/>
        </w:r>
        <w:r w:rsidR="00611807">
          <w:rPr>
            <w:noProof/>
            <w:webHidden/>
          </w:rPr>
          <w:instrText xml:space="preserve"> PAGEREF _Toc192762298 \h </w:instrText>
        </w:r>
        <w:r w:rsidR="00611807">
          <w:rPr>
            <w:noProof/>
            <w:webHidden/>
          </w:rPr>
        </w:r>
        <w:r w:rsidR="00611807">
          <w:rPr>
            <w:noProof/>
            <w:webHidden/>
          </w:rPr>
          <w:fldChar w:fldCharType="separate"/>
        </w:r>
        <w:r w:rsidR="00EE76A5">
          <w:rPr>
            <w:noProof/>
            <w:webHidden/>
          </w:rPr>
          <w:t>86</w:t>
        </w:r>
        <w:r w:rsidR="00611807">
          <w:rPr>
            <w:noProof/>
            <w:webHidden/>
          </w:rPr>
          <w:fldChar w:fldCharType="end"/>
        </w:r>
      </w:hyperlink>
    </w:p>
    <w:p w14:paraId="1C84E6C8" w14:textId="420E0BAC" w:rsidR="00FB0A3F" w:rsidRDefault="00000000">
      <w:pPr>
        <w:rPr>
          <w:lang w:val="en-US"/>
        </w:rPr>
      </w:pPr>
      <w:r>
        <w:rPr>
          <w:lang w:val="en-US"/>
        </w:rPr>
        <w:fldChar w:fldCharType="end"/>
      </w:r>
    </w:p>
    <w:p w14:paraId="3EF12FE1" w14:textId="77777777" w:rsidR="00603A03" w:rsidRDefault="00603A03">
      <w:pPr>
        <w:spacing w:before="0" w:after="0"/>
        <w:rPr>
          <w:rFonts w:asciiTheme="majorHAnsi" w:eastAsiaTheme="majorEastAsia" w:hAnsiTheme="majorHAnsi" w:cstheme="minorHAnsi"/>
          <w:color w:val="2E74B5" w:themeColor="accent1" w:themeShade="BF"/>
          <w:sz w:val="32"/>
          <w:szCs w:val="32"/>
          <w:lang w:val="en-US"/>
        </w:rPr>
      </w:pPr>
      <w:r>
        <w:br w:type="page"/>
      </w:r>
    </w:p>
    <w:p w14:paraId="319635B6" w14:textId="3CB9CCC3" w:rsidR="00FB0A3F" w:rsidRDefault="00000000">
      <w:pPr>
        <w:pStyle w:val="Heading5"/>
      </w:pPr>
      <w:r>
        <w:lastRenderedPageBreak/>
        <w:t>Acronyms</w:t>
      </w:r>
    </w:p>
    <w:p w14:paraId="6A9763A7" w14:textId="77777777" w:rsidR="00FB0A3F" w:rsidRDefault="00000000">
      <w:pPr>
        <w:rPr>
          <w:lang w:val="en-US"/>
        </w:rPr>
      </w:pPr>
      <w:r>
        <w:rPr>
          <w:lang w:val="en-US"/>
        </w:rPr>
        <w:t>CPUE</w:t>
      </w:r>
      <w:r>
        <w:rPr>
          <w:lang w:val="en-US"/>
        </w:rPr>
        <w:tab/>
      </w:r>
      <w:r>
        <w:rPr>
          <w:lang w:val="en-US"/>
        </w:rPr>
        <w:tab/>
      </w:r>
      <w:r>
        <w:rPr>
          <w:lang w:val="en-US"/>
        </w:rPr>
        <w:tab/>
        <w:t xml:space="preserve">                   Catch per unit effort</w:t>
      </w:r>
    </w:p>
    <w:p w14:paraId="4CD6E405" w14:textId="77777777" w:rsidR="00FB0A3F" w:rsidRDefault="00000000">
      <w:pPr>
        <w:rPr>
          <w:lang w:val="en-US"/>
        </w:rPr>
      </w:pPr>
      <w:r>
        <w:rPr>
          <w:lang w:val="en-US"/>
        </w:rPr>
        <w:t>FIS</w:t>
      </w:r>
      <w:r>
        <w:rPr>
          <w:lang w:val="en-US"/>
        </w:rPr>
        <w:tab/>
      </w:r>
      <w:r>
        <w:rPr>
          <w:lang w:val="en-US"/>
        </w:rPr>
        <w:tab/>
      </w:r>
      <w:r>
        <w:rPr>
          <w:lang w:val="en-US"/>
        </w:rPr>
        <w:tab/>
        <w:t xml:space="preserve">                        Fishery independent survey</w:t>
      </w:r>
    </w:p>
    <w:p w14:paraId="6AF6724C" w14:textId="77777777" w:rsidR="00FB0A3F" w:rsidRDefault="00000000">
      <w:pPr>
        <w:rPr>
          <w:lang w:val="en-US"/>
        </w:rPr>
      </w:pPr>
      <w:r>
        <w:rPr>
          <w:lang w:val="en-US"/>
        </w:rPr>
        <w:t>DEDJTR</w:t>
      </w:r>
      <w:r>
        <w:rPr>
          <w:lang w:val="en-US"/>
        </w:rPr>
        <w:tab/>
      </w:r>
      <w:r>
        <w:rPr>
          <w:lang w:val="en-US"/>
        </w:rPr>
        <w:tab/>
      </w:r>
      <w:r>
        <w:rPr>
          <w:lang w:val="en-US"/>
        </w:rPr>
        <w:tab/>
      </w:r>
      <w:r>
        <w:rPr>
          <w:lang w:val="en-US"/>
        </w:rPr>
        <w:tab/>
        <w:t xml:space="preserve">               Department of Economic Development Jobs Transport and Resources</w:t>
      </w:r>
    </w:p>
    <w:p w14:paraId="0B8BCFB0" w14:textId="77777777" w:rsidR="00FB0A3F" w:rsidRDefault="00000000">
      <w:pPr>
        <w:rPr>
          <w:lang w:val="en-US"/>
        </w:rPr>
      </w:pPr>
      <w:r>
        <w:rPr>
          <w:lang w:val="en-US"/>
        </w:rPr>
        <w:t>VFA                      Victorian Fisheries Authority</w:t>
      </w:r>
    </w:p>
    <w:p w14:paraId="0DAB5301" w14:textId="77777777" w:rsidR="00FB0A3F" w:rsidRDefault="00000000">
      <w:pPr>
        <w:rPr>
          <w:lang w:val="en-US"/>
        </w:rPr>
      </w:pPr>
      <w:r>
        <w:rPr>
          <w:lang w:val="en-US"/>
        </w:rPr>
        <w:t>SMU</w:t>
      </w:r>
      <w:r>
        <w:rPr>
          <w:lang w:val="en-US"/>
        </w:rPr>
        <w:tab/>
        <w:t xml:space="preserve">                    Spatial management unit</w:t>
      </w:r>
    </w:p>
    <w:p w14:paraId="009C0C75" w14:textId="77777777" w:rsidR="00FB0A3F" w:rsidRDefault="00000000">
      <w:pPr>
        <w:rPr>
          <w:lang w:val="en-US"/>
        </w:rPr>
      </w:pPr>
      <w:r>
        <w:rPr>
          <w:lang w:val="en-US"/>
        </w:rPr>
        <w:t>OT</w:t>
      </w:r>
      <w:r>
        <w:rPr>
          <w:lang w:val="en-US"/>
        </w:rPr>
        <w:tab/>
        <w:t xml:space="preserve">                       Optimal target</w:t>
      </w:r>
    </w:p>
    <w:p w14:paraId="7D9695BA" w14:textId="77777777" w:rsidR="00FB0A3F" w:rsidRDefault="00000000">
      <w:pPr>
        <w:rPr>
          <w:lang w:val="en-US"/>
        </w:rPr>
      </w:pPr>
      <w:r>
        <w:rPr>
          <w:lang w:val="en-US"/>
        </w:rPr>
        <w:t>TACC                   Total allowable commercial catch</w:t>
      </w:r>
    </w:p>
    <w:p w14:paraId="14FB0DBD" w14:textId="77777777" w:rsidR="00FB0A3F" w:rsidRDefault="00000000">
      <w:pPr>
        <w:rPr>
          <w:lang w:val="en-US"/>
        </w:rPr>
      </w:pPr>
      <w:r>
        <w:rPr>
          <w:lang w:val="en-US"/>
        </w:rPr>
        <w:t xml:space="preserve">AFAL                   Abalone Fishery Access </w:t>
      </w:r>
      <w:proofErr w:type="spellStart"/>
      <w:r>
        <w:rPr>
          <w:lang w:val="en-US"/>
        </w:rPr>
        <w:t>Licence</w:t>
      </w:r>
      <w:proofErr w:type="spellEnd"/>
    </w:p>
    <w:p w14:paraId="7E4AD2C3" w14:textId="77777777" w:rsidR="00FB0A3F" w:rsidRDefault="00000000">
      <w:pPr>
        <w:rPr>
          <w:lang w:val="en-US"/>
        </w:rPr>
      </w:pPr>
      <w:r>
        <w:rPr>
          <w:lang w:val="en-US"/>
        </w:rPr>
        <w:t>GLMM</w:t>
      </w:r>
      <w:r>
        <w:rPr>
          <w:lang w:val="en-US"/>
        </w:rPr>
        <w:tab/>
      </w:r>
      <w:r>
        <w:rPr>
          <w:lang w:val="en-US"/>
        </w:rPr>
        <w:tab/>
        <w:t xml:space="preserve">                </w:t>
      </w:r>
      <w:proofErr w:type="spellStart"/>
      <w:r>
        <w:rPr>
          <w:lang w:val="en-US"/>
        </w:rPr>
        <w:t>Generalised</w:t>
      </w:r>
      <w:proofErr w:type="spellEnd"/>
      <w:r>
        <w:rPr>
          <w:lang w:val="en-US"/>
        </w:rPr>
        <w:t xml:space="preserve"> linear mixed model</w:t>
      </w:r>
    </w:p>
    <w:p w14:paraId="17849182" w14:textId="77777777" w:rsidR="00FB0A3F" w:rsidRDefault="00000000">
      <w:pPr>
        <w:rPr>
          <w:lang w:val="en-US"/>
        </w:rPr>
      </w:pPr>
      <w:r>
        <w:rPr>
          <w:lang w:val="en-US"/>
        </w:rPr>
        <w:t>LML                     Legal minimum length</w:t>
      </w:r>
    </w:p>
    <w:p w14:paraId="53CED5B5" w14:textId="60935F4F" w:rsidR="00FB0A3F" w:rsidRDefault="001F1654" w:rsidP="001F1654">
      <w:pPr>
        <w:tabs>
          <w:tab w:val="left" w:pos="1549"/>
        </w:tabs>
        <w:rPr>
          <w:lang w:val="en-US"/>
        </w:rPr>
      </w:pPr>
      <w:r>
        <w:rPr>
          <w:lang w:val="en-US"/>
        </w:rPr>
        <w:t>PIs                        Performance Indicators</w:t>
      </w:r>
      <w:r>
        <w:rPr>
          <w:lang w:val="en-US"/>
        </w:rPr>
        <w:tab/>
        <w:t xml:space="preserve"> </w:t>
      </w:r>
      <w:r>
        <w:rPr>
          <w:lang w:val="en-US"/>
        </w:rPr>
        <w:tab/>
      </w:r>
      <w:r>
        <w:rPr>
          <w:lang w:val="en-US"/>
        </w:rPr>
        <w:tab/>
      </w:r>
      <w:r>
        <w:rPr>
          <w:lang w:val="en-US"/>
        </w:rPr>
        <w:tab/>
      </w:r>
    </w:p>
    <w:p w14:paraId="64D7CB21" w14:textId="2E1B3E35" w:rsidR="00FB0A3F" w:rsidRDefault="001F1654" w:rsidP="001F1654">
      <w:pPr>
        <w:tabs>
          <w:tab w:val="left" w:pos="1549"/>
        </w:tabs>
        <w:rPr>
          <w:lang w:val="en-US"/>
        </w:rPr>
        <w:sectPr w:rsidR="00FB0A3F" w:rsidSect="003D2180">
          <w:footerReference w:type="default" r:id="rId13"/>
          <w:pgSz w:w="11906" w:h="16838"/>
          <w:pgMar w:top="1440" w:right="1440" w:bottom="1440" w:left="1440" w:header="708" w:footer="708" w:gutter="0"/>
          <w:pgNumType w:start="1"/>
          <w:cols w:space="708"/>
          <w:docGrid w:linePitch="360"/>
        </w:sectPr>
      </w:pPr>
      <w:r>
        <w:rPr>
          <w:lang w:val="en-US"/>
        </w:rPr>
        <w:tab/>
      </w:r>
    </w:p>
    <w:p w14:paraId="4598A221" w14:textId="77777777" w:rsidR="00FB0A3F" w:rsidRDefault="00000000">
      <w:pPr>
        <w:pStyle w:val="Heading5"/>
      </w:pPr>
      <w:bookmarkStart w:id="3" w:name="_Toc98408327"/>
      <w:bookmarkEnd w:id="0"/>
      <w:bookmarkEnd w:id="1"/>
      <w:bookmarkEnd w:id="2"/>
      <w:r w:rsidRPr="001C0373">
        <w:lastRenderedPageBreak/>
        <w:t>Executive Summary</w:t>
      </w:r>
      <w:bookmarkEnd w:id="3"/>
    </w:p>
    <w:p w14:paraId="080B036C" w14:textId="7B1FF172" w:rsidR="00FB1AE6" w:rsidRDefault="00000000">
      <w:bookmarkStart w:id="4" w:name="_Hlk192769199"/>
      <w:r>
        <w:t>This Stock Assessment Report builds on previous annual reports for the Central Zone of the Victorian Abalone Fishery. The report analyses fishery-dependent catch and effort data (up to 30 June 202</w:t>
      </w:r>
      <w:r w:rsidR="001C0373">
        <w:t>4</w:t>
      </w:r>
      <w:r>
        <w:t>) and fishery independent survey (FIS) data (up to July 2023</w:t>
      </w:r>
      <w:r w:rsidR="001C0373">
        <w:t xml:space="preserve">, </w:t>
      </w:r>
      <w:r w:rsidR="00BF48B3">
        <w:t xml:space="preserve">as </w:t>
      </w:r>
      <w:r w:rsidR="001C0373">
        <w:t xml:space="preserve">no FIS </w:t>
      </w:r>
      <w:r w:rsidR="00BF48B3">
        <w:t xml:space="preserve">was completed </w:t>
      </w:r>
      <w:r w:rsidR="001C0373">
        <w:t>in 2024</w:t>
      </w:r>
      <w:r>
        <w:t xml:space="preserve">) against a framework of performance indicators to assess the status of the </w:t>
      </w:r>
      <w:proofErr w:type="spellStart"/>
      <w:r>
        <w:t>blacklip</w:t>
      </w:r>
      <w:proofErr w:type="spellEnd"/>
      <w:r>
        <w:t xml:space="preserve"> abalone stock. In addition, an analysis of commercial length frequency data was provided independently by industry (attached as an appendix) and is considered in the weight of evidence assessment at the Spatial Management Unit (SMU) scale. The report </w:t>
      </w:r>
      <w:r w:rsidR="001F1654">
        <w:t xml:space="preserve">compares the weight of evidence outcomes against the </w:t>
      </w:r>
      <w:r w:rsidR="001C0373">
        <w:t xml:space="preserve">results of the Draft Harvest Strategy </w:t>
      </w:r>
      <w:proofErr w:type="gramStart"/>
      <w:r w:rsidR="001C0373">
        <w:t xml:space="preserve">and </w:t>
      </w:r>
      <w:r w:rsidR="001F1654">
        <w:t>also</w:t>
      </w:r>
      <w:proofErr w:type="gramEnd"/>
      <w:r w:rsidR="001F1654">
        <w:t xml:space="preserve"> </w:t>
      </w:r>
      <w:r>
        <w:t xml:space="preserve">provides a </w:t>
      </w:r>
      <w:r w:rsidR="001C0373">
        <w:t xml:space="preserve">high-level </w:t>
      </w:r>
      <w:r>
        <w:t xml:space="preserve">assessment of </w:t>
      </w:r>
      <w:proofErr w:type="spellStart"/>
      <w:r>
        <w:t>greenlip</w:t>
      </w:r>
      <w:proofErr w:type="spellEnd"/>
      <w:r>
        <w:t xml:space="preserve"> catch.</w:t>
      </w:r>
      <w:bookmarkStart w:id="5" w:name="_Hlk161910401"/>
    </w:p>
    <w:p w14:paraId="4D9205F0" w14:textId="2D8E90B9" w:rsidR="001C0373" w:rsidRDefault="001C0373">
      <w:r w:rsidRPr="001C0373">
        <w:t xml:space="preserve">At the zonal scale, </w:t>
      </w:r>
      <w:r>
        <w:t xml:space="preserve">all indicators of stock abundance are </w:t>
      </w:r>
      <w:r w:rsidRPr="001C0373">
        <w:t xml:space="preserve">trending positively. </w:t>
      </w:r>
      <w:r>
        <w:t xml:space="preserve">The commercial catch in the Central Zone for 2023/24 was 222.3 t, which was </w:t>
      </w:r>
      <w:r w:rsidR="007E303D">
        <w:t>99.7</w:t>
      </w:r>
      <w:r>
        <w:t xml:space="preserve">% of the 222.9 t </w:t>
      </w:r>
      <w:r w:rsidR="00BF48B3">
        <w:t>Total Allowable Commercial Catch (</w:t>
      </w:r>
      <w:r>
        <w:t>TACC</w:t>
      </w:r>
      <w:r w:rsidR="00BF48B3">
        <w:t>)</w:t>
      </w:r>
      <w:r>
        <w:t xml:space="preserve">. </w:t>
      </w:r>
      <w:r w:rsidRPr="001C0373">
        <w:t xml:space="preserve">Compared to 2020/21, </w:t>
      </w:r>
      <w:r w:rsidR="00BF48B3">
        <w:t>Catch per unit effort (</w:t>
      </w:r>
      <w:r w:rsidRPr="001C0373">
        <w:t>CPUE</w:t>
      </w:r>
      <w:r w:rsidR="00BF48B3">
        <w:t>)</w:t>
      </w:r>
      <w:r w:rsidRPr="001C0373">
        <w:t xml:space="preserve"> has increased by 12%, mean daily catch has increased by 7% and average length from the commercial catch has increased substantially at 8 of the 10 SMUs for which data are available </w:t>
      </w:r>
      <w:r w:rsidR="0016622F">
        <w:t>(</w:t>
      </w:r>
      <w:r w:rsidRPr="001C0373">
        <w:t>representing 92% of the 2023/24 total catch</w:t>
      </w:r>
      <w:r w:rsidR="0016622F">
        <w:t>)</w:t>
      </w:r>
      <w:r w:rsidRPr="001C0373">
        <w:t xml:space="preserve">. </w:t>
      </w:r>
      <w:r w:rsidR="00BF48B3">
        <w:t xml:space="preserve">While the </w:t>
      </w:r>
      <w:r w:rsidRPr="001C0373">
        <w:t>Top 15 FIS sites were not surveyed in 2024</w:t>
      </w:r>
      <w:r w:rsidR="00BF48B3">
        <w:t xml:space="preserve"> (as per the FIS review plan)</w:t>
      </w:r>
      <w:r w:rsidRPr="001C0373">
        <w:t xml:space="preserve">, recruit and pre-recruit abundance had increased by 16% and 37% respectively, in 2023. </w:t>
      </w:r>
      <w:r>
        <w:t>Several of these positive trends extend beyond the last four years. While uncertainties in each data source remain, these combined positive measures provide much greater confidence in the weight of evidence assessment.</w:t>
      </w:r>
    </w:p>
    <w:p w14:paraId="0A4BF350" w14:textId="582C27F8" w:rsidR="001C0373" w:rsidRDefault="00123746">
      <w:r>
        <w:t xml:space="preserve">Catches at the SMU scale </w:t>
      </w:r>
      <w:proofErr w:type="gramStart"/>
      <w:r>
        <w:t>were</w:t>
      </w:r>
      <w:proofErr w:type="gramEnd"/>
      <w:r>
        <w:t xml:space="preserve"> close to their respective </w:t>
      </w:r>
      <w:r w:rsidR="0016622F">
        <w:t>Optimal Targets (</w:t>
      </w:r>
      <w:r>
        <w:t>OTs</w:t>
      </w:r>
      <w:r w:rsidR="0016622F">
        <w:t>)</w:t>
      </w:r>
      <w:r>
        <w:t xml:space="preserve"> at all large and medium SMUs. While stability in catches at the SMU scale is a positive outcome for the fishery, there is some concern </w:t>
      </w:r>
      <w:r w:rsidR="001C0373" w:rsidRPr="001C0373">
        <w:t>in the current assessment regard</w:t>
      </w:r>
      <w:r>
        <w:t>ing</w:t>
      </w:r>
      <w:r w:rsidR="001C0373" w:rsidRPr="001C0373">
        <w:t xml:space="preserve"> changes in the distribution of the catch at the </w:t>
      </w:r>
      <w:proofErr w:type="spellStart"/>
      <w:r w:rsidR="001C0373" w:rsidRPr="001C0373">
        <w:t>reefcode</w:t>
      </w:r>
      <w:proofErr w:type="spellEnd"/>
      <w:r w:rsidR="001C0373" w:rsidRPr="001C0373">
        <w:t xml:space="preserve"> scale. </w:t>
      </w:r>
      <w:proofErr w:type="spellStart"/>
      <w:r w:rsidR="001C0373" w:rsidRPr="001C0373">
        <w:t>Reefcode</w:t>
      </w:r>
      <w:proofErr w:type="spellEnd"/>
      <w:r w:rsidR="001C0373" w:rsidRPr="001C0373">
        <w:t xml:space="preserve"> catches generally show a high degree of variation on an annual basis, however the magnitude of changes in 2023/24 was unusual, particularly for Phillip Island and Cape Liptrap SMUs.  </w:t>
      </w:r>
      <w:r>
        <w:t xml:space="preserve">An improved understanding of the reasons for these distributional shifts in catch is required. </w:t>
      </w:r>
    </w:p>
    <w:p w14:paraId="5E86CE1A" w14:textId="31062B43" w:rsidR="001C0373" w:rsidRDefault="00123746">
      <w:r>
        <w:t xml:space="preserve">Outcomes from the Draft Harvest Strategy generally aligned with the weight of evidence assessment. </w:t>
      </w:r>
      <w:r w:rsidR="00FB1AE6">
        <w:t xml:space="preserve">While increases in OT are suggested for several SMUs, it is recommended that any increases in OT be modest to assist with continuation of stock recovery. A review of the Reference Points in the Draft </w:t>
      </w:r>
      <w:r w:rsidR="001F1654">
        <w:t>H</w:t>
      </w:r>
      <w:r w:rsidR="00FB1AE6">
        <w:t>arvest Strategy is required.</w:t>
      </w:r>
    </w:p>
    <w:p w14:paraId="409415CE" w14:textId="4D740D55" w:rsidR="001C0373" w:rsidRDefault="00000000">
      <w:r>
        <w:t xml:space="preserve">It is unequivocal that the spatial extent of the fishery has contracted substantially in the last two decades, and the fishery now </w:t>
      </w:r>
      <w:r w:rsidR="00A928F0">
        <w:t xml:space="preserve">concentrates </w:t>
      </w:r>
      <w:r>
        <w:t>heavily on shallow water</w:t>
      </w:r>
      <w:r w:rsidR="00A36D6D">
        <w:t>,</w:t>
      </w:r>
      <w:r>
        <w:t xml:space="preserve"> </w:t>
      </w:r>
      <w:r w:rsidR="00A36D6D">
        <w:t xml:space="preserve">high catch-rate </w:t>
      </w:r>
      <w:r>
        <w:t xml:space="preserve">reefs. </w:t>
      </w:r>
      <w:r w:rsidR="001F1654">
        <w:t xml:space="preserve">Prior to the 2024 stock assessment, there was little confidence in the assessment of stock status on these shallow water reefs and thus precautionary management advice was provided. </w:t>
      </w:r>
      <w:r w:rsidR="00C27633">
        <w:t xml:space="preserve">This report provides the strongest evidence to date </w:t>
      </w:r>
      <w:r w:rsidR="001F1654" w:rsidRPr="001F1654">
        <w:t>that biomass is likely recovering</w:t>
      </w:r>
      <w:r w:rsidR="00C27633">
        <w:t xml:space="preserve">. However, </w:t>
      </w:r>
      <w:r w:rsidR="001F1654" w:rsidRPr="001F1654">
        <w:t>it should be noted that stocks likely remain well below the conceptual target of biomass at Maximum Sustainable Yield (MSY). It is recommended that the continuation of a precautionary approach be applied by maintaining the TACC at levels that will continue to promote stock recovery under the assumption that recruitment to the stock remains consistent.</w:t>
      </w:r>
    </w:p>
    <w:p w14:paraId="4D852F9B" w14:textId="6647C303" w:rsidR="001F1654" w:rsidRDefault="001F1654">
      <w:r w:rsidRPr="001F1654">
        <w:t xml:space="preserve">The 2024/25 quota period has a TACC of 225.1 t. Although data for the current 2024/25 quota year are not presented in this report, it is understood that the total catch for 2024/25 is likely to be well below the TACC due to unfavourable market conditions. While these circumstances are unfortunate for the fishery, low catches </w:t>
      </w:r>
      <w:r w:rsidR="00895379">
        <w:t>will</w:t>
      </w:r>
      <w:r w:rsidRPr="001F1654">
        <w:t xml:space="preserve"> be positive for the stock. However, it should be acknowledged that targeted fishing behaviours may affect the assessment of CPUE performance measures (i.e. kg/h and kg/day) next year.</w:t>
      </w:r>
    </w:p>
    <w:bookmarkEnd w:id="4"/>
    <w:bookmarkEnd w:id="5"/>
    <w:p w14:paraId="4E88F235" w14:textId="77777777" w:rsidR="00FB0A3F" w:rsidRDefault="00FB0A3F">
      <w:pPr>
        <w:sectPr w:rsidR="00FB0A3F" w:rsidSect="003D2180">
          <w:headerReference w:type="default" r:id="rId14"/>
          <w:footerReference w:type="default" r:id="rId15"/>
          <w:pgSz w:w="11906" w:h="16838"/>
          <w:pgMar w:top="1440" w:right="1440" w:bottom="1440" w:left="1440" w:header="708" w:footer="708" w:gutter="0"/>
          <w:pgNumType w:start="1"/>
          <w:cols w:space="708"/>
          <w:docGrid w:linePitch="360"/>
        </w:sectPr>
      </w:pPr>
    </w:p>
    <w:p w14:paraId="76C0B52A" w14:textId="77777777" w:rsidR="00FB0A3F" w:rsidRDefault="00000000">
      <w:pPr>
        <w:pStyle w:val="Heading1"/>
        <w:numPr>
          <w:ilvl w:val="0"/>
          <w:numId w:val="4"/>
        </w:numPr>
        <w:ind w:left="431" w:hanging="431"/>
      </w:pPr>
      <w:bookmarkStart w:id="6" w:name="_Toc98408328"/>
      <w:bookmarkStart w:id="7" w:name="_Toc192777195"/>
      <w:r>
        <w:lastRenderedPageBreak/>
        <w:t>General Introduction</w:t>
      </w:r>
      <w:bookmarkEnd w:id="6"/>
      <w:bookmarkEnd w:id="7"/>
    </w:p>
    <w:p w14:paraId="59F30B43" w14:textId="77777777" w:rsidR="00FB0A3F" w:rsidRDefault="00000000">
      <w:pPr>
        <w:pStyle w:val="Heading2"/>
        <w:numPr>
          <w:ilvl w:val="1"/>
          <w:numId w:val="5"/>
        </w:numPr>
        <w:ind w:left="426"/>
      </w:pPr>
      <w:bookmarkStart w:id="8" w:name="_Toc98408329"/>
      <w:r>
        <w:t xml:space="preserve">     </w:t>
      </w:r>
      <w:bookmarkStart w:id="9" w:name="_Toc192777196"/>
      <w:r>
        <w:t>Overview</w:t>
      </w:r>
      <w:bookmarkEnd w:id="8"/>
      <w:bookmarkEnd w:id="9"/>
    </w:p>
    <w:p w14:paraId="5C03DEAF" w14:textId="3F70FC4B" w:rsidR="00FB0A3F" w:rsidRDefault="00000000">
      <w:bookmarkStart w:id="10" w:name="overview"/>
      <w:bookmarkStart w:id="11" w:name="general-introduction"/>
      <w:r>
        <w:t>This Stock Assessment Report builds on previous annual reports for the Central Zone of the Victorian Abalone Fishery (e.g. VFA 2018; Dixon and Dichmont 2019, Dixon et al 2021, 2022a, 2023</w:t>
      </w:r>
      <w:r w:rsidR="007B3672">
        <w:t>; Dixon and Lowe 2024</w:t>
      </w:r>
      <w:r>
        <w:t>). The report analyses fishery-dependent catch and effort data (up to 30 June 202</w:t>
      </w:r>
      <w:r w:rsidR="007B3672">
        <w:t>4</w:t>
      </w:r>
      <w:r>
        <w:t xml:space="preserve">) to assess the </w:t>
      </w:r>
      <w:proofErr w:type="spellStart"/>
      <w:r>
        <w:t>blacklip</w:t>
      </w:r>
      <w:proofErr w:type="spellEnd"/>
      <w:r>
        <w:t xml:space="preserve"> abalone stock against performance </w:t>
      </w:r>
      <w:r w:rsidR="007B3672">
        <w:t>measures</w:t>
      </w:r>
      <w:r>
        <w:t xml:space="preserve">. </w:t>
      </w:r>
      <w:r w:rsidR="007232E1">
        <w:t xml:space="preserve">There was insufficient </w:t>
      </w:r>
      <w:r>
        <w:t xml:space="preserve">Fishery Independent Surveys (FIS) </w:t>
      </w:r>
      <w:r w:rsidR="007232E1">
        <w:t xml:space="preserve">completed to assess against performance measures. </w:t>
      </w:r>
      <w:r>
        <w:t xml:space="preserve">Catch, effort, CPUE and </w:t>
      </w:r>
      <w:r w:rsidR="00D87B11">
        <w:t xml:space="preserve">historic </w:t>
      </w:r>
      <w:r>
        <w:t xml:space="preserve">FIS data are presented in various manners for assessment of stock status in a multiple lines of evidence approach at the Zone level and for each Spatial Management Unit (SMU). Summary results from the Central Zone Draft Harvest Strategy are provided and discussed for each SMU. This report also provides advice </w:t>
      </w:r>
      <w:r w:rsidR="00A928F0">
        <w:t xml:space="preserve">to improve </w:t>
      </w:r>
      <w:r>
        <w:t xml:space="preserve">the stock assessment process going forward. </w:t>
      </w:r>
    </w:p>
    <w:p w14:paraId="006C108E" w14:textId="77777777" w:rsidR="00FB0A3F" w:rsidRDefault="00FB0A3F">
      <w:pPr>
        <w:pStyle w:val="ListParagraph"/>
        <w:keepNext/>
        <w:keepLines/>
        <w:numPr>
          <w:ilvl w:val="0"/>
          <w:numId w:val="1"/>
        </w:numPr>
        <w:spacing w:before="240"/>
        <w:contextualSpacing w:val="0"/>
        <w:outlineLvl w:val="0"/>
        <w:rPr>
          <w:rFonts w:asciiTheme="majorHAnsi" w:eastAsiaTheme="majorEastAsia" w:hAnsiTheme="majorHAnsi" w:cstheme="minorHAnsi"/>
          <w:vanish/>
          <w:color w:val="2E74B5" w:themeColor="accent1" w:themeShade="BF"/>
          <w:sz w:val="32"/>
          <w:szCs w:val="32"/>
          <w:lang w:val="en-US"/>
        </w:rPr>
      </w:pPr>
      <w:bookmarkStart w:id="12" w:name="_Toc160777250"/>
      <w:bookmarkStart w:id="13" w:name="_Toc160718277"/>
      <w:bookmarkStart w:id="14" w:name="_Toc161910314"/>
      <w:bookmarkStart w:id="15" w:name="_Toc192575579"/>
      <w:bookmarkStart w:id="16" w:name="_Toc192575733"/>
      <w:bookmarkStart w:id="17" w:name="_Toc192777197"/>
      <w:bookmarkEnd w:id="12"/>
      <w:bookmarkEnd w:id="13"/>
      <w:bookmarkEnd w:id="14"/>
      <w:bookmarkEnd w:id="15"/>
      <w:bookmarkEnd w:id="16"/>
      <w:bookmarkEnd w:id="17"/>
    </w:p>
    <w:p w14:paraId="4CC3CF55" w14:textId="77777777" w:rsidR="00FB0A3F" w:rsidRDefault="00FB0A3F">
      <w:pPr>
        <w:pStyle w:val="ListParagraph"/>
        <w:keepNext/>
        <w:keepLines/>
        <w:numPr>
          <w:ilvl w:val="1"/>
          <w:numId w:val="1"/>
        </w:numPr>
        <w:spacing w:before="240"/>
        <w:contextualSpacing w:val="0"/>
        <w:outlineLvl w:val="1"/>
        <w:rPr>
          <w:rFonts w:asciiTheme="majorHAnsi" w:eastAsiaTheme="majorEastAsia" w:hAnsiTheme="majorHAnsi" w:cstheme="majorBidi"/>
          <w:vanish/>
          <w:color w:val="2E74B5" w:themeColor="accent1" w:themeShade="BF"/>
          <w:sz w:val="26"/>
          <w:szCs w:val="26"/>
          <w:lang w:val="en-US"/>
        </w:rPr>
      </w:pPr>
      <w:bookmarkStart w:id="18" w:name="_Toc160777251"/>
      <w:bookmarkStart w:id="19" w:name="_Toc160718278"/>
      <w:bookmarkStart w:id="20" w:name="_Toc161910315"/>
      <w:bookmarkStart w:id="21" w:name="_Toc192575580"/>
      <w:bookmarkStart w:id="22" w:name="_Toc192575734"/>
      <w:bookmarkStart w:id="23" w:name="_Toc192777198"/>
      <w:bookmarkEnd w:id="18"/>
      <w:bookmarkEnd w:id="19"/>
      <w:bookmarkEnd w:id="20"/>
      <w:bookmarkEnd w:id="21"/>
      <w:bookmarkEnd w:id="22"/>
      <w:bookmarkEnd w:id="23"/>
    </w:p>
    <w:p w14:paraId="0EF5CF1E" w14:textId="77777777" w:rsidR="00FB0A3F" w:rsidRDefault="00000000">
      <w:pPr>
        <w:pStyle w:val="Heading2"/>
      </w:pPr>
      <w:bookmarkStart w:id="24" w:name="_Toc192777199"/>
      <w:r>
        <w:t>Description of the Central Zone</w:t>
      </w:r>
      <w:bookmarkEnd w:id="24"/>
      <w:r>
        <w:t xml:space="preserve"> </w:t>
      </w:r>
    </w:p>
    <w:p w14:paraId="07176BAC" w14:textId="77777777" w:rsidR="00FB0A3F" w:rsidRDefault="00000000">
      <w:bookmarkStart w:id="25" w:name="Xe0833354504e9f85dcb8a3b657c81d3356c21f4"/>
      <w:bookmarkEnd w:id="10"/>
      <w:r>
        <w:t>The Central Zone Abalone Fishery extends along the coast of Victoria from just east of the Hopkins River at Warrnambool in the west, to Lakes Entrance in the east of the state (Figure 1). The fishery is limited entry and the primary method for managing commercial abalone fishing is to set an annual Total Allowable Commercial Catch (TACC) for each management Zone. There are 34 Abalone Fishery Access Licences (AFALs) and 680 quota units in the Central Zone. Licences and quota units are transferable (i.e. they can be leased or sold) amongst licence and non-licence holders. A minimum of five quota units must be attached to each AFAL. Fishers may be owner-operators or contract divers.</w:t>
      </w:r>
    </w:p>
    <w:p w14:paraId="288A5AAF" w14:textId="77777777" w:rsidR="00FB0A3F" w:rsidRDefault="00000000">
      <w:r>
        <w:rPr>
          <w:noProof/>
        </w:rPr>
        <w:drawing>
          <wp:inline distT="0" distB="0" distL="0" distR="0" wp14:anchorId="70678F60" wp14:editId="4FF4399B">
            <wp:extent cx="5731510" cy="2865755"/>
            <wp:effectExtent l="19050" t="19050" r="21590" b="10795"/>
            <wp:docPr id="61" name="Pictu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6">
                      <a:extLst>
                        <a:ext uri="{28A0092B-C50C-407E-A947-70E740481C1C}">
                          <a14:useLocalDpi xmlns:a14="http://schemas.microsoft.com/office/drawing/2010/main" val="0"/>
                        </a:ext>
                      </a:extLst>
                    </a:blip>
                    <a:stretch>
                      <a:fillRect/>
                    </a:stretch>
                  </pic:blipFill>
                  <pic:spPr>
                    <a:xfrm>
                      <a:off x="0" y="0"/>
                      <a:ext cx="5731510" cy="2865755"/>
                    </a:xfrm>
                    <a:prstGeom prst="rect">
                      <a:avLst/>
                    </a:prstGeom>
                    <a:ln>
                      <a:solidFill>
                        <a:schemeClr val="tx1"/>
                      </a:solidFill>
                    </a:ln>
                  </pic:spPr>
                </pic:pic>
              </a:graphicData>
            </a:graphic>
          </wp:inline>
        </w:drawing>
      </w:r>
    </w:p>
    <w:p w14:paraId="5EC5C410" w14:textId="77777777" w:rsidR="00FB0A3F" w:rsidRDefault="00000000">
      <w:pPr>
        <w:pStyle w:val="Caption"/>
      </w:pPr>
      <w:bookmarkStart w:id="26" w:name="_Toc192777267"/>
      <w:r>
        <w:t>Figure 1: Map of the Central Zone Abalone Fishery showing the Spatial Management Units and Marine Protected Areas.</w:t>
      </w:r>
      <w:bookmarkEnd w:id="26"/>
    </w:p>
    <w:p w14:paraId="63FF8781" w14:textId="61412B9E" w:rsidR="00FB0A3F" w:rsidRDefault="00000000">
      <w:r>
        <w:t>The TACC for the Central Zone is set at a Zonal scale, but management of the fishery occurs at a finer spatial scale defined by the twelve SMUs (Figure 1). An Optimal target (OT) is set for each SMU based on current quota reference points, catch history and stock assessment outputs. The combined value of all OTs then equate</w:t>
      </w:r>
      <w:r w:rsidR="00885CDA">
        <w:t>s</w:t>
      </w:r>
      <w:r>
        <w:t xml:space="preserve"> to the TACC. Total catches for each SMU for the following fishing season are intended to meet the OT for that SMU. Further details regarding the history of the fishery and current management goals and arrangements are described in the Victorian Wild Harvest Abalone Fishery Management Plan (DEDJTR 2015).</w:t>
      </w:r>
    </w:p>
    <w:p w14:paraId="25454306" w14:textId="77777777" w:rsidR="00FB0A3F" w:rsidRDefault="00000000">
      <w:pPr>
        <w:pStyle w:val="Heading2"/>
      </w:pPr>
      <w:bookmarkStart w:id="27" w:name="_Toc192777200"/>
      <w:bookmarkStart w:id="28" w:name="_Toc98408331"/>
      <w:bookmarkStart w:id="29" w:name="objectives"/>
      <w:bookmarkEnd w:id="25"/>
      <w:r>
        <w:lastRenderedPageBreak/>
        <w:t>Objectives</w:t>
      </w:r>
      <w:bookmarkEnd w:id="27"/>
    </w:p>
    <w:p w14:paraId="7E4F565C" w14:textId="77777777" w:rsidR="00D87B11" w:rsidRPr="00D87B11" w:rsidRDefault="00D87B11" w:rsidP="00D87B11">
      <w:pPr>
        <w:rPr>
          <w:rFonts w:eastAsia="Times New Roman" w:cs="Times New Roman"/>
        </w:rPr>
      </w:pPr>
      <w:bookmarkStart w:id="30" w:name="_Toc182219885"/>
      <w:bookmarkEnd w:id="28"/>
      <w:r w:rsidRPr="00D87B11">
        <w:rPr>
          <w:rFonts w:eastAsia="Times New Roman" w:cs="Times New Roman"/>
        </w:rPr>
        <w:t xml:space="preserve">The Victorian Government’s overarching policy objective is to optimise the commercial, social and cultural value to Victoria derived from the use of fisheries resources and associated ecosystems. This objective is pursued within the context of the broader policies and instruments applicable to fisheries including: the </w:t>
      </w:r>
      <w:r w:rsidRPr="00D87B11">
        <w:rPr>
          <w:rFonts w:eastAsia="Times New Roman" w:cs="Times New Roman"/>
          <w:i/>
        </w:rPr>
        <w:t>Fisheries Act 1995</w:t>
      </w:r>
      <w:r w:rsidRPr="00D87B11">
        <w:rPr>
          <w:rFonts w:eastAsia="Times New Roman" w:cs="Times New Roman"/>
        </w:rPr>
        <w:t xml:space="preserve"> and subordinate legislation; Offshore Constitutional Settlements; commitments made by all Australian governments to manage fisheries according to the principles of ecologically sustainable development; and Victorian Government policies to facilitate economic productivity (including reducing regulatory burden) and to conserve environmental assets.</w:t>
      </w:r>
    </w:p>
    <w:p w14:paraId="44B101A1" w14:textId="54B67ED5" w:rsidR="00D87B11" w:rsidRPr="00D87B11" w:rsidRDefault="00D87B11" w:rsidP="00D87B11">
      <w:pPr>
        <w:rPr>
          <w:rFonts w:eastAsia="Times New Roman" w:cs="Times New Roman"/>
        </w:rPr>
      </w:pPr>
      <w:r w:rsidRPr="00D87B11">
        <w:rPr>
          <w:rFonts w:eastAsia="Times New Roman" w:cs="Times New Roman"/>
        </w:rPr>
        <w:t xml:space="preserve">A TACC is set for each management Zone which aims </w:t>
      </w:r>
      <w:r w:rsidRPr="00D87B11">
        <w:rPr>
          <w:rFonts w:eastAsia="Times New Roman" w:cs="Times New Roman"/>
          <w:i/>
          <w:iCs/>
        </w:rPr>
        <w:t>“To obtain optimum harvests from the fishery, whilst conserving sufficient reproductive capacity to maintain or rebuild population recruitment and ensuring that sufficient aggregations remain on reefs to preclude habitat loss”</w:t>
      </w:r>
      <w:r w:rsidRPr="00D87B11">
        <w:rPr>
          <w:rFonts w:eastAsia="Times New Roman" w:cs="Times New Roman"/>
        </w:rPr>
        <w:t xml:space="preserve"> (DEDJTR 2015). A reference to habitat is included in the context of evidence indicating that the presence of abalone on reefs helps to ensure that the habitat remains suitable for post-larval settlement and survival, and this means that more </w:t>
      </w:r>
      <w:proofErr w:type="gramStart"/>
      <w:r w:rsidRPr="00D87B11">
        <w:rPr>
          <w:rFonts w:eastAsia="Times New Roman" w:cs="Times New Roman"/>
        </w:rPr>
        <w:t>abalone</w:t>
      </w:r>
      <w:proofErr w:type="gramEnd"/>
      <w:r w:rsidRPr="00D87B11">
        <w:rPr>
          <w:rFonts w:eastAsia="Times New Roman" w:cs="Times New Roman"/>
        </w:rPr>
        <w:t xml:space="preserve"> may need to be retained on reefs than the minimum required to maintain levels of reproduction (Miner et al. 2006; Mundy and Jones 2017).</w:t>
      </w:r>
    </w:p>
    <w:p w14:paraId="55986138" w14:textId="77777777" w:rsidR="00D87B11" w:rsidRPr="00D87B11" w:rsidRDefault="00D87B11" w:rsidP="00D87B11">
      <w:pPr>
        <w:rPr>
          <w:rFonts w:eastAsia="Times New Roman" w:cs="Times New Roman"/>
        </w:rPr>
      </w:pPr>
      <w:r w:rsidRPr="00D87B11">
        <w:rPr>
          <w:rFonts w:eastAsia="Times New Roman" w:cs="Times New Roman"/>
        </w:rPr>
        <w:t>The Management Plan specifies the objectives, strategies and actions for managing the fishery for at least five years from the declaration of the plan. Objectives include:</w:t>
      </w:r>
    </w:p>
    <w:p w14:paraId="51D6721E" w14:textId="77777777" w:rsidR="00D87B11" w:rsidRPr="00D87B11" w:rsidRDefault="00D87B11" w:rsidP="00D87B11">
      <w:pPr>
        <w:numPr>
          <w:ilvl w:val="0"/>
          <w:numId w:val="12"/>
        </w:numPr>
        <w:tabs>
          <w:tab w:val="clear" w:pos="0"/>
        </w:tabs>
        <w:ind w:left="720"/>
        <w:rPr>
          <w:rFonts w:eastAsia="Times New Roman" w:cs="Times New Roman"/>
        </w:rPr>
      </w:pPr>
      <w:r w:rsidRPr="00D87B11">
        <w:rPr>
          <w:rFonts w:eastAsia="Times New Roman" w:cs="Times New Roman"/>
        </w:rPr>
        <w:t>Objective 1: Rebuild or maintain abalone stocks</w:t>
      </w:r>
    </w:p>
    <w:p w14:paraId="2AE4BB65" w14:textId="77777777" w:rsidR="00D87B11" w:rsidRPr="00D87B11" w:rsidRDefault="00D87B11" w:rsidP="00D87B11">
      <w:pPr>
        <w:numPr>
          <w:ilvl w:val="0"/>
          <w:numId w:val="12"/>
        </w:numPr>
        <w:tabs>
          <w:tab w:val="clear" w:pos="0"/>
        </w:tabs>
        <w:ind w:left="720"/>
        <w:rPr>
          <w:rFonts w:eastAsia="Times New Roman" w:cs="Times New Roman"/>
        </w:rPr>
      </w:pPr>
      <w:r w:rsidRPr="00D87B11">
        <w:rPr>
          <w:rFonts w:eastAsia="Times New Roman" w:cs="Times New Roman"/>
        </w:rPr>
        <w:t>Objective 2: Secure access to the resource</w:t>
      </w:r>
    </w:p>
    <w:p w14:paraId="23F5EB02" w14:textId="77777777" w:rsidR="00D87B11" w:rsidRPr="00D87B11" w:rsidRDefault="00D87B11" w:rsidP="00D87B11">
      <w:pPr>
        <w:numPr>
          <w:ilvl w:val="0"/>
          <w:numId w:val="12"/>
        </w:numPr>
        <w:tabs>
          <w:tab w:val="clear" w:pos="0"/>
        </w:tabs>
        <w:ind w:left="720"/>
        <w:rPr>
          <w:rFonts w:eastAsia="Times New Roman" w:cs="Times New Roman"/>
        </w:rPr>
      </w:pPr>
      <w:r w:rsidRPr="00D87B11">
        <w:rPr>
          <w:rFonts w:eastAsia="Times New Roman" w:cs="Times New Roman"/>
        </w:rPr>
        <w:t>Objective 3: Enable improvements in economic productivity</w:t>
      </w:r>
    </w:p>
    <w:p w14:paraId="2C4572FC" w14:textId="77777777" w:rsidR="00D87B11" w:rsidRPr="00D87B11" w:rsidRDefault="00D87B11" w:rsidP="00D87B11">
      <w:pPr>
        <w:numPr>
          <w:ilvl w:val="0"/>
          <w:numId w:val="12"/>
        </w:numPr>
        <w:tabs>
          <w:tab w:val="clear" w:pos="0"/>
        </w:tabs>
        <w:ind w:left="720"/>
        <w:rPr>
          <w:rFonts w:eastAsia="Times New Roman" w:cs="Times New Roman"/>
        </w:rPr>
      </w:pPr>
      <w:r w:rsidRPr="00D87B11">
        <w:rPr>
          <w:rFonts w:eastAsia="Times New Roman" w:cs="Times New Roman"/>
        </w:rPr>
        <w:t>Objective 4: Empower effective industry representation, organisation and funding</w:t>
      </w:r>
    </w:p>
    <w:p w14:paraId="7F58FD6B" w14:textId="77777777" w:rsidR="00D87B11" w:rsidRPr="00D87B11" w:rsidRDefault="00D87B11" w:rsidP="00D87B11">
      <w:pPr>
        <w:numPr>
          <w:ilvl w:val="0"/>
          <w:numId w:val="12"/>
        </w:numPr>
        <w:tabs>
          <w:tab w:val="clear" w:pos="0"/>
        </w:tabs>
        <w:ind w:left="720"/>
        <w:rPr>
          <w:rFonts w:eastAsia="Times New Roman" w:cs="Times New Roman"/>
        </w:rPr>
      </w:pPr>
      <w:r w:rsidRPr="00D87B11">
        <w:rPr>
          <w:rFonts w:eastAsia="Times New Roman" w:cs="Times New Roman"/>
        </w:rPr>
        <w:t>Objective 5: Ensure fisheries compliance</w:t>
      </w:r>
    </w:p>
    <w:p w14:paraId="13FEE3D7" w14:textId="77777777" w:rsidR="00D87B11" w:rsidRPr="00D87B11" w:rsidRDefault="00D87B11" w:rsidP="00D87B11">
      <w:pPr>
        <w:numPr>
          <w:ilvl w:val="0"/>
          <w:numId w:val="12"/>
        </w:numPr>
        <w:tabs>
          <w:tab w:val="clear" w:pos="0"/>
        </w:tabs>
        <w:ind w:left="720"/>
        <w:rPr>
          <w:rFonts w:eastAsia="Times New Roman" w:cs="Times New Roman"/>
        </w:rPr>
      </w:pPr>
      <w:r w:rsidRPr="00D87B11">
        <w:rPr>
          <w:rFonts w:eastAsia="Times New Roman" w:cs="Times New Roman"/>
        </w:rPr>
        <w:t>Objective 6: Ongoing monitoring and targeted research.</w:t>
      </w:r>
    </w:p>
    <w:p w14:paraId="41D92435" w14:textId="77777777" w:rsidR="006E478F" w:rsidRPr="00C03117" w:rsidRDefault="006E478F" w:rsidP="006E478F">
      <w:pPr>
        <w:pStyle w:val="Heading2"/>
        <w:ind w:left="709" w:hanging="709"/>
      </w:pPr>
      <w:bookmarkStart w:id="31" w:name="_Toc192777201"/>
      <w:r w:rsidRPr="00C03117">
        <w:t xml:space="preserve">Abalone </w:t>
      </w:r>
      <w:r>
        <w:t xml:space="preserve">Fishery </w:t>
      </w:r>
      <w:r w:rsidRPr="00C03117">
        <w:t>Scientific Working Group</w:t>
      </w:r>
      <w:bookmarkEnd w:id="30"/>
      <w:bookmarkEnd w:id="31"/>
    </w:p>
    <w:p w14:paraId="0D17F616" w14:textId="2FE33A7E" w:rsidR="00FB0A3F" w:rsidRDefault="006E478F">
      <w:r w:rsidRPr="00C03117">
        <w:t>In February 2024,</w:t>
      </w:r>
      <w:r>
        <w:t xml:space="preserve"> an Abalone Scientific Working Group (ASWG) was established by </w:t>
      </w:r>
      <w:r w:rsidR="00885CDA">
        <w:t>the Victorian Fisheries Authority (</w:t>
      </w:r>
      <w:r>
        <w:t>VFA</w:t>
      </w:r>
      <w:r w:rsidR="00885CDA">
        <w:t>)</w:t>
      </w:r>
      <w:r>
        <w:t xml:space="preserve"> to utilise the experience and expertise of independent scientific personnel, fishery managers and abalone industry members to provide recommendations on how best to assess and monitor the Victorian Abalone Fishery across all three zones. The short-term priorities identified by the ASWG were focussed on improvements to the stock assessment process, specifically changes to the filters applied to the CPUE dataset, and changes to the CPUE standardisation modelling. The recommended changes have been applied to this report.</w:t>
      </w:r>
    </w:p>
    <w:p w14:paraId="6B48502A" w14:textId="77777777" w:rsidR="00FB0A3F" w:rsidRDefault="00000000">
      <w:pPr>
        <w:pStyle w:val="Heading1"/>
        <w:ind w:left="0" w:firstLine="0"/>
      </w:pPr>
      <w:bookmarkStart w:id="32" w:name="_Toc150423158"/>
      <w:bookmarkStart w:id="33" w:name="_Toc192777202"/>
      <w:r>
        <w:t>Methods</w:t>
      </w:r>
      <w:bookmarkEnd w:id="32"/>
      <w:bookmarkEnd w:id="33"/>
    </w:p>
    <w:p w14:paraId="50385D38" w14:textId="77777777" w:rsidR="00FB0A3F" w:rsidRDefault="00000000">
      <w:pPr>
        <w:pStyle w:val="Heading2"/>
        <w:ind w:left="709" w:hanging="709"/>
      </w:pPr>
      <w:bookmarkStart w:id="34" w:name="_Toc150423159"/>
      <w:bookmarkStart w:id="35" w:name="_Toc192777203"/>
      <w:r>
        <w:t>Data sources and uncertainties in the assessment</w:t>
      </w:r>
      <w:bookmarkEnd w:id="34"/>
      <w:bookmarkEnd w:id="35"/>
    </w:p>
    <w:p w14:paraId="1D5D1C9D" w14:textId="77777777" w:rsidR="00FB0A3F" w:rsidRDefault="00000000">
      <w:pPr>
        <w:pStyle w:val="Heading3"/>
      </w:pPr>
      <w:bookmarkStart w:id="36" w:name="_Toc150423160"/>
      <w:bookmarkStart w:id="37" w:name="_Toc192777204"/>
      <w:r>
        <w:t>Catch, effort, and CPUE</w:t>
      </w:r>
      <w:bookmarkEnd w:id="36"/>
      <w:bookmarkEnd w:id="37"/>
      <w:r>
        <w:t xml:space="preserve"> </w:t>
      </w:r>
    </w:p>
    <w:p w14:paraId="181F82C3" w14:textId="56D24EDE" w:rsidR="00FB0A3F" w:rsidRDefault="00000000">
      <w:pPr>
        <w:spacing w:before="0" w:after="160" w:line="259" w:lineRule="auto"/>
        <w:rPr>
          <w:highlight w:val="yellow"/>
        </w:rPr>
      </w:pPr>
      <w:r>
        <w:t xml:space="preserve">The commercial Victorian abalone fishery commenced </w:t>
      </w:r>
      <w:r w:rsidR="00885CDA">
        <w:t xml:space="preserve">around </w:t>
      </w:r>
      <w:r>
        <w:t xml:space="preserve">1962 in the Mallacoota region, with the Central Zone of the fishery created in 1970 by subdivision of the existing Eastern and Western Zones (Gorfine et al 2008). Detailed daily logbooks providing catch, effort and spatial data at the </w:t>
      </w:r>
      <w:proofErr w:type="spellStart"/>
      <w:r>
        <w:t>reefcode</w:t>
      </w:r>
      <w:proofErr w:type="spellEnd"/>
      <w:r>
        <w:t xml:space="preserve"> level were established during 1978 with logbook data presented in this report from 1 April 1979.</w:t>
      </w:r>
    </w:p>
    <w:p w14:paraId="0BE83082" w14:textId="36D0061A" w:rsidR="00FB0A3F" w:rsidRDefault="00000000">
      <w:r>
        <w:t>Catch per unit effort, referred to as CPUE, is a commonly used index of abundance for fisheries stock assessment. However, recent Stock Assessment Reports (Dixon et al 2020, 2021, 2022</w:t>
      </w:r>
      <w:r w:rsidR="002C62D0">
        <w:t xml:space="preserve">; Dixon and </w:t>
      </w:r>
      <w:r w:rsidR="002C62D0">
        <w:lastRenderedPageBreak/>
        <w:t>Lowe 2024</w:t>
      </w:r>
      <w:r>
        <w:t>) and a review of the current CPUE standardisation approach (Dichmont et al 2022) have discussed in detail the limitations of CPUE data as an index of abundance for the Central Zone abalone fishery. The key issues include:</w:t>
      </w:r>
    </w:p>
    <w:p w14:paraId="6599B182" w14:textId="77777777" w:rsidR="00FB0A3F" w:rsidRDefault="00000000">
      <w:pPr>
        <w:pStyle w:val="ListParagraph"/>
        <w:numPr>
          <w:ilvl w:val="0"/>
          <w:numId w:val="6"/>
        </w:numPr>
      </w:pPr>
      <w:r>
        <w:t>hyperstability due to their cryptic nature and aggregating behaviour,</w:t>
      </w:r>
    </w:p>
    <w:p w14:paraId="543BB09A" w14:textId="77777777" w:rsidR="00FB0A3F" w:rsidRDefault="00000000">
      <w:pPr>
        <w:pStyle w:val="ListParagraph"/>
        <w:numPr>
          <w:ilvl w:val="0"/>
          <w:numId w:val="6"/>
        </w:numPr>
      </w:pPr>
      <w:r>
        <w:t>changes in the spatial or temporal distribution of the catch,</w:t>
      </w:r>
    </w:p>
    <w:p w14:paraId="10F2DEC3" w14:textId="77777777" w:rsidR="00FB0A3F" w:rsidRDefault="00000000">
      <w:pPr>
        <w:pStyle w:val="ListParagraph"/>
        <w:numPr>
          <w:ilvl w:val="0"/>
          <w:numId w:val="6"/>
        </w:numPr>
      </w:pPr>
      <w:r>
        <w:t>effort creep due to improvements in technology,</w:t>
      </w:r>
    </w:p>
    <w:p w14:paraId="50589802" w14:textId="77777777" w:rsidR="00FB0A3F" w:rsidRDefault="00000000">
      <w:pPr>
        <w:pStyle w:val="ListParagraph"/>
        <w:numPr>
          <w:ilvl w:val="0"/>
          <w:numId w:val="6"/>
        </w:numPr>
      </w:pPr>
      <w:r>
        <w:t>reliability of reporting,</w:t>
      </w:r>
    </w:p>
    <w:p w14:paraId="71CC7544" w14:textId="77777777" w:rsidR="00FB0A3F" w:rsidRDefault="00000000">
      <w:pPr>
        <w:pStyle w:val="ListParagraph"/>
        <w:numPr>
          <w:ilvl w:val="0"/>
          <w:numId w:val="6"/>
        </w:numPr>
      </w:pPr>
      <w:r>
        <w:t>environmental conditions.</w:t>
      </w:r>
    </w:p>
    <w:p w14:paraId="45A54728" w14:textId="77777777" w:rsidR="00D87B11" w:rsidRPr="00D87B11" w:rsidRDefault="00D87B11" w:rsidP="00D87B11">
      <w:pPr>
        <w:rPr>
          <w:rFonts w:eastAsia="Times New Roman" w:cs="Times New Roman"/>
        </w:rPr>
      </w:pPr>
      <w:r w:rsidRPr="00D87B11">
        <w:rPr>
          <w:rFonts w:eastAsia="Times New Roman" w:cs="Times New Roman"/>
        </w:rPr>
        <w:t>In summary, because abalone aggregate and divers generally target the densest visible aggregations, CPUE can be maintained even if overall population abundance is declining. As a result of these circumstances, stable or increasing trends in CPUE may not be reflective of trends in stock abundance. Declines in CPUE are generally considered to reflect declining abundance, however they are also unlikely to be linear, with rates of decline potentially more severe than CPUE data would suggest. Complicating these issues, declines in CPUE in the short-term may also be attributed to other influencing factors such as an increase in size limit, or changes in market forces. Other factors such as diver experience can also affect abalone CPUE trends.</w:t>
      </w:r>
    </w:p>
    <w:p w14:paraId="0C9495BB" w14:textId="77777777" w:rsidR="00BB2DDC" w:rsidRPr="00BB2DDC" w:rsidRDefault="00BB2DDC" w:rsidP="00BB2DDC">
      <w:r w:rsidRPr="00BB2DDC">
        <w:t>In addition to these factors, Dichmont et al (2022) identified that the quality of logbook data was poor, stating “</w:t>
      </w:r>
      <w:r w:rsidRPr="00BB2DDC">
        <w:rPr>
          <w:i/>
          <w:iCs/>
        </w:rPr>
        <w:t xml:space="preserve">There are many issues with the accuracy of the logbook data. The spatial location of divers at the local scale is missing and we were unable to untangle important small-scale changes over time such as moving inshore or discovering new reefs within a </w:t>
      </w:r>
      <w:proofErr w:type="spellStart"/>
      <w:r w:rsidRPr="00BB2DDC">
        <w:rPr>
          <w:i/>
          <w:iCs/>
        </w:rPr>
        <w:t>reefcode</w:t>
      </w:r>
      <w:proofErr w:type="spellEnd"/>
      <w:r w:rsidRPr="00BB2DDC">
        <w:rPr>
          <w:i/>
          <w:iCs/>
        </w:rPr>
        <w:t>. Given the extent of outliers in the linear models, it is possible that the data may include periods where some divers may not have recorded catch, effort and location information with the accuracy needed to use this data as a reliable index of abundance</w:t>
      </w:r>
      <w:r w:rsidRPr="00BB2DDC">
        <w:t>”.</w:t>
      </w:r>
    </w:p>
    <w:p w14:paraId="3B40DE02" w14:textId="77777777" w:rsidR="00BB2DDC" w:rsidRPr="00BB2DDC" w:rsidRDefault="00BB2DDC" w:rsidP="00BB2DDC">
      <w:r w:rsidRPr="00BB2DDC">
        <w:t>To partially address the issue of data outliers, the ASWG examined catch, effort and CPUE data in detail from 2003 onward to remove data that appeared unrealistic. As a result, the following set of filters were applied to the CPUE datasets before standardisation was undertaken:</w:t>
      </w:r>
    </w:p>
    <w:p w14:paraId="4291B99C" w14:textId="77777777" w:rsidR="00BB2DDC" w:rsidRPr="00BB2DDC" w:rsidRDefault="00BB2DDC" w:rsidP="00BB2DDC">
      <w:pPr>
        <w:numPr>
          <w:ilvl w:val="0"/>
          <w:numId w:val="13"/>
        </w:numPr>
      </w:pPr>
      <w:r w:rsidRPr="00BB2DDC">
        <w:t xml:space="preserve">Removed CPUE &lt;25 kg/h and &gt;250 kg/h at the </w:t>
      </w:r>
      <w:proofErr w:type="spellStart"/>
      <w:r w:rsidRPr="00BB2DDC">
        <w:t>reefcode</w:t>
      </w:r>
      <w:proofErr w:type="spellEnd"/>
      <w:r w:rsidRPr="00BB2DDC">
        <w:t>/day scale</w:t>
      </w:r>
    </w:p>
    <w:p w14:paraId="6B8A6911" w14:textId="3E1AD52E" w:rsidR="00BB2DDC" w:rsidRPr="00BB2DDC" w:rsidRDefault="00BB2DDC" w:rsidP="00BB2DDC">
      <w:pPr>
        <w:numPr>
          <w:ilvl w:val="0"/>
          <w:numId w:val="13"/>
        </w:numPr>
      </w:pPr>
      <w:r w:rsidRPr="00BB2DDC">
        <w:t xml:space="preserve">Removed daily catches &lt;20 kg/day and </w:t>
      </w:r>
      <w:r>
        <w:t xml:space="preserve">&gt;1300 kg/day for the Shipwreck SMU and </w:t>
      </w:r>
      <w:r w:rsidRPr="00BB2DDC">
        <w:t>&gt;800 kg/day</w:t>
      </w:r>
      <w:r>
        <w:t xml:space="preserve"> for all other SMUs</w:t>
      </w:r>
    </w:p>
    <w:p w14:paraId="2FEF3F22" w14:textId="1C4FEE70" w:rsidR="00BB2DDC" w:rsidRPr="00BB2DDC" w:rsidRDefault="00BB2DDC" w:rsidP="00BB2DDC">
      <w:pPr>
        <w:numPr>
          <w:ilvl w:val="0"/>
          <w:numId w:val="13"/>
        </w:numPr>
      </w:pPr>
      <w:r w:rsidRPr="00BB2DDC">
        <w:t>Removed daily effort &lt;20 minutes/day and &gt;9 hours/day</w:t>
      </w:r>
    </w:p>
    <w:p w14:paraId="26583388" w14:textId="11EF5F5D" w:rsidR="00BB2DDC" w:rsidRDefault="00BB2DDC" w:rsidP="00BB2DDC">
      <w:r>
        <w:t xml:space="preserve">It should be noted that a diver experience filter was applied for the recent Eastern Zone stock assessment </w:t>
      </w:r>
      <w:r w:rsidR="005E3686">
        <w:t>(Dixon and Lowe 2024</w:t>
      </w:r>
      <w:proofErr w:type="gramStart"/>
      <w:r w:rsidR="005E3686">
        <w:t>)</w:t>
      </w:r>
      <w:proofErr w:type="gramEnd"/>
      <w:r w:rsidR="005E3686">
        <w:t xml:space="preserve"> </w:t>
      </w:r>
      <w:r>
        <w:t>but this was removed for this Central Zone assessment as too many data points were removed by the filter.</w:t>
      </w:r>
    </w:p>
    <w:p w14:paraId="3290BDBC" w14:textId="24B3AB18" w:rsidR="00BB2DDC" w:rsidRDefault="00BB2DDC" w:rsidP="00BB2DDC">
      <w:r w:rsidRPr="00BB2DDC">
        <w:t>The CPUE data in previous reports were standardised following Giri and Gorfine (2018).  However, the approach did little to improve the index of abundance as there was little difference between nominal and standardised trends at all spatial and temporal scales. Several alternative standardisation models were tested by Dichmont et al (2022), and during 2024 a revised standardisation model was agreed upon through the ASWG. The revised model removed some of the interaction terms and included a “quarter” term (</w:t>
      </w:r>
      <w:proofErr w:type="spellStart"/>
      <w:r w:rsidRPr="00BB2DDC">
        <w:t>Qtr</w:t>
      </w:r>
      <w:proofErr w:type="spellEnd"/>
      <w:r w:rsidRPr="00BB2DDC">
        <w:t>) to replace the “month” term.</w:t>
      </w:r>
      <w:r w:rsidR="005E3686">
        <w:t xml:space="preserve"> The revised model was first applied for the recent Eastern Zone stock assessment (Dixon and Lowe 2024). A further refinement for this Central Zone assessment has resulted in a single</w:t>
      </w:r>
      <w:r w:rsidR="005E3686" w:rsidRPr="005E3686">
        <w:t xml:space="preserve"> linear mixed-effects model </w:t>
      </w:r>
      <w:r w:rsidR="005E3686">
        <w:t xml:space="preserve">being run for </w:t>
      </w:r>
      <w:r w:rsidR="005E3686" w:rsidRPr="005E3686">
        <w:t xml:space="preserve">the Zone </w:t>
      </w:r>
      <w:r w:rsidR="005E3686">
        <w:t xml:space="preserve">and SMU levels simultaneously, </w:t>
      </w:r>
      <w:r w:rsidR="005E3686" w:rsidRPr="005E3686">
        <w:t>specified as follows:</w:t>
      </w:r>
    </w:p>
    <w:p w14:paraId="67DA2059" w14:textId="5BACE4DE" w:rsidR="005E3686" w:rsidRDefault="005E3686" w:rsidP="00BB2DDC">
      <w:r w:rsidRPr="005E3686">
        <w:rPr>
          <w:noProof/>
        </w:rPr>
        <w:lastRenderedPageBreak/>
        <w:drawing>
          <wp:inline distT="0" distB="0" distL="0" distR="0" wp14:anchorId="12D4F51D" wp14:editId="5672AF86">
            <wp:extent cx="5102892" cy="960120"/>
            <wp:effectExtent l="0" t="0" r="2540" b="0"/>
            <wp:docPr id="1852918274" name="Picture 1" descr="A math equation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918274" name="Picture 1" descr="A math equations on a white background&#10;&#10;Description automatically generated"/>
                    <pic:cNvPicPr/>
                  </pic:nvPicPr>
                  <pic:blipFill rotWithShape="1">
                    <a:blip r:embed="rId17"/>
                    <a:srcRect b="8696"/>
                    <a:stretch/>
                  </pic:blipFill>
                  <pic:spPr bwMode="auto">
                    <a:xfrm>
                      <a:off x="0" y="0"/>
                      <a:ext cx="5135497" cy="966255"/>
                    </a:xfrm>
                    <a:prstGeom prst="rect">
                      <a:avLst/>
                    </a:prstGeom>
                    <a:ln>
                      <a:noFill/>
                    </a:ln>
                    <a:extLst>
                      <a:ext uri="{53640926-AAD7-44D8-BBD7-CCE9431645EC}">
                        <a14:shadowObscured xmlns:a14="http://schemas.microsoft.com/office/drawing/2010/main"/>
                      </a:ext>
                    </a:extLst>
                  </pic:spPr>
                </pic:pic>
              </a:graphicData>
            </a:graphic>
          </wp:inline>
        </w:drawing>
      </w:r>
    </w:p>
    <w:p w14:paraId="641241DD" w14:textId="542B7C87" w:rsidR="00495804" w:rsidRDefault="00495804" w:rsidP="005E3686">
      <w:r>
        <w:t xml:space="preserve">Figures presented in this report that plot nominal versus standardised CPUE use filtered data for both nominal and standardised measures to best determine the impact of the standardisation process. Thus, nominal figures in this report differ to those of previous reports. Also, standardised CPUE measures presented in this report are not adjusted to the mean nominal CPUE as in previous reports. </w:t>
      </w:r>
    </w:p>
    <w:p w14:paraId="349978EC" w14:textId="49E4A81D" w:rsidR="005E3686" w:rsidRPr="005E3686" w:rsidRDefault="005E3686" w:rsidP="005E3686">
      <w:r w:rsidRPr="005E3686">
        <w:t xml:space="preserve">While approaches to improving the information base for the fishery continue to evolve, this assessment remains heavily reliant on CPUE as its primary source of information. Thus, there is substantial uncertainty in the interpretation of the data that drive the stock status assessment and Draft Harvest Strategy outcomes. </w:t>
      </w:r>
    </w:p>
    <w:p w14:paraId="3A5F7583" w14:textId="5DE34694" w:rsidR="00564C39" w:rsidRDefault="00564C39" w:rsidP="00564C39">
      <w:pPr>
        <w:pStyle w:val="Heading3"/>
      </w:pPr>
      <w:bookmarkStart w:id="38" w:name="_Toc192777205"/>
      <w:r>
        <w:t>Mean daily catch</w:t>
      </w:r>
      <w:bookmarkEnd w:id="38"/>
      <w:r>
        <w:t xml:space="preserve"> </w:t>
      </w:r>
    </w:p>
    <w:p w14:paraId="210BA26A" w14:textId="7F4E212A" w:rsidR="005E3686" w:rsidRDefault="00564C39" w:rsidP="00BB2DDC">
      <w:r>
        <w:t xml:space="preserve">Estimates of mean daily catch are another approach to examining catch per unit effort, with the unit being a day’s diving rather than average catches per hour of diving. </w:t>
      </w:r>
      <w:r w:rsidRPr="00564C39">
        <w:t xml:space="preserve"> This measure only includes days when divers fished a single SMU and more than </w:t>
      </w:r>
      <w:r>
        <w:t>2</w:t>
      </w:r>
      <w:r w:rsidRPr="00564C39">
        <w:t>0 kg of abalone was recorded</w:t>
      </w:r>
      <w:r>
        <w:t xml:space="preserve"> as the daily catch</w:t>
      </w:r>
      <w:r w:rsidRPr="00564C39">
        <w:t xml:space="preserve">. </w:t>
      </w:r>
    </w:p>
    <w:p w14:paraId="3B7F2CC6" w14:textId="198A171B" w:rsidR="00FB0A3F" w:rsidRDefault="00564C39">
      <w:r>
        <w:t xml:space="preserve">Mean daily catch was also standardised using a </w:t>
      </w:r>
      <w:r w:rsidRPr="005E3686">
        <w:t>linear mixed-effects model</w:t>
      </w:r>
      <w:r>
        <w:t>,</w:t>
      </w:r>
      <w:r w:rsidRPr="005E3686">
        <w:t xml:space="preserve"> specified as follows:</w:t>
      </w:r>
    </w:p>
    <w:p w14:paraId="215DEC51" w14:textId="036EC5AA" w:rsidR="00564C39" w:rsidRDefault="00564C39">
      <w:r w:rsidRPr="00564C39">
        <w:rPr>
          <w:noProof/>
        </w:rPr>
        <w:drawing>
          <wp:inline distT="0" distB="0" distL="0" distR="0" wp14:anchorId="4BA1C919" wp14:editId="5AB8808C">
            <wp:extent cx="4812030" cy="967740"/>
            <wp:effectExtent l="0" t="0" r="7620" b="0"/>
            <wp:docPr id="804019746" name="Picture 1" descr="A math equation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019746" name="Picture 1" descr="A math equations on a white background&#10;&#10;Description automatically generated"/>
                    <pic:cNvPicPr/>
                  </pic:nvPicPr>
                  <pic:blipFill rotWithShape="1">
                    <a:blip r:embed="rId18"/>
                    <a:srcRect l="5109" t="25454" b="-8265"/>
                    <a:stretch/>
                  </pic:blipFill>
                  <pic:spPr bwMode="auto">
                    <a:xfrm>
                      <a:off x="0" y="0"/>
                      <a:ext cx="4879861" cy="981381"/>
                    </a:xfrm>
                    <a:prstGeom prst="rect">
                      <a:avLst/>
                    </a:prstGeom>
                    <a:ln>
                      <a:noFill/>
                    </a:ln>
                    <a:extLst>
                      <a:ext uri="{53640926-AAD7-44D8-BBD7-CCE9431645EC}">
                        <a14:shadowObscured xmlns:a14="http://schemas.microsoft.com/office/drawing/2010/main"/>
                      </a:ext>
                    </a:extLst>
                  </pic:spPr>
                </pic:pic>
              </a:graphicData>
            </a:graphic>
          </wp:inline>
        </w:drawing>
      </w:r>
    </w:p>
    <w:p w14:paraId="397582C5" w14:textId="2E82A62D" w:rsidR="00495804" w:rsidRDefault="00495804">
      <w:r>
        <w:t xml:space="preserve">As for CPUE assessment, both nominal and standardised values use filtered </w:t>
      </w:r>
      <w:proofErr w:type="gramStart"/>
      <w:r>
        <w:t>data</w:t>
      </w:r>
      <w:proofErr w:type="gramEnd"/>
      <w:r>
        <w:t xml:space="preserve"> and standardised values are not adjusted. </w:t>
      </w:r>
    </w:p>
    <w:p w14:paraId="18E57E1A" w14:textId="77777777" w:rsidR="00FB0A3F" w:rsidRDefault="00000000">
      <w:pPr>
        <w:pStyle w:val="Heading3"/>
      </w:pPr>
      <w:bookmarkStart w:id="39" w:name="_Toc150423161"/>
      <w:bookmarkStart w:id="40" w:name="_Toc192777206"/>
      <w:r>
        <w:t>Fishery-independent survey abundance</w:t>
      </w:r>
      <w:bookmarkEnd w:id="39"/>
      <w:bookmarkEnd w:id="40"/>
    </w:p>
    <w:p w14:paraId="37235A93" w14:textId="4B13542B" w:rsidR="00FB0A3F" w:rsidRDefault="00000000">
      <w:r>
        <w:t xml:space="preserve">Several fishery-independent survey (FIS) approaches have been developed for abalone fisheries in Australia. Commencing in 1992, the Victorian FIS provides a long-term, annual dataset measuring recruit and pre-recruit abundance (standardised using GLMM following VFA 2019a), along with size structure data. The Victorian FIS </w:t>
      </w:r>
      <w:r w:rsidR="00564C39">
        <w:t xml:space="preserve">was recently </w:t>
      </w:r>
      <w:r>
        <w:t>review</w:t>
      </w:r>
      <w:r w:rsidR="00564C39">
        <w:t xml:space="preserve">ed </w:t>
      </w:r>
      <w:r>
        <w:t xml:space="preserve">(Dixon 2023). Several outcomes from the review are critical to this report and the assessment of stock status for the Central Zone. </w:t>
      </w:r>
    </w:p>
    <w:p w14:paraId="62569CE8" w14:textId="77777777" w:rsidR="00FB0A3F" w:rsidRDefault="00000000">
      <w:r>
        <w:t xml:space="preserve">Of greatest importance, both commercial fishing effort and FIS locations were mapped using GIS software to obtain an understanding of how well (or otherwise) FIS sites represented the biomass upon which the Central Zone fishery is currently based. In general, the results of this analysis suggested that FIS sites are a very poor representation of the current fishing grounds. As hypothesized in previous Stock Assessment Reports, declines in FIS abundance observed over a decade from around 2003 represented declines in abundance on intermediate and deeper water reefs. The loss of these reefs did not impact CPUE in a linear manner, as catch rates were largely maintained during the period when a shift in the distribution of effort moved toward shallower reefs where FIS sites were not located (due to logistic reasons). On this basis, the declines in FIS abundance during this period do reflect a reduction in biomass from intermediate and deeper reefs, however the rate of decline in abundance is much greater than the rate of decline in total biomass. In summary, historical FIS sites are a negatively biased representation of changes in total biomass. </w:t>
      </w:r>
    </w:p>
    <w:p w14:paraId="2FCE5283" w14:textId="77777777" w:rsidR="00FB0A3F" w:rsidRDefault="00000000">
      <w:r>
        <w:lastRenderedPageBreak/>
        <w:t xml:space="preserve">With declines in FIS abundance providing overly pessimistic trends and CPUE providing overly optimistic trends, the contrasting signals from these data sources have caused substantial uncertainty in the assessment of stock status for many years. The relationship between these measures has been studied in detail in previous reports and has been included as an appendix in this report (Appendix 1). To address these issues, the FIS review process has identified an urgent need to establish new FIS locations in shallow reefs that are representative of the current fishing grounds. It is anticipated that the first of these sites will be in place by 2024. </w:t>
      </w:r>
    </w:p>
    <w:p w14:paraId="19404A74" w14:textId="0553DD51" w:rsidR="00FB0A3F" w:rsidRDefault="00000000">
      <w:r>
        <w:t>The FIS review process also resulted in a reduction in the number of historic FIS sites surveyed in the Central Zone. While no FIS was conducted in 2022, data were gathered from 15 old FIS sites referred to as the “Top 15” (Dixon 2023)</w:t>
      </w:r>
      <w:r w:rsidR="00564C39">
        <w:t xml:space="preserve"> during 2023</w:t>
      </w:r>
      <w:r>
        <w:t xml:space="preserve">. </w:t>
      </w:r>
      <w:r w:rsidR="00564C39">
        <w:t>No surveys were conducted in 2024</w:t>
      </w:r>
      <w:r w:rsidR="00123746">
        <w:t>.</w:t>
      </w:r>
      <w:r w:rsidR="00564C39">
        <w:t xml:space="preserve"> </w:t>
      </w:r>
      <w:r w:rsidR="00A52D97">
        <w:t xml:space="preserve">While the Top 15 </w:t>
      </w:r>
      <w:r>
        <w:t xml:space="preserve">sites are not </w:t>
      </w:r>
      <w:r w:rsidR="00A52D97">
        <w:t xml:space="preserve">considered as </w:t>
      </w:r>
      <w:r>
        <w:t>representative of the primary fishing grounds, they were selected as they maintained reasonable levels of abalone abundance, and they were generally adjacent to and slightly deeper than areas of more intense fishing effort. It was considered by the group that these “adjacent sites” may be the first historic FIS sites that would show signs of potential stock recovery. While data from these sites alone are not considered to be representative of trends in biomass for the overall fishery, they contribute some useful information toward the assessment of stock status. Recruit and pre-recruit abundance as well as size frequency data are presented at the SMU scale</w:t>
      </w:r>
      <w:r w:rsidR="00A52D97">
        <w:t xml:space="preserve"> up to 2023</w:t>
      </w:r>
      <w:r>
        <w:t>, however the number of Top 15 FIS sites at this scale varies between 2 and 4 at 6 of the 11 SMUs in the Central Zone. Thus, interpretation of these trends should be treated with caution. Analyses from Dixon (2023) suggest that trends for the Top 15 sites at the zone scale have similar statistical precision to previous years when around 60 sites were surveyed.</w:t>
      </w:r>
    </w:p>
    <w:p w14:paraId="6A3CF287" w14:textId="37F02093" w:rsidR="00A52D97" w:rsidRDefault="00A52D97">
      <w:r>
        <w:t xml:space="preserve">FIS data are standardised using a </w:t>
      </w:r>
      <w:r w:rsidRPr="005E3686">
        <w:t>linear mixed-effects model</w:t>
      </w:r>
      <w:r>
        <w:t>,</w:t>
      </w:r>
      <w:r w:rsidRPr="005E3686">
        <w:t xml:space="preserve"> specified as follows:</w:t>
      </w:r>
    </w:p>
    <w:p w14:paraId="33C4A210" w14:textId="600C90D8" w:rsidR="00A52D97" w:rsidRDefault="00A52D97">
      <w:r w:rsidRPr="00A52D97">
        <w:rPr>
          <w:noProof/>
        </w:rPr>
        <w:drawing>
          <wp:inline distT="0" distB="0" distL="0" distR="0" wp14:anchorId="5D1DA9B9" wp14:editId="02566A78">
            <wp:extent cx="5078829" cy="906780"/>
            <wp:effectExtent l="0" t="0" r="7620" b="0"/>
            <wp:docPr id="1476937291" name="Picture 1" descr="A math equation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937291" name="Picture 1" descr="A math equations on a white background&#10;&#10;Description automatically generated"/>
                    <pic:cNvPicPr/>
                  </pic:nvPicPr>
                  <pic:blipFill rotWithShape="1">
                    <a:blip r:embed="rId19"/>
                    <a:srcRect l="-4569" t="-1" r="1" b="-13243"/>
                    <a:stretch/>
                  </pic:blipFill>
                  <pic:spPr bwMode="auto">
                    <a:xfrm>
                      <a:off x="0" y="0"/>
                      <a:ext cx="5211975" cy="930552"/>
                    </a:xfrm>
                    <a:prstGeom prst="rect">
                      <a:avLst/>
                    </a:prstGeom>
                    <a:ln>
                      <a:noFill/>
                    </a:ln>
                    <a:extLst>
                      <a:ext uri="{53640926-AAD7-44D8-BBD7-CCE9431645EC}">
                        <a14:shadowObscured xmlns:a14="http://schemas.microsoft.com/office/drawing/2010/main"/>
                      </a:ext>
                    </a:extLst>
                  </pic:spPr>
                </pic:pic>
              </a:graphicData>
            </a:graphic>
          </wp:inline>
        </w:drawing>
      </w:r>
    </w:p>
    <w:p w14:paraId="5274F5F8" w14:textId="77777777" w:rsidR="00FB0A3F" w:rsidRDefault="00000000">
      <w:pPr>
        <w:pStyle w:val="Heading3"/>
      </w:pPr>
      <w:bookmarkStart w:id="41" w:name="_Toc150423162"/>
      <w:bookmarkStart w:id="42" w:name="_Toc192777207"/>
      <w:r>
        <w:t>Size structure data</w:t>
      </w:r>
      <w:bookmarkEnd w:id="41"/>
      <w:bookmarkEnd w:id="42"/>
    </w:p>
    <w:p w14:paraId="6C0CFCEA" w14:textId="77777777" w:rsidR="00FB0A3F" w:rsidRDefault="00000000">
      <w:pPr>
        <w:pStyle w:val="Heading4"/>
        <w:numPr>
          <w:ilvl w:val="0"/>
          <w:numId w:val="0"/>
        </w:numPr>
        <w:ind w:left="284"/>
      </w:pPr>
      <w:bookmarkStart w:id="43" w:name="_Toc150423163"/>
      <w:bookmarkStart w:id="44" w:name="_Toc149152858"/>
      <w:r>
        <w:t>Fishery-independent survey</w:t>
      </w:r>
      <w:bookmarkEnd w:id="43"/>
      <w:bookmarkEnd w:id="44"/>
    </w:p>
    <w:p w14:paraId="494F8455" w14:textId="77777777" w:rsidR="00FB0A3F" w:rsidRDefault="00000000">
      <w:pPr>
        <w:rPr>
          <w:lang w:val="en-US"/>
        </w:rPr>
      </w:pPr>
      <w:r>
        <w:rPr>
          <w:lang w:val="en-US"/>
        </w:rPr>
        <w:t xml:space="preserve">Size structure data from FIS are available from 1992. However, the approach to collecting length frequency data changed in 2003 when abalone were removed after the transect survey counts from areas immediately outside of the site radius in a “timed swim” approach, rather than removing all abalone encountered on the transects themselves. </w:t>
      </w:r>
    </w:p>
    <w:p w14:paraId="0A949D4E" w14:textId="1715AF7C" w:rsidR="00FB0A3F" w:rsidRDefault="00000000">
      <w:pPr>
        <w:rPr>
          <w:lang w:val="en-US"/>
        </w:rPr>
      </w:pPr>
      <w:r>
        <w:rPr>
          <w:lang w:val="en-US"/>
        </w:rPr>
        <w:t xml:space="preserve">Data are weighted by the </w:t>
      </w:r>
      <w:r w:rsidR="00885CDA">
        <w:rPr>
          <w:lang w:val="en-US"/>
        </w:rPr>
        <w:t>standardised</w:t>
      </w:r>
      <w:r>
        <w:rPr>
          <w:lang w:val="en-US"/>
        </w:rPr>
        <w:t xml:space="preserve"> abundance at each site to ensure that the size distribution is representative of the sampled population, rather than the samples measured, which reduces bias. Length frequency samples from each site were converted from counts to percentage frequency and were then scaled by the total count at each site to determine the percentage length frequency at the SMU scale. The percent frequency was then multiplied by the </w:t>
      </w:r>
      <w:r w:rsidR="00885CDA">
        <w:rPr>
          <w:lang w:val="en-US"/>
        </w:rPr>
        <w:t>standardised</w:t>
      </w:r>
      <w:r>
        <w:rPr>
          <w:lang w:val="en-US"/>
        </w:rPr>
        <w:t xml:space="preserve"> total abundance (i.e. </w:t>
      </w:r>
      <w:r w:rsidR="00885CDA">
        <w:rPr>
          <w:lang w:val="en-US"/>
        </w:rPr>
        <w:t>standardised</w:t>
      </w:r>
      <w:r>
        <w:rPr>
          <w:lang w:val="en-US"/>
        </w:rPr>
        <w:t xml:space="preserve"> pre-recruit abundance + </w:t>
      </w:r>
      <w:r w:rsidR="00885CDA">
        <w:rPr>
          <w:lang w:val="en-US"/>
        </w:rPr>
        <w:t>standardised</w:t>
      </w:r>
      <w:r>
        <w:rPr>
          <w:lang w:val="en-US"/>
        </w:rPr>
        <w:t xml:space="preserve"> recruit abundance) for each year. These data are then presented graphically with associated statistics and reported in Appendix 2. Data from all FIS sites are presented at the SMU level from 2003 to 2021, and data from the Top 15 FIS sites are presented at the SMU level from 2003 to 2023, for the six SMUs with Top 15 sites. Interpretations of the data are included in the summary assessment for each SMU. </w:t>
      </w:r>
    </w:p>
    <w:p w14:paraId="02636672" w14:textId="77777777" w:rsidR="00FB0A3F" w:rsidRDefault="00000000">
      <w:pPr>
        <w:rPr>
          <w:lang w:val="en-US"/>
        </w:rPr>
      </w:pPr>
      <w:r>
        <w:rPr>
          <w:lang w:val="en-US"/>
        </w:rPr>
        <w:t xml:space="preserve">To examine the effect of the change in the method of length-frequency data collection, Dixon (2023) compared the ratio of recruit to pre-recruit abundances on transects versus timed collections and found that length frequency gathered since 2003 was strongly biased toward the collection of larger abalone. The results from this analysis are presented in Appendix 3. It is considered unlikely that bias </w:t>
      </w:r>
      <w:r>
        <w:rPr>
          <w:lang w:val="en-US"/>
        </w:rPr>
        <w:lastRenderedPageBreak/>
        <w:t>in size structure would result from the in situ transect counts as abalone are encountered in a systematic manner. This view is supported by Gorfine (1998) who states “</w:t>
      </w:r>
      <w:r>
        <w:rPr>
          <w:i/>
          <w:iCs/>
          <w:lang w:val="en-US"/>
        </w:rPr>
        <w:t>Because the application of radial transacts avoids targeting some emergent abalone to the exclusion of others, there is less potential for divers to bias their sample towards larger abalone as may occur with time searches…. Time searches do not necessarily permit this separation of pre recruits from post recruits because of the potential for divers to collect larger, more accessible abalone at the expense of smaller abalone</w:t>
      </w:r>
      <w:r>
        <w:rPr>
          <w:lang w:val="en-US"/>
        </w:rPr>
        <w:t xml:space="preserve">”. </w:t>
      </w:r>
    </w:p>
    <w:p w14:paraId="3A5DE43A" w14:textId="77777777" w:rsidR="00FB0A3F" w:rsidRDefault="00000000">
      <w:pPr>
        <w:rPr>
          <w:lang w:val="en-US"/>
        </w:rPr>
      </w:pPr>
      <w:r>
        <w:rPr>
          <w:lang w:val="en-US"/>
        </w:rPr>
        <w:t xml:space="preserve">Therefore, there are two sources of bias that have recently been identified in the FIS length-frequency data. Firstly, as previously described, FIS site locations are not representative of the entire stock and as a result represent a negatively biased estimate of biomass. And secondly, changes in the approach to collecting length frequency data has biased the size data towards larger abalone, suggesting they are not representative of the abalone population. While comparisons of trends among years for each consistent sampling approach provide some useful information, the interpretation of these data should be given little weight in the overall assessment. </w:t>
      </w:r>
    </w:p>
    <w:p w14:paraId="3F09637C" w14:textId="70425E8B" w:rsidR="00FB0A3F" w:rsidRDefault="00000000">
      <w:pPr>
        <w:rPr>
          <w:lang w:val="en-US"/>
        </w:rPr>
      </w:pPr>
      <w:r>
        <w:rPr>
          <w:lang w:val="en-US"/>
        </w:rPr>
        <w:t xml:space="preserve">Finally, FIS length frequency data previously enabled abundance measures to be split into pre-recruit indices for the </w:t>
      </w:r>
      <w:r w:rsidR="00BF48B3">
        <w:rPr>
          <w:lang w:val="en-US"/>
        </w:rPr>
        <w:t>Draft Harvest Strategy</w:t>
      </w:r>
      <w:r>
        <w:rPr>
          <w:lang w:val="en-US"/>
        </w:rPr>
        <w:t xml:space="preserve">, however this is no longer the </w:t>
      </w:r>
      <w:proofErr w:type="gramStart"/>
      <w:r>
        <w:rPr>
          <w:lang w:val="en-US"/>
        </w:rPr>
        <w:t>case</w:t>
      </w:r>
      <w:proofErr w:type="gramEnd"/>
      <w:r>
        <w:rPr>
          <w:lang w:val="en-US"/>
        </w:rPr>
        <w:t xml:space="preserve"> and the Tertiary Indicator needs to be reassessed. </w:t>
      </w:r>
    </w:p>
    <w:p w14:paraId="663A516E" w14:textId="77777777" w:rsidR="00FB0A3F" w:rsidRDefault="00000000">
      <w:pPr>
        <w:pStyle w:val="Heading4"/>
        <w:numPr>
          <w:ilvl w:val="0"/>
          <w:numId w:val="0"/>
        </w:numPr>
        <w:ind w:left="284"/>
      </w:pPr>
      <w:bookmarkStart w:id="45" w:name="_Toc150423164"/>
      <w:bookmarkStart w:id="46" w:name="_Toc149152859"/>
      <w:bookmarkStart w:id="47" w:name="_Toc85716433"/>
      <w:r w:rsidRPr="009B6484">
        <w:t>Commercial length frequency</w:t>
      </w:r>
      <w:bookmarkEnd w:id="45"/>
      <w:bookmarkEnd w:id="46"/>
      <w:bookmarkEnd w:id="47"/>
    </w:p>
    <w:p w14:paraId="6652CA71" w14:textId="1131660E" w:rsidR="00FB0A3F" w:rsidRDefault="00000000">
      <w:pPr>
        <w:rPr>
          <w:lang w:val="en-US"/>
        </w:rPr>
      </w:pPr>
      <w:r>
        <w:rPr>
          <w:lang w:val="en-US"/>
        </w:rPr>
        <w:t xml:space="preserve">Size structure data from the commercial catch are a very important source of information to monitor changes in the fished population. While interpretation of these data can be affected by changes in size limits or changes in market demands, a shift towards “knife-edge fishing”, where more </w:t>
      </w:r>
      <w:proofErr w:type="gramStart"/>
      <w:r>
        <w:rPr>
          <w:lang w:val="en-US"/>
        </w:rPr>
        <w:t>abalone</w:t>
      </w:r>
      <w:proofErr w:type="gramEnd"/>
      <w:r>
        <w:rPr>
          <w:lang w:val="en-US"/>
        </w:rPr>
        <w:t xml:space="preserve"> are being caught closer to the size limit, can reflect higher levels of fishing mortality on a stock. Conversely, increases in mean size of abalone caught over time under a consistent </w:t>
      </w:r>
      <w:r w:rsidR="003D5B71">
        <w:rPr>
          <w:lang w:val="en-US"/>
        </w:rPr>
        <w:t>legal minimum length (</w:t>
      </w:r>
      <w:r>
        <w:rPr>
          <w:lang w:val="en-US"/>
        </w:rPr>
        <w:t>LML</w:t>
      </w:r>
      <w:r w:rsidR="003D5B71">
        <w:rPr>
          <w:lang w:val="en-US"/>
        </w:rPr>
        <w:t>)</w:t>
      </w:r>
      <w:r>
        <w:rPr>
          <w:lang w:val="en-US"/>
        </w:rPr>
        <w:t xml:space="preserve"> may be a positive indicator of reduced fishing mortality. This latter measure may also reflect lower recruitment to the fishery, so the data need to be interpreted in conjunction with other relevant information. </w:t>
      </w:r>
    </w:p>
    <w:p w14:paraId="112D36F5" w14:textId="4CC53023" w:rsidR="00FB0A3F" w:rsidRDefault="003A7F0A">
      <w:pPr>
        <w:rPr>
          <w:lang w:val="en-US"/>
        </w:rPr>
      </w:pPr>
      <w:r>
        <w:rPr>
          <w:lang w:val="en-US"/>
        </w:rPr>
        <w:t xml:space="preserve">Analyses of length data from the commercial catch were first provided by </w:t>
      </w:r>
      <w:r w:rsidR="00AD44B8" w:rsidRPr="00AD44B8">
        <w:rPr>
          <w:lang w:val="en-US"/>
        </w:rPr>
        <w:t>Abalone Victoria Central Zone</w:t>
      </w:r>
      <w:r w:rsidR="00AD44B8">
        <w:rPr>
          <w:lang w:val="en-US"/>
        </w:rPr>
        <w:t xml:space="preserve"> (</w:t>
      </w:r>
      <w:r>
        <w:rPr>
          <w:lang w:val="en-US"/>
        </w:rPr>
        <w:t>AVCZ</w:t>
      </w:r>
      <w:r w:rsidR="00AD44B8">
        <w:rPr>
          <w:lang w:val="en-US"/>
        </w:rPr>
        <w:t>)</w:t>
      </w:r>
      <w:r>
        <w:rPr>
          <w:lang w:val="en-US"/>
        </w:rPr>
        <w:t xml:space="preserve"> in 2021 (Dixon et al 2021a). An improved summary of up-to-date data has been provided for this report (Appendix 3). The assessment is done independently of MRAG and has not been altered. As such, the views expressed in the appended report are those of the author only.</w:t>
      </w:r>
    </w:p>
    <w:p w14:paraId="0EA209AF" w14:textId="235DC428" w:rsidR="00FB0A3F" w:rsidRDefault="00000000">
      <w:pPr>
        <w:rPr>
          <w:lang w:val="en-US"/>
        </w:rPr>
      </w:pPr>
      <w:r>
        <w:rPr>
          <w:lang w:val="en-US"/>
        </w:rPr>
        <w:t xml:space="preserve">The analyses conducted have not been independently reviewed or audited. </w:t>
      </w:r>
      <w:r w:rsidR="003A7F0A">
        <w:rPr>
          <w:lang w:val="en-US"/>
        </w:rPr>
        <w:t>T</w:t>
      </w:r>
      <w:r>
        <w:rPr>
          <w:lang w:val="en-US"/>
        </w:rPr>
        <w:t xml:space="preserve">he report identifies </w:t>
      </w:r>
      <w:r w:rsidR="003A7F0A">
        <w:rPr>
          <w:lang w:val="en-US"/>
        </w:rPr>
        <w:t xml:space="preserve">and discusses </w:t>
      </w:r>
      <w:r>
        <w:rPr>
          <w:lang w:val="en-US"/>
        </w:rPr>
        <w:t xml:space="preserve">uncertainties in the assessment that include but are not limited to the temporal and spatial replication influenced by the number of divers from which data were collected, particularly in the last two years. Nevertheless, they provide very useful information in the overall weight of evidence approach, and each SMU section in this report provides a brief overview of the relevant data presented in Appendix </w:t>
      </w:r>
      <w:r w:rsidR="009B6484">
        <w:rPr>
          <w:lang w:val="en-US"/>
        </w:rPr>
        <w:t>3</w:t>
      </w:r>
      <w:r>
        <w:rPr>
          <w:lang w:val="en-US"/>
        </w:rPr>
        <w:t>.</w:t>
      </w:r>
    </w:p>
    <w:p w14:paraId="795A2648" w14:textId="77777777" w:rsidR="00FB0A3F" w:rsidRDefault="00000000">
      <w:pPr>
        <w:pStyle w:val="Heading3"/>
      </w:pPr>
      <w:bookmarkStart w:id="48" w:name="_Toc150423165"/>
      <w:bookmarkStart w:id="49" w:name="_Toc192777208"/>
      <w:r>
        <w:t>Size limits</w:t>
      </w:r>
      <w:bookmarkEnd w:id="48"/>
      <w:bookmarkEnd w:id="49"/>
      <w:r>
        <w:t xml:space="preserve"> </w:t>
      </w:r>
    </w:p>
    <w:p w14:paraId="127BA2B4" w14:textId="77777777" w:rsidR="00FB0A3F" w:rsidRDefault="00000000">
      <w:pPr>
        <w:rPr>
          <w:highlight w:val="yellow"/>
        </w:rPr>
      </w:pPr>
      <w:r>
        <w:t xml:space="preserve">Spatial and temporal changes in size limits impacts fishing selectivity (availability) which makes it difficult to interpret temporal trends in CPUE and the impact that changes in TACCs have on exploitable biomass. For example, a decrease in the LML generally allows access to a larger biomass of smaller abalone and may result in a consequent increase in fishery CPUE over a short time frame and a reduction in mean length of the catch. Changes in LML need to be factored into the interpretation of all data, particularly trends in CPUE over time. </w:t>
      </w:r>
    </w:p>
    <w:p w14:paraId="2C1D8153" w14:textId="77777777" w:rsidR="00FB0A3F" w:rsidRDefault="00000000">
      <w:r>
        <w:t xml:space="preserve">While size limits have been relatively stable in recent years (other than small incremental increases at some SMUs), there had been numerous size limit changes, regulated and voluntary, within the Central Zone during the previous decade. These changes at times applied at the reef code scale; however, more recently some changes were applied at SMU scale recognising the practical </w:t>
      </w:r>
      <w:r>
        <w:lastRenderedPageBreak/>
        <w:t xml:space="preserve">implications for enforcement and administrative burden. A table representing the history of LML changes is provided in Appendix 5. </w:t>
      </w:r>
    </w:p>
    <w:p w14:paraId="02F70DE5" w14:textId="77777777" w:rsidR="00FB0A3F" w:rsidRDefault="00000000">
      <w:r>
        <w:t>The changes to LML have included both increases and decreases over time. Size limits have been increased due to stakeholder and government concern about the state of the resource, but they have also been decreased to manage fishing effort more sustainably across SMUs (VFA 2018). These changes in LML have further complicated the interpretation of historic data within the assessment. A significant benefit of maintaining stable size limits is reduced uncertainty in the assessment. However, the size limits need to be appropriate for each sub-stock.</w:t>
      </w:r>
    </w:p>
    <w:p w14:paraId="5ADCBB45" w14:textId="77777777" w:rsidR="00FB0A3F" w:rsidRDefault="00000000">
      <w:pPr>
        <w:pStyle w:val="Heading2"/>
        <w:ind w:left="709" w:hanging="709"/>
      </w:pPr>
      <w:bookmarkStart w:id="50" w:name="_Toc150423166"/>
      <w:bookmarkStart w:id="51" w:name="_Toc192777209"/>
      <w:r>
        <w:t>Approaches to assessment of stock status</w:t>
      </w:r>
      <w:bookmarkEnd w:id="50"/>
      <w:bookmarkEnd w:id="51"/>
    </w:p>
    <w:p w14:paraId="61091EEF" w14:textId="77777777" w:rsidR="00FB0A3F" w:rsidRDefault="00000000">
      <w:pPr>
        <w:pStyle w:val="Heading4"/>
        <w:numPr>
          <w:ilvl w:val="0"/>
          <w:numId w:val="0"/>
        </w:numPr>
        <w:ind w:left="284"/>
      </w:pPr>
      <w:bookmarkStart w:id="52" w:name="_Toc149152862"/>
      <w:bookmarkStart w:id="53" w:name="_Toc150423167"/>
      <w:r>
        <w:t>Performance Indicators</w:t>
      </w:r>
      <w:bookmarkEnd w:id="52"/>
      <w:bookmarkEnd w:id="53"/>
    </w:p>
    <w:p w14:paraId="69B08F5C" w14:textId="77777777" w:rsidR="0090572B" w:rsidRDefault="00000000">
      <w:r>
        <w:t>The first approach for assessing stock status is assessment against the Performance Indicators (PIs)</w:t>
      </w:r>
      <w:r w:rsidR="0090572B">
        <w:t xml:space="preserve"> published in </w:t>
      </w:r>
      <w:r>
        <w:t>VFA (2018)</w:t>
      </w:r>
      <w:r w:rsidR="0090572B">
        <w:t>, as presented in Table 1</w:t>
      </w:r>
      <w:r>
        <w:t xml:space="preserve">. </w:t>
      </w:r>
      <w:r w:rsidR="0090572B">
        <w:t xml:space="preserve">Recent stock assessments have identified limitations in several of these measures, and in some cases these data have not been collected on an ongoing basis (e.g. FIS data). While this report still provides analyses of the measures in Table 1, the focus of the performance assessment framework has shifted over time. </w:t>
      </w:r>
    </w:p>
    <w:p w14:paraId="0283F9C1" w14:textId="0F8DBE2E" w:rsidR="00FB0A3F" w:rsidRDefault="00000000">
      <w:r>
        <w:t xml:space="preserve">The primary PIs </w:t>
      </w:r>
      <w:r w:rsidR="0090572B">
        <w:t xml:space="preserve">in the current assessment </w:t>
      </w:r>
      <w:r>
        <w:t xml:space="preserve">are standardised CPUE </w:t>
      </w:r>
      <w:r w:rsidR="0090572B">
        <w:t xml:space="preserve">and mean daily catch. Standardised </w:t>
      </w:r>
      <w:r>
        <w:t xml:space="preserve">FIS recruit and pre-recruit abundance </w:t>
      </w:r>
      <w:r w:rsidR="0090572B">
        <w:t xml:space="preserve">are </w:t>
      </w:r>
      <w:proofErr w:type="gramStart"/>
      <w:r w:rsidR="0090572B">
        <w:t>assessed,</w:t>
      </w:r>
      <w:proofErr w:type="gramEnd"/>
      <w:r w:rsidR="0090572B">
        <w:t xml:space="preserve"> however the data are now from a limited number of sites, and data were not collected in 2024. </w:t>
      </w:r>
      <w:r>
        <w:t>The</w:t>
      </w:r>
      <w:r w:rsidR="0090572B">
        <w:t xml:space="preserve"> </w:t>
      </w:r>
      <w:r>
        <w:t xml:space="preserve">PIs are assessed across two spatial scales (Zone and SMU) and </w:t>
      </w:r>
      <w:r w:rsidR="0090572B">
        <w:t>three</w:t>
      </w:r>
      <w:r>
        <w:t xml:space="preserve"> temporal scales (long-term: 2003/04 to current, short-term: 2009/10 to current</w:t>
      </w:r>
      <w:r w:rsidR="0090572B">
        <w:t xml:space="preserve">, and </w:t>
      </w:r>
      <w:r w:rsidR="009E4E69">
        <w:t>the most recent 4 years</w:t>
      </w:r>
      <w:r>
        <w:t xml:space="preserve">). </w:t>
      </w:r>
      <w:r w:rsidR="009E4E69">
        <w:t>T</w:t>
      </w:r>
      <w:r>
        <w:t xml:space="preserve">he long and short-term PIs for recruit and pre-recruit abundance are presented at the Zone scale for the “Top 15” sites only </w:t>
      </w:r>
      <w:r w:rsidR="009E4E69">
        <w:t>up to 2023</w:t>
      </w:r>
      <w:r>
        <w:t xml:space="preserve">. As described above, there are many issues with these measures that result in substantial uncertainty in the interpretation of the PIs. </w:t>
      </w:r>
    </w:p>
    <w:p w14:paraId="53F6F18F" w14:textId="2DFF5878" w:rsidR="00FB0A3F" w:rsidRDefault="00000000">
      <w:pPr>
        <w:pStyle w:val="TableCaption"/>
      </w:pPr>
      <w:bookmarkStart w:id="54" w:name="_Toc149571226"/>
      <w:bookmarkStart w:id="55" w:name="_Toc192762269"/>
      <w:r>
        <w:t xml:space="preserve">Table </w:t>
      </w:r>
      <w:r>
        <w:fldChar w:fldCharType="begin"/>
      </w:r>
      <w:r>
        <w:instrText>SEQ tab \* Arabic</w:instrText>
      </w:r>
      <w:r>
        <w:fldChar w:fldCharType="separate"/>
      </w:r>
      <w:r w:rsidR="00EE76A5">
        <w:rPr>
          <w:noProof/>
        </w:rPr>
        <w:t>1</w:t>
      </w:r>
      <w:r>
        <w:fldChar w:fldCharType="end"/>
      </w:r>
      <w:r>
        <w:t>: Performance indicators used in the assessment of the Central Zone abalone fishery. LML = Legal Minimum Length.</w:t>
      </w:r>
      <w:bookmarkEnd w:id="54"/>
      <w:bookmarkEnd w:id="55"/>
    </w:p>
    <w:tbl>
      <w:tblPr>
        <w:tblW w:w="0" w:type="auto"/>
        <w:jc w:val="center"/>
        <w:tblLayout w:type="fixed"/>
        <w:tblLook w:val="04A0" w:firstRow="1" w:lastRow="0" w:firstColumn="1" w:lastColumn="0" w:noHBand="0" w:noVBand="1"/>
      </w:tblPr>
      <w:tblGrid>
        <w:gridCol w:w="1512"/>
        <w:gridCol w:w="3744"/>
        <w:gridCol w:w="1872"/>
        <w:gridCol w:w="1728"/>
      </w:tblGrid>
      <w:tr w:rsidR="00FB0A3F" w14:paraId="479D20FE" w14:textId="77777777">
        <w:trPr>
          <w:cantSplit/>
          <w:tblHeader/>
          <w:jc w:val="center"/>
        </w:trPr>
        <w:tc>
          <w:tcPr>
            <w:tcW w:w="1512" w:type="dxa"/>
            <w:tcBorders>
              <w:top w:val="single" w:sz="8" w:space="0" w:color="000000"/>
              <w:left w:val="single" w:sz="8" w:space="0" w:color="000000"/>
              <w:bottom w:val="single" w:sz="8" w:space="0" w:color="000000"/>
              <w:right w:val="single" w:sz="8" w:space="0" w:color="000000"/>
            </w:tcBorders>
            <w:shd w:val="clear" w:color="auto" w:fill="D3D3D3"/>
            <w:tcMar>
              <w:top w:w="0" w:type="dxa"/>
              <w:left w:w="0" w:type="dxa"/>
              <w:bottom w:w="0" w:type="dxa"/>
              <w:right w:w="0" w:type="dxa"/>
            </w:tcMar>
            <w:vAlign w:val="center"/>
          </w:tcPr>
          <w:p w14:paraId="439DD649" w14:textId="77777777" w:rsidR="00FB0A3F" w:rsidRDefault="00000000">
            <w:pPr>
              <w:spacing w:before="100" w:after="100"/>
              <w:ind w:left="100" w:right="100"/>
              <w:rPr>
                <w:sz w:val="16"/>
                <w:szCs w:val="16"/>
              </w:rPr>
            </w:pPr>
            <w:r>
              <w:rPr>
                <w:rFonts w:ascii="Helvetica" w:eastAsia="Helvetica" w:hAnsi="Helvetica" w:cs="Helvetica"/>
                <w:color w:val="000000"/>
                <w:sz w:val="16"/>
                <w:szCs w:val="16"/>
              </w:rPr>
              <w:t>Performance Indicator</w:t>
            </w:r>
          </w:p>
        </w:tc>
        <w:tc>
          <w:tcPr>
            <w:tcW w:w="3744" w:type="dxa"/>
            <w:tcBorders>
              <w:top w:val="single" w:sz="8" w:space="0" w:color="000000"/>
              <w:left w:val="single" w:sz="8" w:space="0" w:color="000000"/>
              <w:bottom w:val="single" w:sz="8" w:space="0" w:color="000000"/>
              <w:right w:val="single" w:sz="8" w:space="0" w:color="000000"/>
            </w:tcBorders>
            <w:shd w:val="clear" w:color="auto" w:fill="D3D3D3"/>
            <w:tcMar>
              <w:top w:w="0" w:type="dxa"/>
              <w:left w:w="0" w:type="dxa"/>
              <w:bottom w:w="0" w:type="dxa"/>
              <w:right w:w="0" w:type="dxa"/>
            </w:tcMar>
            <w:vAlign w:val="center"/>
          </w:tcPr>
          <w:p w14:paraId="19329879" w14:textId="77777777" w:rsidR="00FB0A3F" w:rsidRDefault="00000000">
            <w:pPr>
              <w:spacing w:before="100" w:after="100"/>
              <w:ind w:left="100" w:right="100"/>
              <w:rPr>
                <w:sz w:val="16"/>
                <w:szCs w:val="16"/>
              </w:rPr>
            </w:pPr>
            <w:r>
              <w:rPr>
                <w:rFonts w:ascii="Helvetica" w:eastAsia="Helvetica" w:hAnsi="Helvetica" w:cs="Helvetica"/>
                <w:color w:val="000000"/>
                <w:sz w:val="16"/>
                <w:szCs w:val="16"/>
              </w:rPr>
              <w:t>Description</w:t>
            </w:r>
          </w:p>
        </w:tc>
        <w:tc>
          <w:tcPr>
            <w:tcW w:w="1872" w:type="dxa"/>
            <w:tcBorders>
              <w:top w:val="single" w:sz="8" w:space="0" w:color="000000"/>
              <w:left w:val="single" w:sz="8" w:space="0" w:color="000000"/>
              <w:bottom w:val="single" w:sz="8" w:space="0" w:color="000000"/>
              <w:right w:val="single" w:sz="8" w:space="0" w:color="000000"/>
            </w:tcBorders>
            <w:shd w:val="clear" w:color="auto" w:fill="D3D3D3"/>
            <w:tcMar>
              <w:top w:w="0" w:type="dxa"/>
              <w:left w:w="0" w:type="dxa"/>
              <w:bottom w:w="0" w:type="dxa"/>
              <w:right w:w="0" w:type="dxa"/>
            </w:tcMar>
            <w:vAlign w:val="center"/>
          </w:tcPr>
          <w:p w14:paraId="4510074A" w14:textId="77777777" w:rsidR="00FB0A3F" w:rsidRDefault="00000000">
            <w:pPr>
              <w:spacing w:before="100" w:after="100"/>
              <w:ind w:left="100" w:right="100"/>
              <w:rPr>
                <w:sz w:val="16"/>
                <w:szCs w:val="16"/>
              </w:rPr>
            </w:pPr>
            <w:r>
              <w:rPr>
                <w:rFonts w:ascii="Helvetica" w:eastAsia="Helvetica" w:hAnsi="Helvetica" w:cs="Helvetica"/>
                <w:color w:val="000000"/>
                <w:sz w:val="16"/>
                <w:szCs w:val="16"/>
              </w:rPr>
              <w:t>Units</w:t>
            </w:r>
          </w:p>
        </w:tc>
        <w:tc>
          <w:tcPr>
            <w:tcW w:w="1728" w:type="dxa"/>
            <w:tcBorders>
              <w:top w:val="single" w:sz="8" w:space="0" w:color="000000"/>
              <w:left w:val="single" w:sz="8" w:space="0" w:color="000000"/>
              <w:bottom w:val="single" w:sz="8" w:space="0" w:color="000000"/>
              <w:right w:val="single" w:sz="8" w:space="0" w:color="000000"/>
            </w:tcBorders>
            <w:shd w:val="clear" w:color="auto" w:fill="D3D3D3"/>
            <w:tcMar>
              <w:top w:w="0" w:type="dxa"/>
              <w:left w:w="0" w:type="dxa"/>
              <w:bottom w:w="0" w:type="dxa"/>
              <w:right w:w="0" w:type="dxa"/>
            </w:tcMar>
            <w:vAlign w:val="center"/>
          </w:tcPr>
          <w:p w14:paraId="12F4779B" w14:textId="77777777" w:rsidR="00FB0A3F" w:rsidRDefault="00000000">
            <w:pPr>
              <w:spacing w:before="100" w:after="100"/>
              <w:ind w:left="100" w:right="100"/>
              <w:rPr>
                <w:sz w:val="16"/>
                <w:szCs w:val="16"/>
              </w:rPr>
            </w:pPr>
            <w:r>
              <w:rPr>
                <w:rFonts w:ascii="Helvetica" w:eastAsia="Helvetica" w:hAnsi="Helvetica" w:cs="Helvetica"/>
                <w:color w:val="000000"/>
                <w:sz w:val="16"/>
                <w:szCs w:val="16"/>
              </w:rPr>
              <w:t>Source and time series</w:t>
            </w:r>
          </w:p>
        </w:tc>
      </w:tr>
      <w:tr w:rsidR="00FB0A3F" w14:paraId="5A278EB5" w14:textId="77777777">
        <w:trPr>
          <w:cantSplit/>
          <w:jc w:val="center"/>
        </w:trPr>
        <w:tc>
          <w:tcPr>
            <w:tcW w:w="1512"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2078623" w14:textId="77777777" w:rsidR="00FB0A3F" w:rsidRDefault="00000000">
            <w:pPr>
              <w:spacing w:before="100" w:after="100"/>
              <w:ind w:left="100" w:right="100"/>
              <w:rPr>
                <w:sz w:val="16"/>
                <w:szCs w:val="16"/>
              </w:rPr>
            </w:pPr>
            <w:r>
              <w:rPr>
                <w:rFonts w:ascii="Helvetica" w:eastAsia="Helvetica" w:hAnsi="Helvetica" w:cs="Helvetica"/>
                <w:color w:val="000000"/>
                <w:sz w:val="16"/>
                <w:szCs w:val="16"/>
              </w:rPr>
              <w:t>Catch</w:t>
            </w:r>
          </w:p>
        </w:tc>
        <w:tc>
          <w:tcPr>
            <w:tcW w:w="3744"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5B1F310" w14:textId="77777777" w:rsidR="00FB0A3F" w:rsidRDefault="00000000">
            <w:pPr>
              <w:spacing w:before="100" w:after="100"/>
              <w:ind w:left="100" w:right="100"/>
              <w:rPr>
                <w:sz w:val="16"/>
                <w:szCs w:val="16"/>
              </w:rPr>
            </w:pPr>
            <w:r>
              <w:rPr>
                <w:rFonts w:ascii="Helvetica" w:eastAsia="Helvetica" w:hAnsi="Helvetica" w:cs="Helvetica"/>
                <w:color w:val="000000"/>
                <w:sz w:val="16"/>
                <w:szCs w:val="16"/>
              </w:rPr>
              <w:t>Commercial catch reported at Zonal and SMU scale</w:t>
            </w:r>
          </w:p>
        </w:tc>
        <w:tc>
          <w:tcPr>
            <w:tcW w:w="1872"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6C67A84" w14:textId="77777777" w:rsidR="00FB0A3F" w:rsidRDefault="00000000">
            <w:pPr>
              <w:spacing w:before="100" w:after="100"/>
              <w:ind w:left="100" w:right="100"/>
              <w:rPr>
                <w:sz w:val="16"/>
                <w:szCs w:val="16"/>
              </w:rPr>
            </w:pPr>
            <w:r>
              <w:rPr>
                <w:rFonts w:ascii="Helvetica" w:eastAsia="Helvetica" w:hAnsi="Helvetica" w:cs="Helvetica"/>
                <w:color w:val="000000"/>
                <w:sz w:val="16"/>
                <w:szCs w:val="16"/>
              </w:rPr>
              <w:t>Tonnes</w:t>
            </w:r>
          </w:p>
        </w:tc>
        <w:tc>
          <w:tcPr>
            <w:tcW w:w="1728"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756DB4A" w14:textId="77777777" w:rsidR="00FB0A3F" w:rsidRDefault="00000000">
            <w:pPr>
              <w:spacing w:before="100" w:after="100"/>
              <w:ind w:left="100" w:right="100"/>
              <w:rPr>
                <w:sz w:val="16"/>
                <w:szCs w:val="16"/>
              </w:rPr>
            </w:pPr>
            <w:r>
              <w:rPr>
                <w:rFonts w:ascii="Helvetica" w:eastAsia="Helvetica" w:hAnsi="Helvetica" w:cs="Helvetica"/>
                <w:color w:val="000000"/>
                <w:sz w:val="16"/>
                <w:szCs w:val="16"/>
              </w:rPr>
              <w:t>FA Commercial catch returns 1992 – current</w:t>
            </w:r>
          </w:p>
        </w:tc>
      </w:tr>
      <w:tr w:rsidR="00FB0A3F" w14:paraId="34FC2BEF" w14:textId="77777777">
        <w:trPr>
          <w:cantSplit/>
          <w:jc w:val="center"/>
        </w:trPr>
        <w:tc>
          <w:tcPr>
            <w:tcW w:w="151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A9A9417" w14:textId="77777777" w:rsidR="00FB0A3F" w:rsidRDefault="00000000">
            <w:pPr>
              <w:spacing w:before="100" w:after="100"/>
              <w:ind w:left="100" w:right="100"/>
              <w:rPr>
                <w:sz w:val="16"/>
                <w:szCs w:val="16"/>
              </w:rPr>
            </w:pPr>
            <w:r>
              <w:rPr>
                <w:rFonts w:ascii="Helvetica" w:eastAsia="Helvetica" w:hAnsi="Helvetica" w:cs="Helvetica"/>
                <w:color w:val="000000"/>
                <w:sz w:val="16"/>
                <w:szCs w:val="16"/>
              </w:rPr>
              <w:t>Catch per unit effort (CPUE)</w:t>
            </w:r>
          </w:p>
        </w:tc>
        <w:tc>
          <w:tcPr>
            <w:tcW w:w="3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7300421" w14:textId="77777777" w:rsidR="00FB0A3F" w:rsidRDefault="00000000">
            <w:pPr>
              <w:spacing w:before="100" w:after="100"/>
              <w:ind w:left="100" w:right="100"/>
              <w:rPr>
                <w:sz w:val="16"/>
                <w:szCs w:val="16"/>
              </w:rPr>
            </w:pPr>
            <w:r>
              <w:rPr>
                <w:rFonts w:ascii="Helvetica" w:eastAsia="Helvetica" w:hAnsi="Helvetica" w:cs="Helvetica"/>
                <w:color w:val="000000"/>
                <w:sz w:val="16"/>
                <w:szCs w:val="16"/>
              </w:rPr>
              <w:t xml:space="preserve">Catch / Effort for individual fishers.  Average and standard error (nominal only) calculated at Zonal and SMU scale </w:t>
            </w:r>
            <w:r>
              <w:rPr>
                <w:rFonts w:ascii="Helvetica" w:eastAsia="Helvetica" w:hAnsi="Helvetica" w:cs="Helvetica"/>
                <w:color w:val="000000"/>
                <w:sz w:val="16"/>
                <w:szCs w:val="16"/>
              </w:rPr>
              <w:br/>
              <w:t>Used as a proxy indicator of legal biomass Primary and secondary indicator in draft HS</w:t>
            </w:r>
          </w:p>
        </w:tc>
        <w:tc>
          <w:tcPr>
            <w:tcW w:w="18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81B54A8" w14:textId="77777777" w:rsidR="00FB0A3F" w:rsidRDefault="00000000">
            <w:pPr>
              <w:spacing w:before="100" w:after="100"/>
              <w:ind w:left="100" w:right="100"/>
              <w:rPr>
                <w:sz w:val="16"/>
                <w:szCs w:val="16"/>
              </w:rPr>
            </w:pPr>
            <w:r>
              <w:rPr>
                <w:rFonts w:ascii="Helvetica" w:eastAsia="Helvetica" w:hAnsi="Helvetica" w:cs="Helvetica"/>
                <w:color w:val="000000"/>
                <w:sz w:val="16"/>
                <w:szCs w:val="16"/>
              </w:rPr>
              <w:t xml:space="preserve">Nominal kg/hr </w:t>
            </w:r>
            <w:r>
              <w:rPr>
                <w:rFonts w:ascii="Helvetica" w:eastAsia="Helvetica" w:hAnsi="Helvetica" w:cs="Helvetica"/>
                <w:color w:val="000000"/>
                <w:sz w:val="16"/>
                <w:szCs w:val="16"/>
              </w:rPr>
              <w:br/>
              <w:t>Standardised kg/hr</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B8B95BB" w14:textId="77777777" w:rsidR="00FB0A3F" w:rsidRDefault="00000000">
            <w:pPr>
              <w:spacing w:before="100" w:after="100"/>
              <w:ind w:left="100" w:right="100"/>
              <w:rPr>
                <w:sz w:val="16"/>
                <w:szCs w:val="16"/>
              </w:rPr>
            </w:pPr>
            <w:r>
              <w:rPr>
                <w:rFonts w:ascii="Helvetica" w:eastAsia="Helvetica" w:hAnsi="Helvetica" w:cs="Helvetica"/>
                <w:color w:val="000000"/>
                <w:sz w:val="16"/>
                <w:szCs w:val="16"/>
              </w:rPr>
              <w:t>VFA Commercial catch returns 1979 - current</w:t>
            </w:r>
          </w:p>
        </w:tc>
      </w:tr>
      <w:tr w:rsidR="00FB0A3F" w14:paraId="348575CA" w14:textId="77777777">
        <w:trPr>
          <w:cantSplit/>
          <w:jc w:val="center"/>
        </w:trPr>
        <w:tc>
          <w:tcPr>
            <w:tcW w:w="151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92E332F" w14:textId="77777777" w:rsidR="00FB0A3F" w:rsidRDefault="00000000">
            <w:pPr>
              <w:spacing w:before="100" w:after="100"/>
              <w:ind w:left="100" w:right="100"/>
              <w:rPr>
                <w:sz w:val="16"/>
                <w:szCs w:val="16"/>
              </w:rPr>
            </w:pPr>
            <w:r>
              <w:rPr>
                <w:rFonts w:ascii="Helvetica" w:eastAsia="Helvetica" w:hAnsi="Helvetica" w:cs="Helvetica"/>
                <w:color w:val="000000"/>
                <w:sz w:val="16"/>
                <w:szCs w:val="16"/>
              </w:rPr>
              <w:t>Short and long-term trend analysis of CPUE</w:t>
            </w:r>
          </w:p>
        </w:tc>
        <w:tc>
          <w:tcPr>
            <w:tcW w:w="3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C6E773B" w14:textId="77777777" w:rsidR="00FB0A3F" w:rsidRDefault="00000000">
            <w:pPr>
              <w:spacing w:before="100" w:after="100"/>
              <w:ind w:left="100" w:right="100"/>
              <w:rPr>
                <w:sz w:val="16"/>
                <w:szCs w:val="16"/>
              </w:rPr>
            </w:pPr>
            <w:r>
              <w:rPr>
                <w:rFonts w:ascii="Helvetica" w:eastAsia="Helvetica" w:hAnsi="Helvetica" w:cs="Helvetica"/>
                <w:color w:val="000000"/>
                <w:sz w:val="16"/>
                <w:szCs w:val="16"/>
              </w:rPr>
              <w:t>Objective statistical method used to determine if a change in trend occurs and if the trend is positive, negative, or statistically non-significant</w:t>
            </w:r>
          </w:p>
        </w:tc>
        <w:tc>
          <w:tcPr>
            <w:tcW w:w="18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4E0CE28" w14:textId="77777777" w:rsidR="00FB0A3F" w:rsidRDefault="00000000">
            <w:pPr>
              <w:spacing w:before="100" w:after="100"/>
              <w:ind w:left="100" w:right="100"/>
              <w:rPr>
                <w:sz w:val="16"/>
                <w:szCs w:val="16"/>
              </w:rPr>
            </w:pPr>
            <w:r>
              <w:rPr>
                <w:rFonts w:ascii="Helvetica" w:eastAsia="Helvetica" w:hAnsi="Helvetica" w:cs="Helvetica"/>
                <w:color w:val="000000"/>
                <w:sz w:val="16"/>
                <w:szCs w:val="16"/>
              </w:rPr>
              <w:t xml:space="preserve">Significant or non-significant trend </w:t>
            </w:r>
            <w:r>
              <w:rPr>
                <w:rFonts w:ascii="Helvetica" w:eastAsia="Helvetica" w:hAnsi="Helvetica" w:cs="Helvetica"/>
                <w:color w:val="000000"/>
                <w:sz w:val="16"/>
                <w:szCs w:val="16"/>
              </w:rPr>
              <w:br/>
              <w:t>Positive or negative percentage change</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F517F17" w14:textId="77777777" w:rsidR="00FB0A3F" w:rsidRDefault="00000000">
            <w:pPr>
              <w:spacing w:before="100" w:after="100"/>
              <w:ind w:left="100" w:right="100"/>
              <w:rPr>
                <w:sz w:val="16"/>
                <w:szCs w:val="16"/>
              </w:rPr>
            </w:pPr>
            <w:r>
              <w:rPr>
                <w:rFonts w:ascii="Helvetica" w:eastAsia="Helvetica" w:hAnsi="Helvetica" w:cs="Helvetica"/>
                <w:color w:val="000000"/>
                <w:sz w:val="16"/>
                <w:szCs w:val="16"/>
              </w:rPr>
              <w:t>VFA Commercial catch returns 1992 – current</w:t>
            </w:r>
          </w:p>
        </w:tc>
      </w:tr>
      <w:tr w:rsidR="00FB0A3F" w14:paraId="11F8E7D3" w14:textId="77777777">
        <w:trPr>
          <w:cantSplit/>
          <w:jc w:val="center"/>
        </w:trPr>
        <w:tc>
          <w:tcPr>
            <w:tcW w:w="151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F049774" w14:textId="77777777" w:rsidR="00FB0A3F" w:rsidRDefault="00000000">
            <w:pPr>
              <w:spacing w:before="100" w:after="100"/>
              <w:ind w:left="100" w:right="100"/>
              <w:rPr>
                <w:sz w:val="16"/>
                <w:szCs w:val="16"/>
              </w:rPr>
            </w:pPr>
            <w:r>
              <w:rPr>
                <w:rFonts w:ascii="Helvetica" w:eastAsia="Helvetica" w:hAnsi="Helvetica" w:cs="Helvetica"/>
                <w:color w:val="000000"/>
                <w:sz w:val="16"/>
                <w:szCs w:val="16"/>
              </w:rPr>
              <w:t>Pre-recruit abundance</w:t>
            </w:r>
          </w:p>
        </w:tc>
        <w:tc>
          <w:tcPr>
            <w:tcW w:w="3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E332B82" w14:textId="77777777" w:rsidR="00FB0A3F" w:rsidRDefault="00000000">
            <w:pPr>
              <w:spacing w:before="100" w:after="100"/>
              <w:ind w:left="100" w:right="100"/>
              <w:rPr>
                <w:sz w:val="16"/>
                <w:szCs w:val="16"/>
              </w:rPr>
            </w:pPr>
            <w:r>
              <w:rPr>
                <w:rFonts w:ascii="Helvetica" w:eastAsia="Helvetica" w:hAnsi="Helvetica" w:cs="Helvetica"/>
                <w:color w:val="000000"/>
                <w:sz w:val="16"/>
                <w:szCs w:val="16"/>
              </w:rPr>
              <w:t xml:space="preserve">Used as an indication of the strength of recruitment. </w:t>
            </w:r>
            <w:r>
              <w:rPr>
                <w:rFonts w:ascii="Helvetica" w:eastAsia="Helvetica" w:hAnsi="Helvetica" w:cs="Helvetica"/>
                <w:color w:val="000000"/>
                <w:sz w:val="16"/>
                <w:szCs w:val="16"/>
              </w:rPr>
              <w:br/>
              <w:t>Tertiary indicator in draft HS</w:t>
            </w:r>
          </w:p>
        </w:tc>
        <w:tc>
          <w:tcPr>
            <w:tcW w:w="18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C19097F" w14:textId="77777777" w:rsidR="00FB0A3F" w:rsidRDefault="00000000">
            <w:pPr>
              <w:spacing w:before="100" w:after="100"/>
              <w:ind w:left="100" w:right="100"/>
              <w:rPr>
                <w:sz w:val="16"/>
                <w:szCs w:val="16"/>
              </w:rPr>
            </w:pPr>
            <w:r>
              <w:rPr>
                <w:rFonts w:ascii="Helvetica" w:eastAsia="Helvetica" w:hAnsi="Helvetica" w:cs="Helvetica"/>
                <w:color w:val="000000"/>
                <w:sz w:val="16"/>
                <w:szCs w:val="16"/>
              </w:rPr>
              <w:t>Average number of abalone per 30 m transect. Nominal and Standardised</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78E1CF0" w14:textId="77777777" w:rsidR="00FB0A3F" w:rsidRDefault="00000000">
            <w:pPr>
              <w:spacing w:before="100" w:after="100"/>
              <w:ind w:left="100" w:right="100"/>
              <w:rPr>
                <w:sz w:val="16"/>
                <w:szCs w:val="16"/>
              </w:rPr>
            </w:pPr>
            <w:r>
              <w:rPr>
                <w:rFonts w:ascii="Helvetica" w:eastAsia="Helvetica" w:hAnsi="Helvetica" w:cs="Helvetica"/>
                <w:color w:val="000000"/>
                <w:sz w:val="16"/>
                <w:szCs w:val="16"/>
              </w:rPr>
              <w:t>VFA FIS 1992-current</w:t>
            </w:r>
          </w:p>
        </w:tc>
      </w:tr>
      <w:tr w:rsidR="00FB0A3F" w14:paraId="136561F7" w14:textId="77777777">
        <w:trPr>
          <w:cantSplit/>
          <w:jc w:val="center"/>
        </w:trPr>
        <w:tc>
          <w:tcPr>
            <w:tcW w:w="151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4E24BD1" w14:textId="77777777" w:rsidR="00FB0A3F" w:rsidRDefault="00000000">
            <w:pPr>
              <w:spacing w:before="100" w:after="100"/>
              <w:ind w:left="100" w:right="100"/>
              <w:rPr>
                <w:sz w:val="16"/>
                <w:szCs w:val="16"/>
              </w:rPr>
            </w:pPr>
            <w:r>
              <w:rPr>
                <w:rFonts w:ascii="Helvetica" w:eastAsia="Helvetica" w:hAnsi="Helvetica" w:cs="Helvetica"/>
                <w:color w:val="000000"/>
                <w:sz w:val="16"/>
                <w:szCs w:val="16"/>
              </w:rPr>
              <w:t>Recruit abundance</w:t>
            </w:r>
          </w:p>
        </w:tc>
        <w:tc>
          <w:tcPr>
            <w:tcW w:w="3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8835350" w14:textId="77777777" w:rsidR="00FB0A3F" w:rsidRDefault="00000000">
            <w:pPr>
              <w:spacing w:before="100" w:after="100"/>
              <w:ind w:left="100" w:right="100"/>
              <w:rPr>
                <w:sz w:val="16"/>
                <w:szCs w:val="16"/>
              </w:rPr>
            </w:pPr>
            <w:r>
              <w:rPr>
                <w:rFonts w:ascii="Helvetica" w:eastAsia="Helvetica" w:hAnsi="Helvetica" w:cs="Helvetica"/>
                <w:color w:val="000000"/>
                <w:sz w:val="16"/>
                <w:szCs w:val="16"/>
              </w:rPr>
              <w:t>Used as an indicator of adult abundance</w:t>
            </w:r>
          </w:p>
        </w:tc>
        <w:tc>
          <w:tcPr>
            <w:tcW w:w="18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11FFB5A" w14:textId="77777777" w:rsidR="00FB0A3F" w:rsidRDefault="00000000">
            <w:pPr>
              <w:spacing w:before="100" w:after="100"/>
              <w:ind w:left="100" w:right="100"/>
              <w:rPr>
                <w:sz w:val="16"/>
                <w:szCs w:val="16"/>
              </w:rPr>
            </w:pPr>
            <w:r>
              <w:rPr>
                <w:rFonts w:ascii="Helvetica" w:eastAsia="Helvetica" w:hAnsi="Helvetica" w:cs="Helvetica"/>
                <w:color w:val="000000"/>
                <w:sz w:val="16"/>
                <w:szCs w:val="16"/>
              </w:rPr>
              <w:t>Average number of abalone per 30 m transect. Nominal and Standardised</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2FA9CFC" w14:textId="77777777" w:rsidR="00FB0A3F" w:rsidRDefault="00000000">
            <w:pPr>
              <w:spacing w:before="100" w:after="100"/>
              <w:ind w:left="100" w:right="100"/>
              <w:rPr>
                <w:sz w:val="16"/>
                <w:szCs w:val="16"/>
              </w:rPr>
            </w:pPr>
            <w:r>
              <w:rPr>
                <w:rFonts w:ascii="Helvetica" w:eastAsia="Helvetica" w:hAnsi="Helvetica" w:cs="Helvetica"/>
                <w:color w:val="000000"/>
                <w:sz w:val="16"/>
                <w:szCs w:val="16"/>
              </w:rPr>
              <w:t>VFA FIS 1992-current</w:t>
            </w:r>
          </w:p>
        </w:tc>
      </w:tr>
      <w:tr w:rsidR="00FB0A3F" w14:paraId="01F62A58" w14:textId="77777777">
        <w:trPr>
          <w:cantSplit/>
          <w:jc w:val="center"/>
        </w:trPr>
        <w:tc>
          <w:tcPr>
            <w:tcW w:w="151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36C024B" w14:textId="77777777" w:rsidR="00FB0A3F" w:rsidRDefault="00000000">
            <w:pPr>
              <w:spacing w:before="100" w:after="100"/>
              <w:ind w:left="100" w:right="100"/>
              <w:rPr>
                <w:sz w:val="16"/>
                <w:szCs w:val="16"/>
              </w:rPr>
            </w:pPr>
            <w:r>
              <w:rPr>
                <w:rFonts w:ascii="Helvetica" w:eastAsia="Helvetica" w:hAnsi="Helvetica" w:cs="Helvetica"/>
                <w:color w:val="000000"/>
                <w:sz w:val="16"/>
                <w:szCs w:val="16"/>
              </w:rPr>
              <w:lastRenderedPageBreak/>
              <w:t>Short and long-term trend analysis of pre-recruit and recruit abundance</w:t>
            </w:r>
          </w:p>
        </w:tc>
        <w:tc>
          <w:tcPr>
            <w:tcW w:w="3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1A0CE9D" w14:textId="77777777" w:rsidR="00FB0A3F" w:rsidRDefault="00000000">
            <w:pPr>
              <w:spacing w:before="100" w:after="100"/>
              <w:ind w:left="100" w:right="100"/>
              <w:rPr>
                <w:sz w:val="16"/>
                <w:szCs w:val="16"/>
              </w:rPr>
            </w:pPr>
            <w:r>
              <w:rPr>
                <w:rFonts w:ascii="Helvetica" w:eastAsia="Helvetica" w:hAnsi="Helvetica" w:cs="Helvetica"/>
                <w:color w:val="000000"/>
                <w:sz w:val="16"/>
                <w:szCs w:val="16"/>
              </w:rPr>
              <w:t>Objective statistical method used to determine if a change in trend occurs and if the trend is positive, negative, or statistically non-significant</w:t>
            </w:r>
          </w:p>
        </w:tc>
        <w:tc>
          <w:tcPr>
            <w:tcW w:w="18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1232EEF" w14:textId="77777777" w:rsidR="00FB0A3F" w:rsidRDefault="00000000">
            <w:pPr>
              <w:spacing w:before="100" w:after="100"/>
              <w:ind w:left="100" w:right="100"/>
              <w:rPr>
                <w:sz w:val="16"/>
                <w:szCs w:val="16"/>
              </w:rPr>
            </w:pPr>
            <w:r>
              <w:rPr>
                <w:rFonts w:ascii="Helvetica" w:eastAsia="Helvetica" w:hAnsi="Helvetica" w:cs="Helvetica"/>
                <w:color w:val="000000"/>
                <w:sz w:val="16"/>
                <w:szCs w:val="16"/>
              </w:rPr>
              <w:t xml:space="preserve">Significant or non-significant trend </w:t>
            </w:r>
            <w:r>
              <w:rPr>
                <w:rFonts w:ascii="Helvetica" w:eastAsia="Helvetica" w:hAnsi="Helvetica" w:cs="Helvetica"/>
                <w:color w:val="000000"/>
                <w:sz w:val="16"/>
                <w:szCs w:val="16"/>
              </w:rPr>
              <w:br/>
              <w:t>Positive or negative percentage change</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DCC4EC1" w14:textId="77777777" w:rsidR="00FB0A3F" w:rsidRDefault="00000000">
            <w:pPr>
              <w:spacing w:before="100" w:after="100"/>
              <w:ind w:left="100" w:right="100"/>
              <w:rPr>
                <w:sz w:val="16"/>
                <w:szCs w:val="16"/>
              </w:rPr>
            </w:pPr>
            <w:r>
              <w:rPr>
                <w:rFonts w:ascii="Helvetica" w:eastAsia="Helvetica" w:hAnsi="Helvetica" w:cs="Helvetica"/>
                <w:color w:val="000000"/>
                <w:sz w:val="16"/>
                <w:szCs w:val="16"/>
              </w:rPr>
              <w:t>VFA FIS 1992-current</w:t>
            </w:r>
          </w:p>
        </w:tc>
      </w:tr>
      <w:tr w:rsidR="00FB0A3F" w14:paraId="69B6305D" w14:textId="77777777">
        <w:trPr>
          <w:cantSplit/>
          <w:jc w:val="center"/>
        </w:trPr>
        <w:tc>
          <w:tcPr>
            <w:tcW w:w="151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BC3187B" w14:textId="77777777" w:rsidR="00FB0A3F" w:rsidRDefault="00000000">
            <w:pPr>
              <w:spacing w:before="100" w:after="100"/>
              <w:ind w:left="100" w:right="100"/>
              <w:rPr>
                <w:sz w:val="16"/>
                <w:szCs w:val="16"/>
              </w:rPr>
            </w:pPr>
            <w:r>
              <w:rPr>
                <w:rFonts w:ascii="Helvetica" w:eastAsia="Helvetica" w:hAnsi="Helvetica" w:cs="Helvetica"/>
                <w:color w:val="000000"/>
                <w:sz w:val="16"/>
                <w:szCs w:val="16"/>
              </w:rPr>
              <w:t>Length frequency statistics (FIS)</w:t>
            </w:r>
          </w:p>
        </w:tc>
        <w:tc>
          <w:tcPr>
            <w:tcW w:w="3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68F0E76" w14:textId="77777777" w:rsidR="00FB0A3F" w:rsidRDefault="00000000">
            <w:pPr>
              <w:spacing w:before="100" w:after="100"/>
              <w:ind w:left="100" w:right="100"/>
              <w:rPr>
                <w:sz w:val="16"/>
                <w:szCs w:val="16"/>
              </w:rPr>
            </w:pPr>
            <w:r>
              <w:rPr>
                <w:rFonts w:ascii="Helvetica" w:eastAsia="Helvetica" w:hAnsi="Helvetica" w:cs="Helvetica"/>
                <w:color w:val="000000"/>
                <w:sz w:val="16"/>
                <w:szCs w:val="16"/>
              </w:rPr>
              <w:t>Used to show changes in size composition of the abalone populations at Zone/ SMU relative to the LML from survey data</w:t>
            </w:r>
          </w:p>
        </w:tc>
        <w:tc>
          <w:tcPr>
            <w:tcW w:w="18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92AA54D" w14:textId="77777777" w:rsidR="00FB0A3F" w:rsidRDefault="00000000">
            <w:pPr>
              <w:spacing w:before="100" w:after="100"/>
              <w:ind w:left="100" w:right="100"/>
              <w:rPr>
                <w:sz w:val="16"/>
                <w:szCs w:val="16"/>
              </w:rPr>
            </w:pPr>
            <w:r>
              <w:rPr>
                <w:rFonts w:ascii="Helvetica" w:eastAsia="Helvetica" w:hAnsi="Helvetica" w:cs="Helvetica"/>
                <w:color w:val="000000"/>
                <w:sz w:val="16"/>
                <w:szCs w:val="16"/>
              </w:rPr>
              <w:t xml:space="preserve">%&lt;LML </w:t>
            </w:r>
            <w:r>
              <w:rPr>
                <w:rFonts w:ascii="Helvetica" w:eastAsia="Helvetica" w:hAnsi="Helvetica" w:cs="Helvetica"/>
                <w:color w:val="000000"/>
                <w:sz w:val="16"/>
                <w:szCs w:val="16"/>
              </w:rPr>
              <w:br/>
              <w:t>Median calculated as the mid-point of the length distribution</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4144C0C" w14:textId="77777777" w:rsidR="00FB0A3F" w:rsidRDefault="00000000">
            <w:pPr>
              <w:spacing w:before="100" w:after="100"/>
              <w:ind w:left="100" w:right="100"/>
              <w:rPr>
                <w:sz w:val="16"/>
                <w:szCs w:val="16"/>
              </w:rPr>
            </w:pPr>
            <w:r>
              <w:rPr>
                <w:rFonts w:ascii="Helvetica" w:eastAsia="Helvetica" w:hAnsi="Helvetica" w:cs="Helvetica"/>
                <w:color w:val="000000"/>
                <w:sz w:val="16"/>
                <w:szCs w:val="16"/>
              </w:rPr>
              <w:t>VFA FIS 2003-current</w:t>
            </w:r>
          </w:p>
        </w:tc>
      </w:tr>
    </w:tbl>
    <w:p w14:paraId="0D6A4EFB" w14:textId="77777777" w:rsidR="00FB0A3F" w:rsidRDefault="00FB0A3F"/>
    <w:p w14:paraId="4264BBF0" w14:textId="77777777" w:rsidR="00FB0A3F" w:rsidRDefault="00000000">
      <w:pPr>
        <w:pStyle w:val="Heading4"/>
        <w:numPr>
          <w:ilvl w:val="0"/>
          <w:numId w:val="0"/>
        </w:numPr>
        <w:ind w:left="284"/>
      </w:pPr>
      <w:bookmarkStart w:id="56" w:name="_Toc150423168"/>
      <w:bookmarkStart w:id="57" w:name="_Toc149152863"/>
      <w:r>
        <w:t>Weight of evidence</w:t>
      </w:r>
      <w:bookmarkEnd w:id="56"/>
      <w:bookmarkEnd w:id="57"/>
    </w:p>
    <w:p w14:paraId="2D8ACE57" w14:textId="71E7E1C6" w:rsidR="00FB0A3F" w:rsidRDefault="00000000">
      <w:r>
        <w:t>The second approach used to assess stock status is the weight of evidence approach that considers all sources of available scientific data. As discussed above, for the Central Zone these data sources include catch, effort, CPUE data (kg/h and catch/day), FIS abundance and size-structure, as well as size structure of the commercial catch. Note that formal weightings to each of these data sources has not been agreed, thus trends in all these data sources are considered subjectively in an overall manner, considering their various uncertainties, to determine stock status</w:t>
      </w:r>
      <w:r w:rsidR="00AC6F07">
        <w:t xml:space="preserve"> as done in previous years</w:t>
      </w:r>
      <w:r>
        <w:t>. Future assessments need to integrate additional data sources into the weight of evidence approach, in particular data collected from new FIS sites and other data collected through the commercial data logger programs (e.g. V</w:t>
      </w:r>
      <w:r w:rsidR="00AD44B8">
        <w:t xml:space="preserve">essel </w:t>
      </w:r>
      <w:r>
        <w:t>M</w:t>
      </w:r>
      <w:r w:rsidR="00AD44B8">
        <w:t xml:space="preserve">onitoring </w:t>
      </w:r>
      <w:r>
        <w:t>S</w:t>
      </w:r>
      <w:r w:rsidR="00AD44B8">
        <w:t>ystem (VMS)</w:t>
      </w:r>
      <w:r>
        <w:t>, length-frequency and depth data).</w:t>
      </w:r>
    </w:p>
    <w:p w14:paraId="411AA584" w14:textId="3E6079BF" w:rsidR="00FB0A3F" w:rsidRDefault="00BF48B3">
      <w:pPr>
        <w:pStyle w:val="Heading4"/>
        <w:numPr>
          <w:ilvl w:val="0"/>
          <w:numId w:val="0"/>
        </w:numPr>
        <w:ind w:left="284"/>
      </w:pPr>
      <w:r>
        <w:t xml:space="preserve">Draft Harvest Strategy </w:t>
      </w:r>
    </w:p>
    <w:p w14:paraId="364C7E7D" w14:textId="4A306506" w:rsidR="00FB0A3F" w:rsidRDefault="009E4E69">
      <w:r>
        <w:t xml:space="preserve">A summary of the 2023/24 </w:t>
      </w:r>
      <w:r w:rsidR="00BF48B3">
        <w:t>Draft Harvest Strategy</w:t>
      </w:r>
      <w:r>
        <w:t xml:space="preserve"> results is provided in Section 3.2.3. The </w:t>
      </w:r>
      <w:r w:rsidR="00BF48B3">
        <w:t>Draft Harvest Strategy</w:t>
      </w:r>
      <w:r>
        <w:t xml:space="preserve"> comprises operational objectives, performance indicators, reference levels and decision (or control) rules which directly link to TACC setting. The </w:t>
      </w:r>
      <w:r w:rsidR="00BF48B3">
        <w:t>Draft Harvest Strategy</w:t>
      </w:r>
      <w:r>
        <w:t xml:space="preserve"> requires further validation before it is formally integrated into the TACC setting process. In this report, we compare the independent weight of evidence assessment of stock status at the SMU scale with the outcomes of the </w:t>
      </w:r>
      <w:r w:rsidR="00BF48B3">
        <w:t>Draft Harvest Strategy</w:t>
      </w:r>
      <w:r>
        <w:t>.</w:t>
      </w:r>
    </w:p>
    <w:p w14:paraId="2F9D4A77" w14:textId="3184141B" w:rsidR="00FB0A3F" w:rsidRDefault="00000000">
      <w:r>
        <w:t xml:space="preserve">Both the stock assessment and </w:t>
      </w:r>
      <w:r w:rsidR="00BF48B3">
        <w:t>Draft Harvest Strategy</w:t>
      </w:r>
      <w:r>
        <w:t xml:space="preserve"> results are presented at the annual TACC setting workshop. The TACC will continue to be set this year based upon a ‘bottom up’ multiple lines of evidence approach as detailed in the Victorian Wild Harvest Abalone Fishery Management Plan (DEDJTR 2015). Catch targets for each SMU are to be reviewed during the annual workshops and these will directly influence the recommended TACC for the following season. Additional evidence that underpins the rationales for agreed catch target at the TACC setting meeting will be recorded and compared to both the stock assessment and </w:t>
      </w:r>
      <w:r w:rsidR="00BF48B3">
        <w:t>Draft Harvest Strategy</w:t>
      </w:r>
      <w:r>
        <w:t xml:space="preserve"> outcomes as part of the validation of the </w:t>
      </w:r>
      <w:r w:rsidR="00BF48B3">
        <w:t>Draft Harvest Strategy</w:t>
      </w:r>
      <w:r>
        <w:t>.</w:t>
      </w:r>
    </w:p>
    <w:p w14:paraId="403E94E4" w14:textId="77777777" w:rsidR="00FB0A3F" w:rsidRDefault="00000000">
      <w:pPr>
        <w:pStyle w:val="Heading2"/>
        <w:ind w:left="709" w:hanging="709"/>
      </w:pPr>
      <w:bookmarkStart w:id="58" w:name="_Toc150423170"/>
      <w:bookmarkStart w:id="59" w:name="_Toc192777210"/>
      <w:r>
        <w:t>Quality Control</w:t>
      </w:r>
      <w:bookmarkEnd w:id="58"/>
      <w:bookmarkEnd w:id="59"/>
    </w:p>
    <w:p w14:paraId="5265C8A7" w14:textId="2E724FEF" w:rsidR="009E4E69" w:rsidRPr="009E4E69" w:rsidRDefault="00000000" w:rsidP="009E4E69">
      <w:r>
        <w:t xml:space="preserve">Raw catch effort and CPUE data were received by MRAG Asia Pacific </w:t>
      </w:r>
      <w:r w:rsidR="00AD44B8">
        <w:t xml:space="preserve">(MRAG AP) </w:t>
      </w:r>
      <w:r>
        <w:t xml:space="preserve">on </w:t>
      </w:r>
      <w:r w:rsidR="009E4E69" w:rsidRPr="009E4E69">
        <w:t xml:space="preserve">10 September 2024. Data were provided by VFA in a validated form. </w:t>
      </w:r>
    </w:p>
    <w:p w14:paraId="24D19F1E" w14:textId="45A1A094" w:rsidR="009E4E69" w:rsidRPr="009E4E69" w:rsidRDefault="009E4E69" w:rsidP="009E4E69">
      <w:r w:rsidRPr="009E4E69">
        <w:t xml:space="preserve">The new CPUE standardisation model was developed by Jake Lowe (MRAG) and Duncan Worthington (AMBRAD) and was coded into R Script by Jake Lowe. </w:t>
      </w:r>
    </w:p>
    <w:p w14:paraId="18D20796" w14:textId="77777777" w:rsidR="009E4E69" w:rsidRPr="009E4E69" w:rsidRDefault="009E4E69" w:rsidP="009E4E69">
      <w:r w:rsidRPr="009E4E69">
        <w:t xml:space="preserve">MRAG AP manages all data under an ISO 9001 certified Quality Management System (QMS).  </w:t>
      </w:r>
    </w:p>
    <w:p w14:paraId="0683D66F" w14:textId="4C79B61F" w:rsidR="00FB0A3F" w:rsidRDefault="00FB0A3F" w:rsidP="009E4E69"/>
    <w:p w14:paraId="0AC61B4C" w14:textId="77777777" w:rsidR="00FB0A3F" w:rsidRDefault="00FB0A3F">
      <w:pPr>
        <w:sectPr w:rsidR="00FB0A3F" w:rsidSect="003D2180">
          <w:pgSz w:w="11906" w:h="16838"/>
          <w:pgMar w:top="1440" w:right="1440" w:bottom="1440" w:left="1440" w:header="708" w:footer="708" w:gutter="0"/>
          <w:cols w:space="708"/>
          <w:docGrid w:linePitch="360"/>
        </w:sectPr>
      </w:pPr>
    </w:p>
    <w:p w14:paraId="6D11E436" w14:textId="77777777" w:rsidR="00FB0A3F" w:rsidRDefault="00000000">
      <w:pPr>
        <w:pStyle w:val="Heading1"/>
        <w:numPr>
          <w:ilvl w:val="0"/>
          <w:numId w:val="7"/>
        </w:numPr>
        <w:ind w:left="357" w:hanging="357"/>
      </w:pPr>
      <w:bookmarkStart w:id="60" w:name="_Toc98408335"/>
      <w:bookmarkStart w:id="61" w:name="_Toc192777211"/>
      <w:bookmarkStart w:id="62" w:name="methods"/>
      <w:bookmarkStart w:id="63" w:name="quality-control"/>
      <w:bookmarkEnd w:id="11"/>
      <w:bookmarkEnd w:id="29"/>
      <w:r>
        <w:lastRenderedPageBreak/>
        <w:t>Results</w:t>
      </w:r>
      <w:bookmarkEnd w:id="60"/>
      <w:bookmarkEnd w:id="61"/>
    </w:p>
    <w:p w14:paraId="626CCEE5" w14:textId="77777777" w:rsidR="00FB0A3F" w:rsidRDefault="00FB0A3F">
      <w:pPr>
        <w:pStyle w:val="ListParagraph"/>
        <w:keepNext/>
        <w:keepLines/>
        <w:numPr>
          <w:ilvl w:val="0"/>
          <w:numId w:val="1"/>
        </w:numPr>
        <w:spacing w:before="240"/>
        <w:ind w:left="431" w:hanging="431"/>
        <w:contextualSpacing w:val="0"/>
        <w:outlineLvl w:val="0"/>
        <w:rPr>
          <w:rFonts w:asciiTheme="majorHAnsi" w:eastAsiaTheme="majorEastAsia" w:hAnsiTheme="majorHAnsi" w:cstheme="minorHAnsi"/>
          <w:vanish/>
          <w:color w:val="2E74B5" w:themeColor="accent1" w:themeShade="BF"/>
          <w:sz w:val="32"/>
          <w:szCs w:val="32"/>
          <w:lang w:val="en-US"/>
        </w:rPr>
      </w:pPr>
      <w:bookmarkStart w:id="64" w:name="_Toc98423731"/>
      <w:bookmarkStart w:id="65" w:name="_Toc160718290"/>
      <w:bookmarkStart w:id="66" w:name="_Toc160777263"/>
      <w:bookmarkStart w:id="67" w:name="_Toc98430374"/>
      <w:bookmarkStart w:id="68" w:name="_Toc127443347"/>
      <w:bookmarkStart w:id="69" w:name="_Toc128736822"/>
      <w:bookmarkStart w:id="70" w:name="_Toc127443503"/>
      <w:bookmarkStart w:id="71" w:name="_Toc128750534"/>
      <w:bookmarkStart w:id="72" w:name="_Toc161910327"/>
      <w:bookmarkStart w:id="73" w:name="_Toc192575594"/>
      <w:bookmarkStart w:id="74" w:name="_Toc192575748"/>
      <w:bookmarkStart w:id="75" w:name="_Toc192777212"/>
      <w:bookmarkEnd w:id="64"/>
      <w:bookmarkEnd w:id="65"/>
      <w:bookmarkEnd w:id="66"/>
      <w:bookmarkEnd w:id="67"/>
      <w:bookmarkEnd w:id="68"/>
      <w:bookmarkEnd w:id="69"/>
      <w:bookmarkEnd w:id="70"/>
      <w:bookmarkEnd w:id="71"/>
      <w:bookmarkEnd w:id="72"/>
      <w:bookmarkEnd w:id="73"/>
      <w:bookmarkEnd w:id="74"/>
      <w:bookmarkEnd w:id="75"/>
    </w:p>
    <w:p w14:paraId="034A1AF6" w14:textId="77777777" w:rsidR="00FB0A3F" w:rsidRDefault="00000000">
      <w:pPr>
        <w:pStyle w:val="Heading2"/>
        <w:ind w:left="709" w:hanging="709"/>
      </w:pPr>
      <w:bookmarkStart w:id="76" w:name="_Toc150423172"/>
      <w:bookmarkStart w:id="77" w:name="_Toc192777213"/>
      <w:bookmarkStart w:id="78" w:name="_Toc98408336"/>
      <w:r>
        <w:t xml:space="preserve">Central Zone </w:t>
      </w:r>
      <w:proofErr w:type="spellStart"/>
      <w:r>
        <w:t>Blacklip</w:t>
      </w:r>
      <w:proofErr w:type="spellEnd"/>
      <w:r>
        <w:t xml:space="preserve"> Assessment</w:t>
      </w:r>
      <w:bookmarkEnd w:id="76"/>
      <w:bookmarkEnd w:id="77"/>
    </w:p>
    <w:p w14:paraId="4CF8F4D5" w14:textId="77777777" w:rsidR="00FB0A3F" w:rsidRDefault="00000000">
      <w:pPr>
        <w:pStyle w:val="Heading3"/>
      </w:pPr>
      <w:bookmarkStart w:id="79" w:name="_Toc150423173"/>
      <w:bookmarkStart w:id="80" w:name="_Toc192777214"/>
      <w:r>
        <w:t>Catch and effort</w:t>
      </w:r>
      <w:bookmarkEnd w:id="79"/>
      <w:bookmarkEnd w:id="80"/>
    </w:p>
    <w:p w14:paraId="6629FDEA" w14:textId="1AFF9BE6" w:rsidR="00FB0A3F" w:rsidRDefault="00000000">
      <w:pPr>
        <w:rPr>
          <w:highlight w:val="yellow"/>
        </w:rPr>
      </w:pPr>
      <w:r>
        <w:t xml:space="preserve">Catch ranged from a peak of 750 t in 1984 to 535 t in 1988 before the introduction of quota. Catch steadily increased to 693 t in 1992 and remained relatively stable before declining to 663 t in 2002 when Marine Parks were first introduced. Catch slowly declined to 591 t in 2007 when the abalone viral </w:t>
      </w:r>
      <w:proofErr w:type="spellStart"/>
      <w:r>
        <w:t>ganglioneuritis</w:t>
      </w:r>
      <w:proofErr w:type="spellEnd"/>
      <w:r>
        <w:t xml:space="preserve"> (AVG) first hit the Central Zone with catch reducing to 462 t in 2008 and 297 t in 2010. In the last 12 years catch has declined slowly and was 253 t in 2022, which was around one third of the peak catch. </w:t>
      </w:r>
    </w:p>
    <w:p w14:paraId="73FEEC32" w14:textId="77777777" w:rsidR="00FB0A3F" w:rsidRDefault="00000000">
      <w:r>
        <w:t xml:space="preserve">Reported effort peaked around 1,000,000 minutes in 1980 and has generally declined thereafter. Currently, reported effort is only 20% of the historic peak. </w:t>
      </w:r>
    </w:p>
    <w:p w14:paraId="15B8337A" w14:textId="4E4D2E1F" w:rsidR="00FB0A3F" w:rsidRDefault="00000000">
      <w:r>
        <w:t xml:space="preserve">The total catch </w:t>
      </w:r>
      <w:r w:rsidR="00AC6F07">
        <w:t>for 202</w:t>
      </w:r>
      <w:r w:rsidR="00821792">
        <w:t>3</w:t>
      </w:r>
      <w:r w:rsidR="00AC6F07">
        <w:t>/2</w:t>
      </w:r>
      <w:r w:rsidR="00821792">
        <w:t>4</w:t>
      </w:r>
      <w:r w:rsidR="00AC6F07">
        <w:t xml:space="preserve"> </w:t>
      </w:r>
      <w:r w:rsidR="0073432E">
        <w:t xml:space="preserve">was </w:t>
      </w:r>
      <w:r>
        <w:t>2</w:t>
      </w:r>
      <w:r w:rsidR="00821792">
        <w:t>22.3</w:t>
      </w:r>
      <w:r>
        <w:t xml:space="preserve"> t, which was </w:t>
      </w:r>
      <w:r w:rsidR="0073432E">
        <w:t xml:space="preserve">close to </w:t>
      </w:r>
      <w:r>
        <w:t>100% the TACC of 2</w:t>
      </w:r>
      <w:r w:rsidR="00821792">
        <w:t>22.9</w:t>
      </w:r>
      <w:r>
        <w:t xml:space="preserve"> t. Th</w:t>
      </w:r>
      <w:r w:rsidR="00821792">
        <w:t xml:space="preserve">e 2023/24 catch was 12% lower than the </w:t>
      </w:r>
      <w:r>
        <w:t>previous years’ catch.</w:t>
      </w:r>
    </w:p>
    <w:p w14:paraId="2768989C" w14:textId="20C3AF77" w:rsidR="00FB0A3F" w:rsidRDefault="00821792">
      <w:r w:rsidRPr="00821792">
        <w:rPr>
          <w:noProof/>
        </w:rPr>
        <w:drawing>
          <wp:inline distT="0" distB="0" distL="0" distR="0" wp14:anchorId="0E2F2FCA" wp14:editId="74C057E7">
            <wp:extent cx="5731510" cy="3384550"/>
            <wp:effectExtent l="0" t="0" r="2540" b="6350"/>
            <wp:docPr id="2118764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764737" name=""/>
                    <pic:cNvPicPr/>
                  </pic:nvPicPr>
                  <pic:blipFill>
                    <a:blip r:embed="rId20"/>
                    <a:stretch>
                      <a:fillRect/>
                    </a:stretch>
                  </pic:blipFill>
                  <pic:spPr>
                    <a:xfrm>
                      <a:off x="0" y="0"/>
                      <a:ext cx="5731510" cy="3384550"/>
                    </a:xfrm>
                    <a:prstGeom prst="rect">
                      <a:avLst/>
                    </a:prstGeom>
                  </pic:spPr>
                </pic:pic>
              </a:graphicData>
            </a:graphic>
          </wp:inline>
        </w:drawing>
      </w:r>
    </w:p>
    <w:p w14:paraId="72B366AB" w14:textId="52088A47" w:rsidR="00FB0A3F" w:rsidRDefault="00000000">
      <w:pPr>
        <w:pStyle w:val="Caption"/>
      </w:pPr>
      <w:bookmarkStart w:id="81" w:name="_Toc149571875"/>
      <w:bookmarkStart w:id="82" w:name="_Toc192777268"/>
      <w:r>
        <w:t>Figure 2: Historic catch (t) and effort (minutes) from 1979 to 202</w:t>
      </w:r>
      <w:r w:rsidR="00821792">
        <w:t>3</w:t>
      </w:r>
      <w:r>
        <w:t>. Quota was introduced in 1988 with the quota year running from April to March. All data prior to 2020 are from April to March. In 2020, the quota year was changed to the financial year, resulting in the 2020 quota year being 15 months in duration.</w:t>
      </w:r>
      <w:bookmarkEnd w:id="81"/>
      <w:bookmarkEnd w:id="82"/>
    </w:p>
    <w:p w14:paraId="6776B1B1" w14:textId="77777777" w:rsidR="00FB0A3F" w:rsidRDefault="00FB0A3F">
      <w:pPr>
        <w:spacing w:before="0" w:after="160" w:line="259" w:lineRule="auto"/>
      </w:pPr>
    </w:p>
    <w:p w14:paraId="4F8BD201" w14:textId="5AA88BFF" w:rsidR="00FB0A3F" w:rsidRDefault="00FA3D1A">
      <w:r>
        <w:t xml:space="preserve">Nominal mean daily catch has ranged from 350 to 450 kg/day over the last two decades (Figure 3). Standardised trends depart </w:t>
      </w:r>
      <w:r w:rsidR="00416C47">
        <w:t>substantially</w:t>
      </w:r>
      <w:r>
        <w:t xml:space="preserve"> from the nominal means, with a general decline from </w:t>
      </w:r>
      <w:r w:rsidRPr="00416C47">
        <w:t>200</w:t>
      </w:r>
      <w:r w:rsidR="006E27D9" w:rsidRPr="00416C47">
        <w:t>3</w:t>
      </w:r>
      <w:r>
        <w:t xml:space="preserve"> to 2013</w:t>
      </w:r>
      <w:r w:rsidR="00416C47">
        <w:t>, stable trends to 2020 and a</w:t>
      </w:r>
      <w:r w:rsidR="009E5AB5">
        <w:t>n</w:t>
      </w:r>
      <w:r w:rsidR="00416C47">
        <w:t xml:space="preserve"> increase in the last four years.</w:t>
      </w:r>
      <w:r>
        <w:t xml:space="preserve"> </w:t>
      </w:r>
      <w:bookmarkStart w:id="83" w:name="_Hlk160697898"/>
    </w:p>
    <w:p w14:paraId="4204501F" w14:textId="476E0C09" w:rsidR="00FB0A3F" w:rsidRDefault="00900000" w:rsidP="00FA3D1A">
      <w:pPr>
        <w:jc w:val="center"/>
      </w:pPr>
      <w:r>
        <w:rPr>
          <w:noProof/>
        </w:rPr>
        <w:lastRenderedPageBreak/>
        <w:drawing>
          <wp:inline distT="0" distB="0" distL="0" distR="0" wp14:anchorId="63D09D7E" wp14:editId="25584796">
            <wp:extent cx="5313218" cy="3143077"/>
            <wp:effectExtent l="0" t="0" r="1905" b="635"/>
            <wp:docPr id="234" name="Picture" descr="A graph of a graph with different lin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34" name="Picture" descr="A graph of a graph with different lines&#10;&#10;Description automatically generated with medium confidence"/>
                    <pic:cNvPicPr/>
                  </pic:nvPicPr>
                  <pic:blipFill>
                    <a:blip r:embed="rId21"/>
                    <a:stretch>
                      <a:fillRect/>
                    </a:stretch>
                  </pic:blipFill>
                  <pic:spPr bwMode="auto">
                    <a:xfrm>
                      <a:off x="0" y="0"/>
                      <a:ext cx="5325991" cy="3150633"/>
                    </a:xfrm>
                    <a:prstGeom prst="rect">
                      <a:avLst/>
                    </a:prstGeom>
                    <a:noFill/>
                    <a:ln w="9525">
                      <a:noFill/>
                      <a:headEnd/>
                      <a:tailEnd/>
                    </a:ln>
                  </pic:spPr>
                </pic:pic>
              </a:graphicData>
            </a:graphic>
          </wp:inline>
        </w:drawing>
      </w:r>
    </w:p>
    <w:p w14:paraId="3A829459" w14:textId="2BC32154" w:rsidR="00FB0A3F" w:rsidRDefault="00000000">
      <w:pPr>
        <w:pStyle w:val="Caption"/>
      </w:pPr>
      <w:bookmarkStart w:id="84" w:name="_Toc149571876"/>
      <w:bookmarkStart w:id="85" w:name="_Toc192777269"/>
      <w:bookmarkEnd w:id="83"/>
      <w:r>
        <w:t xml:space="preserve">Figure 3: </w:t>
      </w:r>
      <w:r w:rsidR="00821792">
        <w:t>C</w:t>
      </w:r>
      <w:r>
        <w:t xml:space="preserve">atch (t) and mean daily catch (kg per fishing day) from </w:t>
      </w:r>
      <w:r w:rsidR="00821792">
        <w:t>200</w:t>
      </w:r>
      <w:r w:rsidR="00900000">
        <w:t>3</w:t>
      </w:r>
      <w:r>
        <w:t xml:space="preserve"> to 202</w:t>
      </w:r>
      <w:r w:rsidR="00821792">
        <w:t>3</w:t>
      </w:r>
      <w:r>
        <w:t xml:space="preserve">. </w:t>
      </w:r>
      <w:bookmarkStart w:id="86" w:name="_Hlk191538344"/>
      <w:bookmarkEnd w:id="84"/>
      <w:r w:rsidR="00821792">
        <w:t xml:space="preserve">Grey line nominal </w:t>
      </w:r>
      <w:r w:rsidR="00C43933">
        <w:t xml:space="preserve">annual </w:t>
      </w:r>
      <w:r w:rsidR="00821792">
        <w:t>mean (+/-SE). Solid black line standardised annual mean. D</w:t>
      </w:r>
      <w:r w:rsidR="00C43933">
        <w:t>ashed</w:t>
      </w:r>
      <w:r w:rsidR="00821792">
        <w:t xml:space="preserve"> black line standardised quarterly mean. </w:t>
      </w:r>
      <w:bookmarkEnd w:id="86"/>
      <w:r>
        <w:t>All data prior to 2020 are from April to March. In 2020, the quota year was changed to the financial year, resulting in the 2020 quota year being 15 months in duration.</w:t>
      </w:r>
      <w:bookmarkEnd w:id="85"/>
    </w:p>
    <w:p w14:paraId="3E81E111" w14:textId="77777777" w:rsidR="00FB0A3F" w:rsidRDefault="00000000">
      <w:pPr>
        <w:pStyle w:val="Heading3"/>
      </w:pPr>
      <w:bookmarkStart w:id="87" w:name="_Toc150423174"/>
      <w:bookmarkStart w:id="88" w:name="_Toc192777215"/>
      <w:bookmarkStart w:id="89" w:name="_Hlk160697813"/>
      <w:r>
        <w:t>Catch per unit effort (CPUE)</w:t>
      </w:r>
      <w:bookmarkEnd w:id="87"/>
      <w:bookmarkEnd w:id="88"/>
    </w:p>
    <w:p w14:paraId="17A40EA3" w14:textId="6567BE3C" w:rsidR="00FB0A3F" w:rsidRDefault="00000000">
      <w:r>
        <w:t>Nominal CPUE generally increased from 1992 to 2001, declined from 2001 to 2010, and has been relatively stable thereafter</w:t>
      </w:r>
      <w:r w:rsidR="00FA3D1A">
        <w:t xml:space="preserve"> (Figure 4)</w:t>
      </w:r>
      <w:r>
        <w:t xml:space="preserve">. Standardised CPUE </w:t>
      </w:r>
      <w:r w:rsidR="00FA3D1A">
        <w:t xml:space="preserve">generally declined from </w:t>
      </w:r>
      <w:r w:rsidR="00FA3D1A" w:rsidRPr="00900000">
        <w:t>200</w:t>
      </w:r>
      <w:r w:rsidR="006E27D9" w:rsidRPr="00900000">
        <w:t>3</w:t>
      </w:r>
      <w:r w:rsidR="00FA3D1A">
        <w:t xml:space="preserve"> to 2019 and has increased for the last </w:t>
      </w:r>
      <w:r w:rsidR="001A6F5B">
        <w:t>4</w:t>
      </w:r>
      <w:r w:rsidR="00FA3D1A">
        <w:t xml:space="preserve"> seasons. Standardised </w:t>
      </w:r>
      <w:r>
        <w:t>CPUE is currently the highest it has been since 20</w:t>
      </w:r>
      <w:r w:rsidR="00FA3D1A">
        <w:t>09</w:t>
      </w:r>
      <w:r>
        <w:t xml:space="preserve">. </w:t>
      </w:r>
    </w:p>
    <w:p w14:paraId="0BD2454E" w14:textId="7BBC89F3" w:rsidR="00FB0A3F" w:rsidRDefault="00900000" w:rsidP="00FA3D1A">
      <w:pPr>
        <w:jc w:val="center"/>
      </w:pPr>
      <w:r>
        <w:rPr>
          <w:noProof/>
        </w:rPr>
        <w:drawing>
          <wp:inline distT="0" distB="0" distL="0" distR="0" wp14:anchorId="0B052EE2" wp14:editId="0A12736D">
            <wp:extent cx="5216237" cy="3089563"/>
            <wp:effectExtent l="0" t="0" r="3810" b="0"/>
            <wp:docPr id="237" name="Picture" descr="Figure 45: Central Zone catch and CPUE (nominal and standardised) from 1992/1993 – 2022/23. Catch = bars, nominal CPUE = grey series (+/- SE), standardised series = black. MPs = introduction of Marine Parks. Virus = AVG first detected in the zone."/>
            <wp:cNvGraphicFramePr/>
            <a:graphic xmlns:a="http://schemas.openxmlformats.org/drawingml/2006/main">
              <a:graphicData uri="http://schemas.openxmlformats.org/drawingml/2006/picture">
                <pic:pic xmlns:pic="http://schemas.openxmlformats.org/drawingml/2006/picture">
                  <pic:nvPicPr>
                    <pic:cNvPr id="237" name="Picture" descr="Figure 45: Central Zone catch and CPUE (nominal and standardised) from 1992/1993 – 2022/23. Catch = bars, nominal CPUE = grey series (+/- SE), standardised series = black. MPs = introduction of Marine Parks. Virus = AVG first detected in the zone."/>
                    <pic:cNvPicPr/>
                  </pic:nvPicPr>
                  <pic:blipFill>
                    <a:blip r:embed="rId22"/>
                    <a:stretch>
                      <a:fillRect/>
                    </a:stretch>
                  </pic:blipFill>
                  <pic:spPr bwMode="auto">
                    <a:xfrm>
                      <a:off x="0" y="0"/>
                      <a:ext cx="5240226" cy="3103771"/>
                    </a:xfrm>
                    <a:prstGeom prst="rect">
                      <a:avLst/>
                    </a:prstGeom>
                    <a:noFill/>
                    <a:ln w="9525">
                      <a:noFill/>
                      <a:headEnd/>
                      <a:tailEnd/>
                    </a:ln>
                  </pic:spPr>
                </pic:pic>
              </a:graphicData>
            </a:graphic>
          </wp:inline>
        </w:drawing>
      </w:r>
    </w:p>
    <w:p w14:paraId="1CB97CC2" w14:textId="6237890D" w:rsidR="00FB0A3F" w:rsidRDefault="00000000">
      <w:pPr>
        <w:pStyle w:val="Caption"/>
      </w:pPr>
      <w:bookmarkStart w:id="90" w:name="_Toc149571877"/>
      <w:bookmarkStart w:id="91" w:name="_Toc192777270"/>
      <w:r w:rsidRPr="00900000">
        <w:t>Figure 4: Central Zone catch and CPUE (nominal and standardised) from 1992/1993 – 202</w:t>
      </w:r>
      <w:r w:rsidR="00FA3D1A" w:rsidRPr="00900000">
        <w:t>3</w:t>
      </w:r>
      <w:r w:rsidRPr="00900000">
        <w:t>/2</w:t>
      </w:r>
      <w:r w:rsidR="00FA3D1A" w:rsidRPr="00900000">
        <w:t>4</w:t>
      </w:r>
      <w:r w:rsidRPr="00900000">
        <w:t>. Catch = bars</w:t>
      </w:r>
      <w:r w:rsidR="00FA3D1A" w:rsidRPr="00900000">
        <w:t xml:space="preserve">. Grey line nominal annual mean (+/-SE). Solid black line standardised annual mean. Dashed black line standardised quarterly mean. </w:t>
      </w:r>
      <w:r w:rsidRPr="00900000">
        <w:t>MPs = introduction of Marine Parks.</w:t>
      </w:r>
      <w:bookmarkEnd w:id="90"/>
      <w:r w:rsidRPr="00900000">
        <w:t xml:space="preserve"> Quota was introduced in 1988 with the quota year running from April to March. All data prior to 2020 are from April to March. In 2020, the quota year was changed to the financial year, resulting in the 2020 quota year being 15 months in duration.</w:t>
      </w:r>
      <w:bookmarkEnd w:id="91"/>
    </w:p>
    <w:p w14:paraId="12F3D387" w14:textId="77777777" w:rsidR="00FB0A3F" w:rsidRDefault="00000000">
      <w:pPr>
        <w:pStyle w:val="Heading3"/>
      </w:pPr>
      <w:bookmarkStart w:id="92" w:name="_Toc150423175"/>
      <w:bookmarkStart w:id="93" w:name="_Toc192777216"/>
      <w:bookmarkEnd w:id="89"/>
      <w:r>
        <w:lastRenderedPageBreak/>
        <w:t>FIS abundance</w:t>
      </w:r>
      <w:bookmarkEnd w:id="92"/>
      <w:bookmarkEnd w:id="93"/>
    </w:p>
    <w:p w14:paraId="2F06AC99" w14:textId="77777777" w:rsidR="00FB0A3F" w:rsidRDefault="00000000">
      <w:pPr>
        <w:pStyle w:val="Heading4"/>
      </w:pPr>
      <w:bookmarkStart w:id="94" w:name="_Toc150423176"/>
      <w:r>
        <w:t>Recruit abundance</w:t>
      </w:r>
      <w:bookmarkEnd w:id="94"/>
    </w:p>
    <w:p w14:paraId="2E183928" w14:textId="70C9929F" w:rsidR="00FB0A3F" w:rsidRDefault="00000000">
      <w:r>
        <w:t>Figure 5 plots recruit abundance from FIS sites</w:t>
      </w:r>
      <w:r w:rsidR="00344F1D">
        <w:t xml:space="preserve"> from 1992 to 2023</w:t>
      </w:r>
      <w:r>
        <w:t>. The grey line is the nominal data from all FIS sites surveyed, with the black lines representing the nominal (dashed) and standardised (solid line) values for the Top 15 sites only. There was little difference between nominal and standardised trends. Recruit abundance at the Top 15 sites declined substantially from 2003 to 2009, then was relatively stable between 2009 and 2016 before declining to historic low levels in 2018</w:t>
      </w:r>
      <w:bookmarkStart w:id="95" w:name="_Hlk160697865"/>
      <w:r>
        <w:t xml:space="preserve">. Recruit abundance has increased thereafter and in 2023 was around the 2009 levels. </w:t>
      </w:r>
    </w:p>
    <w:p w14:paraId="7255899F" w14:textId="3FEC61C5" w:rsidR="00FB0A3F" w:rsidRDefault="00344F1D">
      <w:r>
        <w:rPr>
          <w:noProof/>
        </w:rPr>
        <w:drawing>
          <wp:inline distT="0" distB="0" distL="0" distR="0" wp14:anchorId="6A6F98CE" wp14:editId="564619A9">
            <wp:extent cx="5727700" cy="3579495"/>
            <wp:effectExtent l="0" t="0" r="0" b="0"/>
            <wp:docPr id="240" name="Picture" descr="Figure 46: FIS recruit abundance (1992-2023) and catch (1992/93 – 2022/23) for the Central Zone. Grey dashed series = nominal abundance across all FIS sites (+/-SE). Black series = nominal (dotted line, open datapoint in 2023; +/- SE) and standardised (solid line, solid datapoint in 2023) abundance across the Top 15 sites only."/>
            <wp:cNvGraphicFramePr/>
            <a:graphic xmlns:a="http://schemas.openxmlformats.org/drawingml/2006/main">
              <a:graphicData uri="http://schemas.openxmlformats.org/drawingml/2006/picture">
                <pic:pic xmlns:pic="http://schemas.openxmlformats.org/drawingml/2006/picture">
                  <pic:nvPicPr>
                    <pic:cNvPr id="240" name="Picture" descr="Figure 46: FIS recruit abundance (1992-2023) and catch (1992/93 – 2022/23) for the Central Zone. Grey dashed series = nominal abundance across all FIS sites (+/-SE). Black series = nominal (dotted line, open datapoint in 2023; +/- SE) and standardised (solid line, solid datapoint in 2023) abundance across the Top 15 sites only."/>
                    <pic:cNvPicPr/>
                  </pic:nvPicPr>
                  <pic:blipFill>
                    <a:blip r:embed="rId23"/>
                    <a:stretch>
                      <a:fillRect/>
                    </a:stretch>
                  </pic:blipFill>
                  <pic:spPr bwMode="auto">
                    <a:xfrm>
                      <a:off x="0" y="0"/>
                      <a:ext cx="5727700" cy="3579495"/>
                    </a:xfrm>
                    <a:prstGeom prst="rect">
                      <a:avLst/>
                    </a:prstGeom>
                    <a:noFill/>
                    <a:ln w="9525">
                      <a:noFill/>
                      <a:headEnd/>
                      <a:tailEnd/>
                    </a:ln>
                  </pic:spPr>
                </pic:pic>
              </a:graphicData>
            </a:graphic>
          </wp:inline>
        </w:drawing>
      </w:r>
    </w:p>
    <w:p w14:paraId="568D8DA6" w14:textId="0D761655" w:rsidR="00FB0A3F" w:rsidRDefault="00000000">
      <w:pPr>
        <w:pStyle w:val="Caption"/>
      </w:pPr>
      <w:bookmarkStart w:id="96" w:name="_Toc149571878"/>
      <w:bookmarkStart w:id="97" w:name="_Toc192777271"/>
      <w:r>
        <w:t>Figure 5: FIS recruit abundance (1992-2023) and catch (1992/93 – 202</w:t>
      </w:r>
      <w:r w:rsidR="00344F1D">
        <w:t>3</w:t>
      </w:r>
      <w:r>
        <w:t>/2</w:t>
      </w:r>
      <w:r w:rsidR="00344F1D">
        <w:t>4</w:t>
      </w:r>
      <w:r>
        <w:t xml:space="preserve">) for the Central Zone. </w:t>
      </w:r>
      <w:r w:rsidR="00AC6F07">
        <w:t>Catch = bars, g</w:t>
      </w:r>
      <w:r>
        <w:t>rey dashed series = nominal abundance across all FIS sites (+/-SE). Black series = nominal (dotted line, open datapoint in 2023; +/- SE) and standardised (solid line, solid datapoint in 2023) abundance across the Top 15 sites only.</w:t>
      </w:r>
      <w:bookmarkEnd w:id="96"/>
      <w:bookmarkEnd w:id="97"/>
    </w:p>
    <w:p w14:paraId="0F8000EF" w14:textId="77777777" w:rsidR="00FB0A3F" w:rsidRDefault="00FB0A3F"/>
    <w:p w14:paraId="3CB08C51" w14:textId="77777777" w:rsidR="00FB0A3F" w:rsidRDefault="00000000">
      <w:pPr>
        <w:pStyle w:val="Heading4"/>
        <w:numPr>
          <w:ilvl w:val="3"/>
          <w:numId w:val="8"/>
        </w:numPr>
      </w:pPr>
      <w:bookmarkStart w:id="98" w:name="_Toc150423177"/>
      <w:r>
        <w:t>Pre-recruit abundance</w:t>
      </w:r>
      <w:bookmarkEnd w:id="98"/>
    </w:p>
    <w:p w14:paraId="5C03E1CE" w14:textId="4E2D7BEC" w:rsidR="00FB0A3F" w:rsidRDefault="00000000">
      <w:r>
        <w:t>Figure 6 plots pre-recruit abundance from FIS sites</w:t>
      </w:r>
      <w:r w:rsidR="00344F1D">
        <w:t xml:space="preserve"> from 1992 to 2023</w:t>
      </w:r>
      <w:r>
        <w:t xml:space="preserve">. As for Figure 5, the grey line is the nominal data from all FIS sites surveyed, with the black lines representing the nominal (dashed) and standardised (solid line) values for the Top 15 sites only. There was little difference between nominal and standardised trends. Pre-recruit abundance at the Top 15 sites declined consistently from 2003 to 2008, was relatively stable from 2008 to 2020 before declining to a historic low in 2021. Surveys were not conducted in 2022 but in 2023 pre-recruit abundance increased by 87% </w:t>
      </w:r>
      <w:r w:rsidR="00344F1D">
        <w:t>relative to 2021</w:t>
      </w:r>
      <w:r>
        <w:t xml:space="preserve"> and was the highest observed since 2008.  </w:t>
      </w:r>
    </w:p>
    <w:p w14:paraId="1BFA88A2" w14:textId="77777777" w:rsidR="00FB0A3F" w:rsidRDefault="00FB0A3F"/>
    <w:p w14:paraId="75587ECC" w14:textId="77777777" w:rsidR="00FB0A3F" w:rsidRDefault="00FB0A3F"/>
    <w:p w14:paraId="5F05510B" w14:textId="552C6C32" w:rsidR="00FB0A3F" w:rsidRDefault="00344F1D" w:rsidP="00344F1D">
      <w:pPr>
        <w:jc w:val="center"/>
      </w:pPr>
      <w:r>
        <w:rPr>
          <w:noProof/>
        </w:rPr>
        <w:lastRenderedPageBreak/>
        <w:drawing>
          <wp:inline distT="0" distB="0" distL="0" distR="0" wp14:anchorId="243F961A" wp14:editId="1B4B8591">
            <wp:extent cx="5501640" cy="3215640"/>
            <wp:effectExtent l="0" t="0" r="3810" b="3810"/>
            <wp:docPr id="243" name="Picture" descr="Figure 47: FIS pre-recruit abundance (1992-2023) and catch (1992/93 – 2022/23) for the Central Zone. Grey dashed series = nominal abundance across all FIS sites (+/-SE). Black series = nominal (dotted line, open datapoint in 2023; +/- SE) and standardised (solid line, solid datapoint in 2023) abundance across the Top 15 sites only."/>
            <wp:cNvGraphicFramePr/>
            <a:graphic xmlns:a="http://schemas.openxmlformats.org/drawingml/2006/main">
              <a:graphicData uri="http://schemas.openxmlformats.org/drawingml/2006/picture">
                <pic:pic xmlns:pic="http://schemas.openxmlformats.org/drawingml/2006/picture">
                  <pic:nvPicPr>
                    <pic:cNvPr id="243" name="Picture" descr="Figure 47: FIS pre-recruit abundance (1992-2023) and catch (1992/93 – 2022/23) for the Central Zone. Grey dashed series = nominal abundance across all FIS sites (+/-SE). Black series = nominal (dotted line, open datapoint in 2023; +/- SE) and standardised (solid line, solid datapoint in 2023) abundance across the Top 15 sites only."/>
                    <pic:cNvPicPr/>
                  </pic:nvPicPr>
                  <pic:blipFill>
                    <a:blip r:embed="rId24"/>
                    <a:stretch>
                      <a:fillRect/>
                    </a:stretch>
                  </pic:blipFill>
                  <pic:spPr bwMode="auto">
                    <a:xfrm>
                      <a:off x="0" y="0"/>
                      <a:ext cx="5501640" cy="3215640"/>
                    </a:xfrm>
                    <a:prstGeom prst="rect">
                      <a:avLst/>
                    </a:prstGeom>
                    <a:noFill/>
                    <a:ln w="9525">
                      <a:noFill/>
                      <a:headEnd/>
                      <a:tailEnd/>
                    </a:ln>
                  </pic:spPr>
                </pic:pic>
              </a:graphicData>
            </a:graphic>
          </wp:inline>
        </w:drawing>
      </w:r>
    </w:p>
    <w:p w14:paraId="6A02F36D" w14:textId="6B9D2B3F" w:rsidR="00FB0A3F" w:rsidRDefault="00000000">
      <w:pPr>
        <w:pStyle w:val="Caption"/>
      </w:pPr>
      <w:bookmarkStart w:id="99" w:name="_Toc149571879"/>
      <w:bookmarkStart w:id="100" w:name="_Toc192777272"/>
      <w:r w:rsidRPr="00900000">
        <w:t>Figure 6: Pre-recruit abundance (1992-2023) and catch (1992/93 – 202</w:t>
      </w:r>
      <w:r w:rsidR="00344F1D" w:rsidRPr="00900000">
        <w:t>3</w:t>
      </w:r>
      <w:r w:rsidRPr="00900000">
        <w:t>/2</w:t>
      </w:r>
      <w:r w:rsidR="00344F1D" w:rsidRPr="00900000">
        <w:t>4</w:t>
      </w:r>
      <w:r w:rsidRPr="00900000">
        <w:t xml:space="preserve">) for the Central Zone. </w:t>
      </w:r>
      <w:r w:rsidR="00AC6F07" w:rsidRPr="00900000">
        <w:t xml:space="preserve">Catch = bars, </w:t>
      </w:r>
      <w:r w:rsidRPr="00900000">
        <w:t>Grey dashed series = nominal abundance across all FIS sites (+/-SE). Black series = nominal (dotted line, open datapoint in 2023; +/- SE) and standardised (solid line, solid datapoint in 2023) abundance across the Top 15 sites only.</w:t>
      </w:r>
      <w:bookmarkEnd w:id="99"/>
      <w:bookmarkEnd w:id="100"/>
    </w:p>
    <w:p w14:paraId="0E419409" w14:textId="77777777" w:rsidR="00FB0A3F" w:rsidRDefault="00000000">
      <w:pPr>
        <w:pStyle w:val="Heading3"/>
      </w:pPr>
      <w:bookmarkStart w:id="101" w:name="_Toc150423178"/>
      <w:bookmarkStart w:id="102" w:name="_Toc192777217"/>
      <w:bookmarkEnd w:id="95"/>
      <w:r>
        <w:t>Central Zone Performance Measures</w:t>
      </w:r>
      <w:bookmarkEnd w:id="101"/>
      <w:bookmarkEnd w:id="102"/>
    </w:p>
    <w:p w14:paraId="04D8E548" w14:textId="2A8447B0" w:rsidR="00FB0A3F" w:rsidRDefault="00000000">
      <w:bookmarkStart w:id="103" w:name="_Hlk192769466"/>
      <w:r>
        <w:t>The catch in 202</w:t>
      </w:r>
      <w:r w:rsidR="00344F1D">
        <w:t>3</w:t>
      </w:r>
      <w:r>
        <w:t>/2</w:t>
      </w:r>
      <w:r w:rsidR="00344F1D">
        <w:t>4</w:t>
      </w:r>
      <w:r>
        <w:t xml:space="preserve"> totalled 2</w:t>
      </w:r>
      <w:r w:rsidR="00344F1D">
        <w:t>22.3</w:t>
      </w:r>
      <w:r>
        <w:t xml:space="preserve"> t, which was </w:t>
      </w:r>
      <w:r w:rsidR="00416C47">
        <w:t>99.7</w:t>
      </w:r>
      <w:r>
        <w:t>% of the TACC (</w:t>
      </w:r>
      <w:r w:rsidR="00344F1D">
        <w:t xml:space="preserve">222.9 t, </w:t>
      </w:r>
      <w:r>
        <w:t>Table 2). Catch has declined by 6</w:t>
      </w:r>
      <w:r w:rsidR="00416C47">
        <w:t>6</w:t>
      </w:r>
      <w:r>
        <w:t>% in the long term (since 2003/04), 4</w:t>
      </w:r>
      <w:r w:rsidR="00416C47">
        <w:t>8</w:t>
      </w:r>
      <w:r>
        <w:t xml:space="preserve">% in the short-term (since 2009/10) </w:t>
      </w:r>
      <w:r w:rsidR="00416C47">
        <w:t>and 2</w:t>
      </w:r>
      <w:r>
        <w:t xml:space="preserve">% </w:t>
      </w:r>
      <w:r w:rsidR="00416C47">
        <w:t xml:space="preserve">in the last </w:t>
      </w:r>
      <w:r>
        <w:t xml:space="preserve">four years. </w:t>
      </w:r>
      <w:r w:rsidR="00416C47">
        <w:t xml:space="preserve">Standardised </w:t>
      </w:r>
      <w:r>
        <w:t>CPUE in 202</w:t>
      </w:r>
      <w:r w:rsidR="00416C47">
        <w:t>3</w:t>
      </w:r>
      <w:r>
        <w:t>/2</w:t>
      </w:r>
      <w:r w:rsidR="00416C47">
        <w:t>4</w:t>
      </w:r>
      <w:r>
        <w:t xml:space="preserve"> was </w:t>
      </w:r>
      <w:r w:rsidR="00416C47">
        <w:t>22</w:t>
      </w:r>
      <w:r>
        <w:t>% lower than the long-term</w:t>
      </w:r>
      <w:r w:rsidR="00416C47">
        <w:t xml:space="preserve"> and</w:t>
      </w:r>
      <w:r>
        <w:t xml:space="preserve"> </w:t>
      </w:r>
      <w:r w:rsidR="00416C47">
        <w:t>8</w:t>
      </w:r>
      <w:r>
        <w:t>% lower than the short-term, but 1</w:t>
      </w:r>
      <w:r w:rsidR="00416C47">
        <w:t>2</w:t>
      </w:r>
      <w:r>
        <w:t xml:space="preserve">% higher than 4 years ago. </w:t>
      </w:r>
      <w:r w:rsidR="00416C47">
        <w:t>Standardised m</w:t>
      </w:r>
      <w:r>
        <w:t xml:space="preserve">ean daily catch </w:t>
      </w:r>
      <w:r w:rsidR="00416C47">
        <w:t>showed similar trends to CPUE, being 19</w:t>
      </w:r>
      <w:r>
        <w:t xml:space="preserve">% lower </w:t>
      </w:r>
      <w:r w:rsidR="00416C47">
        <w:t xml:space="preserve">in </w:t>
      </w:r>
      <w:r>
        <w:t>the long-term</w:t>
      </w:r>
      <w:r w:rsidR="00416C47">
        <w:t xml:space="preserve"> and 7</w:t>
      </w:r>
      <w:r>
        <w:t xml:space="preserve">% </w:t>
      </w:r>
      <w:r w:rsidR="00416C47">
        <w:t xml:space="preserve">lower in </w:t>
      </w:r>
      <w:r>
        <w:t xml:space="preserve">the short-term, and </w:t>
      </w:r>
      <w:r w:rsidR="00416C47">
        <w:t>7% higher</w:t>
      </w:r>
      <w:r>
        <w:t xml:space="preserve"> than </w:t>
      </w:r>
      <w:r w:rsidR="001A6F5B">
        <w:t>4</w:t>
      </w:r>
      <w:r>
        <w:t xml:space="preserve"> years ago. </w:t>
      </w:r>
    </w:p>
    <w:p w14:paraId="0FE09DA0" w14:textId="617CB8F1" w:rsidR="00FB0A3F" w:rsidRDefault="00416C47">
      <w:bookmarkStart w:id="104" w:name="_Hlk192769481"/>
      <w:bookmarkEnd w:id="103"/>
      <w:r>
        <w:t xml:space="preserve">Insufficient FIS data were collected in 2023/24 for assessment against the PIs, thus data from 2022/23 are presented. Recruit abundance at the Top 15 sites has declined by 26% in the </w:t>
      </w:r>
      <w:proofErr w:type="gramStart"/>
      <w:r>
        <w:t>long-term, but</w:t>
      </w:r>
      <w:proofErr w:type="gramEnd"/>
      <w:r>
        <w:t xml:space="preserve"> was 13% higher than the short-term and 16% higher than 4 years ago. Pre-recruit abundance has declined by 6% in the long-term but was 10% higher than the short-term and 37% higher than 4 years ago.</w:t>
      </w:r>
    </w:p>
    <w:p w14:paraId="370BCBE2" w14:textId="2FBEE7A1" w:rsidR="00FB0A3F" w:rsidRDefault="00000000">
      <w:pPr>
        <w:pStyle w:val="TableCaption"/>
      </w:pPr>
      <w:bookmarkStart w:id="105" w:name="_Toc149571227"/>
      <w:bookmarkStart w:id="106" w:name="_Toc192762270"/>
      <w:bookmarkStart w:id="107" w:name="_Hlk160696924"/>
      <w:bookmarkEnd w:id="104"/>
      <w:r>
        <w:t xml:space="preserve">Table 2: </w:t>
      </w:r>
      <w:r w:rsidR="00416C47">
        <w:t>Assessment of zone wide p</w:t>
      </w:r>
      <w:r>
        <w:t>erformance measures.</w:t>
      </w:r>
      <w:bookmarkEnd w:id="105"/>
      <w:r>
        <w:t xml:space="preserve"> </w:t>
      </w:r>
      <w:r w:rsidR="006E27D9">
        <w:t xml:space="preserve">* </w:t>
      </w:r>
      <w:r w:rsidR="00495804">
        <w:t>Recruit</w:t>
      </w:r>
      <w:r w:rsidR="006E27D9">
        <w:t xml:space="preserve"> and pre-recruit abundance data are </w:t>
      </w:r>
      <w:r w:rsidR="00495804">
        <w:t xml:space="preserve">for </w:t>
      </w:r>
      <w:r w:rsidR="006E27D9">
        <w:t>2022/23</w:t>
      </w:r>
      <w:bookmarkEnd w:id="106"/>
    </w:p>
    <w:tbl>
      <w:tblPr>
        <w:tblStyle w:val="TableGrid"/>
        <w:tblW w:w="9558" w:type="dxa"/>
        <w:tblLook w:val="04A0" w:firstRow="1" w:lastRow="0" w:firstColumn="1" w:lastColumn="0" w:noHBand="0" w:noVBand="1"/>
      </w:tblPr>
      <w:tblGrid>
        <w:gridCol w:w="3880"/>
        <w:gridCol w:w="906"/>
        <w:gridCol w:w="1701"/>
        <w:gridCol w:w="1559"/>
        <w:gridCol w:w="1512"/>
      </w:tblGrid>
      <w:tr w:rsidR="00FB0A3F" w14:paraId="315F0906" w14:textId="77777777" w:rsidTr="006E27D9">
        <w:tc>
          <w:tcPr>
            <w:tcW w:w="3880" w:type="dxa"/>
            <w:vAlign w:val="center"/>
          </w:tcPr>
          <w:p w14:paraId="5A995EE3" w14:textId="77777777" w:rsidR="00FB0A3F" w:rsidRDefault="00000000">
            <w:pPr>
              <w:rPr>
                <w:sz w:val="20"/>
                <w:szCs w:val="20"/>
              </w:rPr>
            </w:pPr>
            <w:r>
              <w:rPr>
                <w:sz w:val="20"/>
                <w:szCs w:val="20"/>
              </w:rPr>
              <w:t>Measure</w:t>
            </w:r>
          </w:p>
        </w:tc>
        <w:tc>
          <w:tcPr>
            <w:tcW w:w="906" w:type="dxa"/>
            <w:vAlign w:val="center"/>
          </w:tcPr>
          <w:p w14:paraId="48DA16BC" w14:textId="7AB4F5E6" w:rsidR="00FB0A3F" w:rsidRDefault="00000000">
            <w:pPr>
              <w:jc w:val="center"/>
              <w:rPr>
                <w:sz w:val="20"/>
                <w:szCs w:val="20"/>
              </w:rPr>
            </w:pPr>
            <w:r>
              <w:rPr>
                <w:sz w:val="20"/>
                <w:szCs w:val="20"/>
              </w:rPr>
              <w:t>202</w:t>
            </w:r>
            <w:r w:rsidR="006E27D9">
              <w:rPr>
                <w:sz w:val="20"/>
                <w:szCs w:val="20"/>
              </w:rPr>
              <w:t>3</w:t>
            </w:r>
            <w:r>
              <w:rPr>
                <w:sz w:val="20"/>
                <w:szCs w:val="20"/>
              </w:rPr>
              <w:t>/2</w:t>
            </w:r>
            <w:r w:rsidR="006E27D9">
              <w:rPr>
                <w:sz w:val="20"/>
                <w:szCs w:val="20"/>
              </w:rPr>
              <w:t>4</w:t>
            </w:r>
          </w:p>
        </w:tc>
        <w:tc>
          <w:tcPr>
            <w:tcW w:w="1701" w:type="dxa"/>
          </w:tcPr>
          <w:p w14:paraId="71A71631" w14:textId="77777777" w:rsidR="00FB0A3F" w:rsidRPr="00416C47" w:rsidRDefault="00000000">
            <w:pPr>
              <w:jc w:val="center"/>
              <w:rPr>
                <w:sz w:val="20"/>
                <w:szCs w:val="20"/>
              </w:rPr>
            </w:pPr>
            <w:r w:rsidRPr="00416C47">
              <w:rPr>
                <w:sz w:val="20"/>
                <w:szCs w:val="20"/>
              </w:rPr>
              <w:t xml:space="preserve">Long term     </w:t>
            </w:r>
            <w:proofErr w:type="gramStart"/>
            <w:r w:rsidRPr="00416C47">
              <w:rPr>
                <w:sz w:val="20"/>
                <w:szCs w:val="20"/>
              </w:rPr>
              <w:t xml:space="preserve">   (</w:t>
            </w:r>
            <w:proofErr w:type="gramEnd"/>
            <w:r w:rsidRPr="00416C47">
              <w:rPr>
                <w:sz w:val="20"/>
                <w:szCs w:val="20"/>
              </w:rPr>
              <w:t>since 2003/04)</w:t>
            </w:r>
          </w:p>
        </w:tc>
        <w:tc>
          <w:tcPr>
            <w:tcW w:w="1559" w:type="dxa"/>
          </w:tcPr>
          <w:p w14:paraId="320B4538" w14:textId="77777777" w:rsidR="00FB0A3F" w:rsidRDefault="00000000">
            <w:pPr>
              <w:jc w:val="center"/>
              <w:rPr>
                <w:sz w:val="20"/>
                <w:szCs w:val="20"/>
              </w:rPr>
            </w:pPr>
            <w:r>
              <w:rPr>
                <w:sz w:val="20"/>
                <w:szCs w:val="20"/>
              </w:rPr>
              <w:t xml:space="preserve">Short term   </w:t>
            </w:r>
            <w:proofErr w:type="gramStart"/>
            <w:r>
              <w:rPr>
                <w:sz w:val="20"/>
                <w:szCs w:val="20"/>
              </w:rPr>
              <w:t xml:space="preserve">   (</w:t>
            </w:r>
            <w:proofErr w:type="gramEnd"/>
            <w:r>
              <w:rPr>
                <w:sz w:val="20"/>
                <w:szCs w:val="20"/>
              </w:rPr>
              <w:t>since 2009/10)</w:t>
            </w:r>
          </w:p>
        </w:tc>
        <w:tc>
          <w:tcPr>
            <w:tcW w:w="1512" w:type="dxa"/>
            <w:vAlign w:val="center"/>
          </w:tcPr>
          <w:p w14:paraId="756B5313" w14:textId="12B79E9E" w:rsidR="00FB0A3F" w:rsidRDefault="00000000" w:rsidP="006E27D9">
            <w:pPr>
              <w:spacing w:before="0" w:after="0"/>
              <w:jc w:val="center"/>
              <w:rPr>
                <w:sz w:val="20"/>
                <w:szCs w:val="20"/>
              </w:rPr>
            </w:pPr>
            <w:r>
              <w:rPr>
                <w:sz w:val="20"/>
                <w:szCs w:val="20"/>
              </w:rPr>
              <w:t>Last 4 years</w:t>
            </w:r>
          </w:p>
        </w:tc>
      </w:tr>
      <w:tr w:rsidR="00FB0A3F" w14:paraId="07A8D314" w14:textId="77777777">
        <w:tc>
          <w:tcPr>
            <w:tcW w:w="3880" w:type="dxa"/>
          </w:tcPr>
          <w:p w14:paraId="25E9EE3E" w14:textId="1044DB77" w:rsidR="00FB0A3F" w:rsidRDefault="006E27D9">
            <w:pPr>
              <w:rPr>
                <w:sz w:val="20"/>
                <w:szCs w:val="20"/>
              </w:rPr>
            </w:pPr>
            <w:r>
              <w:rPr>
                <w:sz w:val="20"/>
                <w:szCs w:val="20"/>
              </w:rPr>
              <w:t>Standardised CPUE (kg/h)</w:t>
            </w:r>
          </w:p>
        </w:tc>
        <w:tc>
          <w:tcPr>
            <w:tcW w:w="906" w:type="dxa"/>
          </w:tcPr>
          <w:p w14:paraId="1A6589CE" w14:textId="02BA941B" w:rsidR="00FB0A3F" w:rsidRDefault="00000000">
            <w:pPr>
              <w:jc w:val="center"/>
              <w:rPr>
                <w:sz w:val="20"/>
                <w:szCs w:val="20"/>
              </w:rPr>
            </w:pPr>
            <w:r>
              <w:rPr>
                <w:sz w:val="20"/>
                <w:szCs w:val="20"/>
              </w:rPr>
              <w:t>7</w:t>
            </w:r>
            <w:r w:rsidR="00416C47">
              <w:rPr>
                <w:sz w:val="20"/>
                <w:szCs w:val="20"/>
              </w:rPr>
              <w:t>7.3</w:t>
            </w:r>
          </w:p>
        </w:tc>
        <w:tc>
          <w:tcPr>
            <w:tcW w:w="1701" w:type="dxa"/>
          </w:tcPr>
          <w:p w14:paraId="4464700A" w14:textId="19A5F47B" w:rsidR="00FB0A3F" w:rsidRPr="00416C47" w:rsidRDefault="00000000">
            <w:pPr>
              <w:jc w:val="center"/>
              <w:rPr>
                <w:sz w:val="20"/>
                <w:szCs w:val="20"/>
              </w:rPr>
            </w:pPr>
            <w:r w:rsidRPr="00416C47">
              <w:rPr>
                <w:sz w:val="20"/>
                <w:szCs w:val="20"/>
              </w:rPr>
              <w:t>9</w:t>
            </w:r>
            <w:r w:rsidR="00416C47" w:rsidRPr="00416C47">
              <w:rPr>
                <w:sz w:val="20"/>
                <w:szCs w:val="20"/>
              </w:rPr>
              <w:t>8.5</w:t>
            </w:r>
            <w:r w:rsidRPr="00416C47">
              <w:rPr>
                <w:sz w:val="20"/>
                <w:szCs w:val="20"/>
              </w:rPr>
              <w:t xml:space="preserve"> (</w:t>
            </w:r>
            <w:r w:rsidRPr="00416C47">
              <w:rPr>
                <w:rFonts w:cstheme="minorHAnsi"/>
                <w:sz w:val="20"/>
                <w:szCs w:val="20"/>
              </w:rPr>
              <w:t>↓</w:t>
            </w:r>
            <w:r w:rsidR="00416C47" w:rsidRPr="00416C47">
              <w:rPr>
                <w:rFonts w:cstheme="minorHAnsi"/>
                <w:sz w:val="20"/>
                <w:szCs w:val="20"/>
              </w:rPr>
              <w:t>22</w:t>
            </w:r>
            <w:r w:rsidRPr="00416C47">
              <w:rPr>
                <w:sz w:val="20"/>
                <w:szCs w:val="20"/>
              </w:rPr>
              <w:t>%)</w:t>
            </w:r>
          </w:p>
        </w:tc>
        <w:tc>
          <w:tcPr>
            <w:tcW w:w="1559" w:type="dxa"/>
          </w:tcPr>
          <w:p w14:paraId="5C2AFF0E" w14:textId="7C96D37E" w:rsidR="00FB0A3F" w:rsidRDefault="00000000">
            <w:pPr>
              <w:jc w:val="center"/>
              <w:rPr>
                <w:sz w:val="20"/>
                <w:szCs w:val="20"/>
              </w:rPr>
            </w:pPr>
            <w:r>
              <w:rPr>
                <w:sz w:val="20"/>
                <w:szCs w:val="20"/>
              </w:rPr>
              <w:t>8</w:t>
            </w:r>
            <w:r w:rsidR="00416C47">
              <w:rPr>
                <w:sz w:val="20"/>
                <w:szCs w:val="20"/>
              </w:rPr>
              <w:t>4.0</w:t>
            </w:r>
            <w:r>
              <w:rPr>
                <w:sz w:val="20"/>
                <w:szCs w:val="20"/>
              </w:rPr>
              <w:t xml:space="preserve"> (</w:t>
            </w:r>
            <w:r>
              <w:rPr>
                <w:rFonts w:cstheme="minorHAnsi"/>
                <w:sz w:val="20"/>
                <w:szCs w:val="20"/>
              </w:rPr>
              <w:t>↓</w:t>
            </w:r>
            <w:r w:rsidR="006E27D9">
              <w:rPr>
                <w:rFonts w:cstheme="minorHAnsi"/>
                <w:sz w:val="20"/>
                <w:szCs w:val="20"/>
              </w:rPr>
              <w:t>8</w:t>
            </w:r>
            <w:r>
              <w:rPr>
                <w:sz w:val="20"/>
                <w:szCs w:val="20"/>
              </w:rPr>
              <w:t>%)</w:t>
            </w:r>
          </w:p>
        </w:tc>
        <w:tc>
          <w:tcPr>
            <w:tcW w:w="1512" w:type="dxa"/>
          </w:tcPr>
          <w:p w14:paraId="7887AA9A" w14:textId="1BA240DB" w:rsidR="00FB0A3F" w:rsidRDefault="006E27D9">
            <w:pPr>
              <w:jc w:val="center"/>
              <w:rPr>
                <w:sz w:val="20"/>
                <w:szCs w:val="20"/>
              </w:rPr>
            </w:pPr>
            <w:r>
              <w:rPr>
                <w:sz w:val="20"/>
                <w:szCs w:val="20"/>
              </w:rPr>
              <w:t>6</w:t>
            </w:r>
            <w:r w:rsidR="00416C47">
              <w:rPr>
                <w:sz w:val="20"/>
                <w:szCs w:val="20"/>
              </w:rPr>
              <w:t>6</w:t>
            </w:r>
            <w:r>
              <w:rPr>
                <w:sz w:val="20"/>
                <w:szCs w:val="20"/>
              </w:rPr>
              <w:t>.</w:t>
            </w:r>
            <w:r w:rsidR="00416C47">
              <w:rPr>
                <w:sz w:val="20"/>
                <w:szCs w:val="20"/>
              </w:rPr>
              <w:t>5</w:t>
            </w:r>
            <w:r>
              <w:rPr>
                <w:sz w:val="20"/>
                <w:szCs w:val="20"/>
              </w:rPr>
              <w:t xml:space="preserve"> (</w:t>
            </w:r>
            <w:r>
              <w:rPr>
                <w:rFonts w:ascii="Calibri" w:hAnsi="Calibri" w:cs="Calibri"/>
                <w:sz w:val="20"/>
                <w:szCs w:val="20"/>
              </w:rPr>
              <w:t>↑</w:t>
            </w:r>
            <w:r>
              <w:rPr>
                <w:rFonts w:cstheme="minorHAnsi"/>
                <w:sz w:val="20"/>
                <w:szCs w:val="20"/>
              </w:rPr>
              <w:t>12</w:t>
            </w:r>
            <w:r>
              <w:rPr>
                <w:sz w:val="20"/>
                <w:szCs w:val="20"/>
              </w:rPr>
              <w:t>%)</w:t>
            </w:r>
          </w:p>
        </w:tc>
      </w:tr>
      <w:tr w:rsidR="00FB0A3F" w14:paraId="041F48D9" w14:textId="77777777">
        <w:tc>
          <w:tcPr>
            <w:tcW w:w="3880" w:type="dxa"/>
          </w:tcPr>
          <w:p w14:paraId="72B666ED" w14:textId="1187469C" w:rsidR="00FB0A3F" w:rsidRPr="00416C47" w:rsidRDefault="006E27D9">
            <w:pPr>
              <w:rPr>
                <w:sz w:val="20"/>
                <w:szCs w:val="20"/>
              </w:rPr>
            </w:pPr>
            <w:r w:rsidRPr="00416C47">
              <w:rPr>
                <w:sz w:val="20"/>
                <w:szCs w:val="20"/>
              </w:rPr>
              <w:t>Standardised mean daily catch (kg/day)</w:t>
            </w:r>
          </w:p>
        </w:tc>
        <w:tc>
          <w:tcPr>
            <w:tcW w:w="906" w:type="dxa"/>
          </w:tcPr>
          <w:p w14:paraId="5A9788EF" w14:textId="18F8498E" w:rsidR="00FB0A3F" w:rsidRPr="00416C47" w:rsidRDefault="00416C47">
            <w:pPr>
              <w:jc w:val="center"/>
              <w:rPr>
                <w:sz w:val="20"/>
                <w:szCs w:val="20"/>
              </w:rPr>
            </w:pPr>
            <w:r w:rsidRPr="00416C47">
              <w:rPr>
                <w:sz w:val="20"/>
                <w:szCs w:val="20"/>
              </w:rPr>
              <w:t>359</w:t>
            </w:r>
          </w:p>
        </w:tc>
        <w:tc>
          <w:tcPr>
            <w:tcW w:w="1701" w:type="dxa"/>
          </w:tcPr>
          <w:p w14:paraId="026D15F7" w14:textId="2D3589D3" w:rsidR="00FB0A3F" w:rsidRPr="00416C47" w:rsidRDefault="00416C47">
            <w:pPr>
              <w:jc w:val="center"/>
              <w:rPr>
                <w:sz w:val="20"/>
                <w:szCs w:val="20"/>
              </w:rPr>
            </w:pPr>
            <w:r w:rsidRPr="00416C47">
              <w:rPr>
                <w:sz w:val="20"/>
                <w:szCs w:val="20"/>
              </w:rPr>
              <w:t>446 (</w:t>
            </w:r>
            <w:r w:rsidRPr="00416C47">
              <w:rPr>
                <w:rFonts w:cstheme="minorHAnsi"/>
                <w:sz w:val="20"/>
                <w:szCs w:val="20"/>
              </w:rPr>
              <w:t>↓19</w:t>
            </w:r>
            <w:r w:rsidRPr="00416C47">
              <w:rPr>
                <w:sz w:val="20"/>
                <w:szCs w:val="20"/>
              </w:rPr>
              <w:t>%)</w:t>
            </w:r>
          </w:p>
        </w:tc>
        <w:tc>
          <w:tcPr>
            <w:tcW w:w="1559" w:type="dxa"/>
          </w:tcPr>
          <w:p w14:paraId="2DF04FBE" w14:textId="653EF1F3" w:rsidR="00FB0A3F" w:rsidRPr="00416C47" w:rsidRDefault="00416C47">
            <w:pPr>
              <w:jc w:val="center"/>
              <w:rPr>
                <w:sz w:val="20"/>
                <w:szCs w:val="20"/>
              </w:rPr>
            </w:pPr>
            <w:r w:rsidRPr="00416C47">
              <w:rPr>
                <w:sz w:val="20"/>
                <w:szCs w:val="20"/>
              </w:rPr>
              <w:t>384 (</w:t>
            </w:r>
            <w:r w:rsidRPr="00416C47">
              <w:rPr>
                <w:rFonts w:cstheme="minorHAnsi"/>
                <w:sz w:val="20"/>
                <w:szCs w:val="20"/>
              </w:rPr>
              <w:t>↓</w:t>
            </w:r>
            <w:r w:rsidRPr="00416C47">
              <w:rPr>
                <w:rFonts w:ascii="Calibri" w:hAnsi="Calibri" w:cs="Calibri"/>
                <w:sz w:val="20"/>
                <w:szCs w:val="20"/>
              </w:rPr>
              <w:t>7</w:t>
            </w:r>
            <w:r w:rsidRPr="00416C47">
              <w:rPr>
                <w:sz w:val="20"/>
                <w:szCs w:val="20"/>
              </w:rPr>
              <w:t>%)</w:t>
            </w:r>
          </w:p>
        </w:tc>
        <w:tc>
          <w:tcPr>
            <w:tcW w:w="1512" w:type="dxa"/>
          </w:tcPr>
          <w:p w14:paraId="772FE98A" w14:textId="63483406" w:rsidR="00FB0A3F" w:rsidRDefault="00416C47">
            <w:pPr>
              <w:jc w:val="center"/>
              <w:rPr>
                <w:sz w:val="20"/>
                <w:szCs w:val="20"/>
              </w:rPr>
            </w:pPr>
            <w:r w:rsidRPr="00416C47">
              <w:rPr>
                <w:sz w:val="20"/>
                <w:szCs w:val="20"/>
              </w:rPr>
              <w:t>336 (</w:t>
            </w:r>
            <w:r w:rsidRPr="00416C47">
              <w:rPr>
                <w:rFonts w:ascii="Calibri" w:hAnsi="Calibri" w:cs="Calibri"/>
                <w:sz w:val="20"/>
                <w:szCs w:val="20"/>
              </w:rPr>
              <w:t>↑7</w:t>
            </w:r>
            <w:r w:rsidRPr="00416C47">
              <w:rPr>
                <w:sz w:val="20"/>
                <w:szCs w:val="20"/>
              </w:rPr>
              <w:t>%)</w:t>
            </w:r>
          </w:p>
        </w:tc>
      </w:tr>
      <w:tr w:rsidR="00FB0A3F" w14:paraId="535338ED" w14:textId="77777777">
        <w:tc>
          <w:tcPr>
            <w:tcW w:w="3880" w:type="dxa"/>
          </w:tcPr>
          <w:p w14:paraId="3F3A6E18" w14:textId="77777777" w:rsidR="00FB0A3F" w:rsidRDefault="00000000">
            <w:pPr>
              <w:rPr>
                <w:sz w:val="20"/>
                <w:szCs w:val="20"/>
              </w:rPr>
            </w:pPr>
            <w:r>
              <w:rPr>
                <w:sz w:val="20"/>
                <w:szCs w:val="20"/>
              </w:rPr>
              <w:t>Recruit abundance (Top 15 n/transect)</w:t>
            </w:r>
          </w:p>
        </w:tc>
        <w:tc>
          <w:tcPr>
            <w:tcW w:w="906" w:type="dxa"/>
          </w:tcPr>
          <w:p w14:paraId="3F9E7093" w14:textId="0B4A7EAE" w:rsidR="00FB0A3F" w:rsidRDefault="00000000">
            <w:pPr>
              <w:jc w:val="center"/>
              <w:rPr>
                <w:sz w:val="20"/>
                <w:szCs w:val="20"/>
              </w:rPr>
            </w:pPr>
            <w:r>
              <w:rPr>
                <w:sz w:val="20"/>
                <w:szCs w:val="20"/>
              </w:rPr>
              <w:t>11.9</w:t>
            </w:r>
            <w:r w:rsidR="006E27D9">
              <w:rPr>
                <w:sz w:val="20"/>
                <w:szCs w:val="20"/>
              </w:rPr>
              <w:t>*</w:t>
            </w:r>
          </w:p>
        </w:tc>
        <w:tc>
          <w:tcPr>
            <w:tcW w:w="1701" w:type="dxa"/>
          </w:tcPr>
          <w:p w14:paraId="3C5199C9" w14:textId="77777777" w:rsidR="00FB0A3F" w:rsidRPr="006E27D9" w:rsidRDefault="00000000">
            <w:pPr>
              <w:jc w:val="center"/>
              <w:rPr>
                <w:sz w:val="20"/>
                <w:szCs w:val="20"/>
              </w:rPr>
            </w:pPr>
            <w:r w:rsidRPr="006E27D9">
              <w:rPr>
                <w:sz w:val="20"/>
                <w:szCs w:val="20"/>
              </w:rPr>
              <w:t>16.1 (</w:t>
            </w:r>
            <w:r w:rsidRPr="006E27D9">
              <w:rPr>
                <w:rFonts w:cstheme="minorHAnsi"/>
                <w:sz w:val="20"/>
                <w:szCs w:val="20"/>
              </w:rPr>
              <w:t>↓</w:t>
            </w:r>
            <w:r w:rsidRPr="006E27D9">
              <w:rPr>
                <w:sz w:val="20"/>
                <w:szCs w:val="20"/>
              </w:rPr>
              <w:t>26%)</w:t>
            </w:r>
          </w:p>
        </w:tc>
        <w:tc>
          <w:tcPr>
            <w:tcW w:w="1559" w:type="dxa"/>
          </w:tcPr>
          <w:p w14:paraId="21857A74" w14:textId="77777777" w:rsidR="00FB0A3F" w:rsidRDefault="00000000">
            <w:pPr>
              <w:jc w:val="center"/>
              <w:rPr>
                <w:sz w:val="20"/>
                <w:szCs w:val="20"/>
              </w:rPr>
            </w:pPr>
            <w:r>
              <w:rPr>
                <w:sz w:val="20"/>
                <w:szCs w:val="20"/>
              </w:rPr>
              <w:t>10.5 (</w:t>
            </w:r>
            <w:r>
              <w:rPr>
                <w:rFonts w:ascii="Calibri" w:hAnsi="Calibri" w:cs="Calibri"/>
                <w:sz w:val="20"/>
                <w:szCs w:val="20"/>
              </w:rPr>
              <w:t>↑</w:t>
            </w:r>
            <w:r>
              <w:rPr>
                <w:rFonts w:cstheme="minorHAnsi"/>
                <w:sz w:val="20"/>
                <w:szCs w:val="20"/>
              </w:rPr>
              <w:t>13</w:t>
            </w:r>
            <w:r>
              <w:rPr>
                <w:sz w:val="20"/>
                <w:szCs w:val="20"/>
              </w:rPr>
              <w:t>%)</w:t>
            </w:r>
          </w:p>
        </w:tc>
        <w:tc>
          <w:tcPr>
            <w:tcW w:w="1512" w:type="dxa"/>
          </w:tcPr>
          <w:p w14:paraId="18B78418" w14:textId="77777777" w:rsidR="00FB0A3F" w:rsidRDefault="00000000">
            <w:pPr>
              <w:jc w:val="center"/>
              <w:rPr>
                <w:sz w:val="20"/>
                <w:szCs w:val="20"/>
              </w:rPr>
            </w:pPr>
            <w:r>
              <w:rPr>
                <w:sz w:val="20"/>
                <w:szCs w:val="20"/>
              </w:rPr>
              <w:t>10.2 (</w:t>
            </w:r>
            <w:r>
              <w:rPr>
                <w:rFonts w:ascii="Calibri" w:hAnsi="Calibri" w:cs="Calibri"/>
                <w:sz w:val="20"/>
                <w:szCs w:val="20"/>
              </w:rPr>
              <w:t>↑</w:t>
            </w:r>
            <w:r>
              <w:rPr>
                <w:rFonts w:cstheme="minorHAnsi"/>
                <w:sz w:val="20"/>
                <w:szCs w:val="20"/>
              </w:rPr>
              <w:t>16</w:t>
            </w:r>
            <w:r>
              <w:rPr>
                <w:sz w:val="20"/>
                <w:szCs w:val="20"/>
              </w:rPr>
              <w:t>%)</w:t>
            </w:r>
          </w:p>
        </w:tc>
      </w:tr>
      <w:tr w:rsidR="00FB0A3F" w14:paraId="023A3527" w14:textId="77777777">
        <w:tc>
          <w:tcPr>
            <w:tcW w:w="3880" w:type="dxa"/>
          </w:tcPr>
          <w:p w14:paraId="3ABBBC62" w14:textId="77777777" w:rsidR="00FB0A3F" w:rsidRDefault="00000000">
            <w:pPr>
              <w:rPr>
                <w:sz w:val="20"/>
                <w:szCs w:val="20"/>
              </w:rPr>
            </w:pPr>
            <w:r>
              <w:rPr>
                <w:sz w:val="20"/>
                <w:szCs w:val="20"/>
              </w:rPr>
              <w:t>Pre-recruit abundance (Top 15 n/transect)</w:t>
            </w:r>
          </w:p>
        </w:tc>
        <w:tc>
          <w:tcPr>
            <w:tcW w:w="906" w:type="dxa"/>
          </w:tcPr>
          <w:p w14:paraId="4F36BEBD" w14:textId="43EA9215" w:rsidR="00FB0A3F" w:rsidRDefault="00000000">
            <w:pPr>
              <w:jc w:val="center"/>
              <w:rPr>
                <w:sz w:val="20"/>
                <w:szCs w:val="20"/>
              </w:rPr>
            </w:pPr>
            <w:r>
              <w:rPr>
                <w:sz w:val="20"/>
                <w:szCs w:val="20"/>
              </w:rPr>
              <w:t>12.2</w:t>
            </w:r>
            <w:r w:rsidR="006E27D9">
              <w:rPr>
                <w:sz w:val="20"/>
                <w:szCs w:val="20"/>
              </w:rPr>
              <w:t>*</w:t>
            </w:r>
          </w:p>
        </w:tc>
        <w:tc>
          <w:tcPr>
            <w:tcW w:w="1701" w:type="dxa"/>
          </w:tcPr>
          <w:p w14:paraId="024028EA" w14:textId="77777777" w:rsidR="00FB0A3F" w:rsidRPr="006E27D9" w:rsidRDefault="00000000">
            <w:pPr>
              <w:jc w:val="center"/>
              <w:rPr>
                <w:sz w:val="20"/>
                <w:szCs w:val="20"/>
              </w:rPr>
            </w:pPr>
            <w:r w:rsidRPr="006E27D9">
              <w:rPr>
                <w:sz w:val="20"/>
                <w:szCs w:val="20"/>
              </w:rPr>
              <w:t>13.0 (</w:t>
            </w:r>
            <w:r w:rsidRPr="006E27D9">
              <w:rPr>
                <w:rFonts w:cstheme="minorHAnsi"/>
                <w:sz w:val="20"/>
                <w:szCs w:val="20"/>
              </w:rPr>
              <w:t>↓6</w:t>
            </w:r>
            <w:r w:rsidRPr="006E27D9">
              <w:rPr>
                <w:sz w:val="20"/>
                <w:szCs w:val="20"/>
              </w:rPr>
              <w:t>%)</w:t>
            </w:r>
          </w:p>
        </w:tc>
        <w:tc>
          <w:tcPr>
            <w:tcW w:w="1559" w:type="dxa"/>
          </w:tcPr>
          <w:p w14:paraId="726E3AB9" w14:textId="77777777" w:rsidR="00FB0A3F" w:rsidRDefault="00000000">
            <w:pPr>
              <w:jc w:val="center"/>
              <w:rPr>
                <w:sz w:val="20"/>
                <w:szCs w:val="20"/>
              </w:rPr>
            </w:pPr>
            <w:r>
              <w:rPr>
                <w:sz w:val="20"/>
                <w:szCs w:val="20"/>
              </w:rPr>
              <w:t>10.0 (</w:t>
            </w:r>
            <w:r>
              <w:rPr>
                <w:rFonts w:ascii="Calibri" w:hAnsi="Calibri" w:cs="Calibri"/>
                <w:sz w:val="20"/>
                <w:szCs w:val="20"/>
              </w:rPr>
              <w:t>↑22</w:t>
            </w:r>
            <w:r>
              <w:rPr>
                <w:sz w:val="20"/>
                <w:szCs w:val="20"/>
              </w:rPr>
              <w:t>%)</w:t>
            </w:r>
          </w:p>
        </w:tc>
        <w:tc>
          <w:tcPr>
            <w:tcW w:w="1512" w:type="dxa"/>
          </w:tcPr>
          <w:p w14:paraId="09CFC160" w14:textId="77777777" w:rsidR="00FB0A3F" w:rsidRDefault="00000000">
            <w:pPr>
              <w:jc w:val="center"/>
              <w:rPr>
                <w:sz w:val="20"/>
                <w:szCs w:val="20"/>
              </w:rPr>
            </w:pPr>
            <w:r>
              <w:rPr>
                <w:sz w:val="20"/>
                <w:szCs w:val="20"/>
              </w:rPr>
              <w:t>8.9 (</w:t>
            </w:r>
            <w:r>
              <w:rPr>
                <w:rFonts w:ascii="Calibri" w:hAnsi="Calibri" w:cs="Calibri"/>
                <w:sz w:val="20"/>
                <w:szCs w:val="20"/>
              </w:rPr>
              <w:t>↑37</w:t>
            </w:r>
            <w:r>
              <w:rPr>
                <w:sz w:val="20"/>
                <w:szCs w:val="20"/>
              </w:rPr>
              <w:t>%)</w:t>
            </w:r>
          </w:p>
        </w:tc>
      </w:tr>
      <w:tr w:rsidR="00FB0A3F" w14:paraId="7FB9C7E1" w14:textId="77777777">
        <w:tc>
          <w:tcPr>
            <w:tcW w:w="3880" w:type="dxa"/>
          </w:tcPr>
          <w:p w14:paraId="0E15D244" w14:textId="77777777" w:rsidR="00FB0A3F" w:rsidRDefault="00000000">
            <w:pPr>
              <w:rPr>
                <w:sz w:val="20"/>
                <w:szCs w:val="20"/>
              </w:rPr>
            </w:pPr>
            <w:r>
              <w:rPr>
                <w:sz w:val="20"/>
                <w:szCs w:val="20"/>
              </w:rPr>
              <w:t>Catch (t)</w:t>
            </w:r>
          </w:p>
        </w:tc>
        <w:tc>
          <w:tcPr>
            <w:tcW w:w="906" w:type="dxa"/>
          </w:tcPr>
          <w:p w14:paraId="76303DEA" w14:textId="74268FDD" w:rsidR="00FB0A3F" w:rsidRDefault="00000000">
            <w:pPr>
              <w:jc w:val="center"/>
              <w:rPr>
                <w:sz w:val="20"/>
                <w:szCs w:val="20"/>
              </w:rPr>
            </w:pPr>
            <w:r>
              <w:rPr>
                <w:sz w:val="20"/>
                <w:szCs w:val="20"/>
              </w:rPr>
              <w:t>2</w:t>
            </w:r>
            <w:r w:rsidR="0066557D">
              <w:rPr>
                <w:sz w:val="20"/>
                <w:szCs w:val="20"/>
              </w:rPr>
              <w:t>22.3</w:t>
            </w:r>
          </w:p>
        </w:tc>
        <w:tc>
          <w:tcPr>
            <w:tcW w:w="1701" w:type="dxa"/>
          </w:tcPr>
          <w:p w14:paraId="33C4283A" w14:textId="3AC29855" w:rsidR="00FB0A3F" w:rsidRPr="0066557D" w:rsidRDefault="00000000">
            <w:pPr>
              <w:jc w:val="center"/>
              <w:rPr>
                <w:sz w:val="20"/>
                <w:szCs w:val="20"/>
                <w:highlight w:val="yellow"/>
              </w:rPr>
            </w:pPr>
            <w:r w:rsidRPr="00C03CA5">
              <w:rPr>
                <w:sz w:val="20"/>
                <w:szCs w:val="20"/>
              </w:rPr>
              <w:t>654.4 (</w:t>
            </w:r>
            <w:r w:rsidRPr="00C03CA5">
              <w:rPr>
                <w:rFonts w:cstheme="minorHAnsi"/>
                <w:sz w:val="20"/>
                <w:szCs w:val="20"/>
              </w:rPr>
              <w:t>↓6</w:t>
            </w:r>
            <w:r w:rsidR="00C03CA5" w:rsidRPr="00C03CA5">
              <w:rPr>
                <w:rFonts w:cstheme="minorHAnsi"/>
                <w:sz w:val="20"/>
                <w:szCs w:val="20"/>
              </w:rPr>
              <w:t>6</w:t>
            </w:r>
            <w:r w:rsidRPr="00C03CA5">
              <w:rPr>
                <w:sz w:val="20"/>
                <w:szCs w:val="20"/>
              </w:rPr>
              <w:t>%)</w:t>
            </w:r>
          </w:p>
        </w:tc>
        <w:tc>
          <w:tcPr>
            <w:tcW w:w="1559" w:type="dxa"/>
          </w:tcPr>
          <w:p w14:paraId="07481A68" w14:textId="74601E86" w:rsidR="00FB0A3F" w:rsidRDefault="00000000">
            <w:pPr>
              <w:jc w:val="center"/>
              <w:rPr>
                <w:sz w:val="20"/>
                <w:szCs w:val="20"/>
              </w:rPr>
            </w:pPr>
            <w:r>
              <w:rPr>
                <w:sz w:val="20"/>
                <w:szCs w:val="20"/>
              </w:rPr>
              <w:t>426.2 (</w:t>
            </w:r>
            <w:r>
              <w:rPr>
                <w:rFonts w:cstheme="minorHAnsi"/>
                <w:sz w:val="20"/>
                <w:szCs w:val="20"/>
              </w:rPr>
              <w:t>↓4</w:t>
            </w:r>
            <w:r w:rsidR="00C03CA5">
              <w:rPr>
                <w:rFonts w:cstheme="minorHAnsi"/>
                <w:sz w:val="20"/>
                <w:szCs w:val="20"/>
              </w:rPr>
              <w:t>8</w:t>
            </w:r>
            <w:r>
              <w:rPr>
                <w:sz w:val="20"/>
                <w:szCs w:val="20"/>
              </w:rPr>
              <w:t>%)</w:t>
            </w:r>
          </w:p>
        </w:tc>
        <w:tc>
          <w:tcPr>
            <w:tcW w:w="1512" w:type="dxa"/>
          </w:tcPr>
          <w:p w14:paraId="7429B962" w14:textId="2684AA7D" w:rsidR="00FB0A3F" w:rsidRDefault="00000000">
            <w:pPr>
              <w:jc w:val="center"/>
              <w:rPr>
                <w:sz w:val="20"/>
                <w:szCs w:val="20"/>
              </w:rPr>
            </w:pPr>
            <w:r w:rsidRPr="00416C47">
              <w:rPr>
                <w:sz w:val="20"/>
                <w:szCs w:val="20"/>
              </w:rPr>
              <w:t>2</w:t>
            </w:r>
            <w:r w:rsidR="00416C47" w:rsidRPr="00416C47">
              <w:rPr>
                <w:sz w:val="20"/>
                <w:szCs w:val="20"/>
              </w:rPr>
              <w:t>26.6</w:t>
            </w:r>
            <w:r w:rsidRPr="00416C47">
              <w:rPr>
                <w:sz w:val="20"/>
                <w:szCs w:val="20"/>
              </w:rPr>
              <w:t xml:space="preserve"> (</w:t>
            </w:r>
            <w:r w:rsidR="00416C47" w:rsidRPr="00416C47">
              <w:rPr>
                <w:rFonts w:cstheme="minorHAnsi"/>
                <w:sz w:val="20"/>
                <w:szCs w:val="20"/>
              </w:rPr>
              <w:t>↓</w:t>
            </w:r>
            <w:r w:rsidR="00416C47">
              <w:rPr>
                <w:rFonts w:cstheme="minorHAnsi"/>
                <w:sz w:val="20"/>
                <w:szCs w:val="20"/>
              </w:rPr>
              <w:t>2</w:t>
            </w:r>
            <w:r w:rsidRPr="00416C47">
              <w:rPr>
                <w:sz w:val="20"/>
                <w:szCs w:val="20"/>
              </w:rPr>
              <w:t>%)</w:t>
            </w:r>
          </w:p>
        </w:tc>
      </w:tr>
      <w:tr w:rsidR="00FB0A3F" w14:paraId="4291FF1E" w14:textId="77777777">
        <w:tc>
          <w:tcPr>
            <w:tcW w:w="3880" w:type="dxa"/>
          </w:tcPr>
          <w:p w14:paraId="1535F681" w14:textId="6BE0F648" w:rsidR="00FB0A3F" w:rsidRDefault="00000000">
            <w:pPr>
              <w:rPr>
                <w:sz w:val="20"/>
                <w:szCs w:val="20"/>
              </w:rPr>
            </w:pPr>
            <w:r>
              <w:rPr>
                <w:sz w:val="20"/>
                <w:szCs w:val="20"/>
              </w:rPr>
              <w:t>202</w:t>
            </w:r>
            <w:r w:rsidR="0066557D">
              <w:rPr>
                <w:sz w:val="20"/>
                <w:szCs w:val="20"/>
              </w:rPr>
              <w:t>3</w:t>
            </w:r>
            <w:r>
              <w:rPr>
                <w:sz w:val="20"/>
                <w:szCs w:val="20"/>
              </w:rPr>
              <w:t>/2</w:t>
            </w:r>
            <w:r w:rsidR="0066557D">
              <w:rPr>
                <w:sz w:val="20"/>
                <w:szCs w:val="20"/>
              </w:rPr>
              <w:t>4</w:t>
            </w:r>
            <w:r>
              <w:rPr>
                <w:sz w:val="20"/>
                <w:szCs w:val="20"/>
              </w:rPr>
              <w:t xml:space="preserve"> TACC (t, %)</w:t>
            </w:r>
          </w:p>
        </w:tc>
        <w:tc>
          <w:tcPr>
            <w:tcW w:w="5678" w:type="dxa"/>
            <w:gridSpan w:val="4"/>
          </w:tcPr>
          <w:p w14:paraId="523E7EC4" w14:textId="56CC659E" w:rsidR="00FB0A3F" w:rsidRDefault="00000000">
            <w:pPr>
              <w:rPr>
                <w:sz w:val="20"/>
                <w:szCs w:val="20"/>
              </w:rPr>
            </w:pPr>
            <w:r>
              <w:rPr>
                <w:sz w:val="20"/>
                <w:szCs w:val="20"/>
              </w:rPr>
              <w:t>2</w:t>
            </w:r>
            <w:r w:rsidR="00344F1D">
              <w:rPr>
                <w:sz w:val="20"/>
                <w:szCs w:val="20"/>
              </w:rPr>
              <w:t>22.9</w:t>
            </w:r>
            <w:r>
              <w:rPr>
                <w:sz w:val="20"/>
                <w:szCs w:val="20"/>
              </w:rPr>
              <w:t xml:space="preserve"> t, </w:t>
            </w:r>
            <w:r w:rsidR="00344F1D">
              <w:rPr>
                <w:sz w:val="20"/>
                <w:szCs w:val="20"/>
              </w:rPr>
              <w:t>99.7</w:t>
            </w:r>
            <w:r>
              <w:rPr>
                <w:sz w:val="20"/>
                <w:szCs w:val="20"/>
              </w:rPr>
              <w:t>%</w:t>
            </w:r>
          </w:p>
        </w:tc>
      </w:tr>
    </w:tbl>
    <w:p w14:paraId="75F4FA89" w14:textId="77777777" w:rsidR="00FB0A3F" w:rsidRDefault="00000000">
      <w:pPr>
        <w:pStyle w:val="Heading2"/>
        <w:ind w:left="709" w:hanging="709"/>
      </w:pPr>
      <w:bookmarkStart w:id="108" w:name="_Toc150423179"/>
      <w:bookmarkStart w:id="109" w:name="_Toc192777218"/>
      <w:r>
        <w:lastRenderedPageBreak/>
        <w:t xml:space="preserve">Spatial management unit (SMU) </w:t>
      </w:r>
      <w:proofErr w:type="spellStart"/>
      <w:r>
        <w:t>blacklip</w:t>
      </w:r>
      <w:proofErr w:type="spellEnd"/>
      <w:r>
        <w:t xml:space="preserve"> assessment</w:t>
      </w:r>
      <w:bookmarkEnd w:id="108"/>
      <w:bookmarkEnd w:id="109"/>
      <w:r>
        <w:t xml:space="preserve"> </w:t>
      </w:r>
    </w:p>
    <w:p w14:paraId="523C5567" w14:textId="77777777" w:rsidR="00FB0A3F" w:rsidRPr="00495804" w:rsidRDefault="00000000">
      <w:pPr>
        <w:pStyle w:val="Heading3"/>
      </w:pPr>
      <w:bookmarkStart w:id="110" w:name="_Toc150423180"/>
      <w:bookmarkStart w:id="111" w:name="_Toc192777219"/>
      <w:r w:rsidRPr="00495804">
        <w:t>SMU Performance Measures</w:t>
      </w:r>
      <w:bookmarkEnd w:id="110"/>
      <w:bookmarkEnd w:id="111"/>
    </w:p>
    <w:p w14:paraId="6FA51F2A" w14:textId="65B5E1FC" w:rsidR="00FB0A3F" w:rsidRDefault="00000000">
      <w:bookmarkStart w:id="112" w:name="_Hlk192769557"/>
      <w:r>
        <w:t>In 202</w:t>
      </w:r>
      <w:r w:rsidR="00495804">
        <w:t>3</w:t>
      </w:r>
      <w:r>
        <w:t>/2</w:t>
      </w:r>
      <w:r w:rsidR="00495804">
        <w:t>4</w:t>
      </w:r>
      <w:r>
        <w:t xml:space="preserve">, catches were close to the OT at </w:t>
      </w:r>
      <w:r w:rsidR="00495804">
        <w:t>all SMUs</w:t>
      </w:r>
      <w:r>
        <w:t xml:space="preserve"> (Table 3). </w:t>
      </w:r>
      <w:bookmarkStart w:id="113" w:name="_Hlk118302220"/>
      <w:r w:rsidR="00495804">
        <w:t xml:space="preserve">While Prom East and Cliffy Group SMUs were more than 15% below their respective OTs, the combined “under catch” was only 2.4 t. The 2023/24 catch was the most stable distribution of catches relative to OTs since this measure has been assessed.  </w:t>
      </w:r>
    </w:p>
    <w:p w14:paraId="7F3E3D06" w14:textId="1A0E22C2" w:rsidR="00FB0A3F" w:rsidRDefault="00495804">
      <w:bookmarkStart w:id="114" w:name="_Hlk192769601"/>
      <w:bookmarkEnd w:id="112"/>
      <w:bookmarkEnd w:id="113"/>
      <w:r>
        <w:t xml:space="preserve">Long-term declines in CPUE (ranging from 8-27%) occurred all SMUs, however 2003/04 was a highly productive period of the fishery and the declines in abundance of offshore and mid depth reefs since this time have been well documented. The short-term comparisons from 2009/10 show stable or declining trends that are less severe than the long term. In the last four years, trends in CPUE have been more positive, showing stable or increasing trends at all SMUs (ranging from a 1% decline to a 28% increase). </w:t>
      </w:r>
      <w:bookmarkEnd w:id="114"/>
    </w:p>
    <w:p w14:paraId="11B800A0" w14:textId="77777777" w:rsidR="00FB0A3F" w:rsidRDefault="00000000">
      <w:pPr>
        <w:pStyle w:val="TableCaption"/>
      </w:pPr>
      <w:bookmarkStart w:id="115" w:name="_Toc149571228"/>
      <w:bookmarkStart w:id="116" w:name="_Toc192762271"/>
      <w:r>
        <w:t>Table 3: Performance measures used in the assessment of the Central Zone abalone fishery at the SMU scale (Zone totals repeated for reference). OTs include carry-over TACC.</w:t>
      </w:r>
      <w:bookmarkEnd w:id="115"/>
      <w:bookmarkEnd w:id="116"/>
    </w:p>
    <w:tbl>
      <w:tblPr>
        <w:tblW w:w="9523" w:type="dxa"/>
        <w:jc w:val="center"/>
        <w:tblLayout w:type="fixed"/>
        <w:tblLook w:val="04A0" w:firstRow="1" w:lastRow="0" w:firstColumn="1" w:lastColumn="0" w:noHBand="0" w:noVBand="1"/>
      </w:tblPr>
      <w:tblGrid>
        <w:gridCol w:w="1726"/>
        <w:gridCol w:w="993"/>
        <w:gridCol w:w="1074"/>
        <w:gridCol w:w="851"/>
        <w:gridCol w:w="1051"/>
        <w:gridCol w:w="1276"/>
        <w:gridCol w:w="1276"/>
        <w:gridCol w:w="1276"/>
      </w:tblGrid>
      <w:tr w:rsidR="00FB0A3F" w14:paraId="5FDC306B" w14:textId="77777777" w:rsidTr="00495804">
        <w:trPr>
          <w:tblHeader/>
          <w:jc w:val="center"/>
        </w:trPr>
        <w:tc>
          <w:tcPr>
            <w:tcW w:w="172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AFCADE6" w14:textId="77777777" w:rsidR="00FB0A3F"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sz w:val="18"/>
                <w:szCs w:val="18"/>
              </w:rPr>
            </w:pPr>
            <w:bookmarkStart w:id="117" w:name="_Hlk160045871"/>
            <w:r>
              <w:rPr>
                <w:rFonts w:ascii="Arial" w:eastAsia="Arial" w:hAnsi="Arial" w:cs="Arial"/>
                <w:color w:val="000000"/>
                <w:sz w:val="18"/>
                <w:szCs w:val="18"/>
              </w:rPr>
              <w:t>Spatial Management Unit (SMU)</w:t>
            </w:r>
          </w:p>
        </w:tc>
        <w:tc>
          <w:tcPr>
            <w:tcW w:w="3969"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AA83E1A" w14:textId="77777777" w:rsidR="00FB0A3F"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sz w:val="18"/>
                <w:szCs w:val="18"/>
              </w:rPr>
            </w:pPr>
            <w:r>
              <w:rPr>
                <w:rFonts w:ascii="Arial" w:eastAsia="Arial" w:hAnsi="Arial" w:cs="Arial"/>
                <w:color w:val="000000"/>
                <w:sz w:val="18"/>
                <w:szCs w:val="18"/>
              </w:rPr>
              <w:t>Catch</w:t>
            </w:r>
          </w:p>
        </w:tc>
        <w:tc>
          <w:tcPr>
            <w:tcW w:w="3828" w:type="dxa"/>
            <w:gridSpan w:val="3"/>
            <w:tcBorders>
              <w:top w:val="single" w:sz="8" w:space="0" w:color="000000"/>
              <w:left w:val="single" w:sz="8" w:space="0" w:color="000000"/>
              <w:bottom w:val="single" w:sz="8" w:space="0" w:color="000000"/>
              <w:right w:val="single" w:sz="8" w:space="0" w:color="000000"/>
            </w:tcBorders>
            <w:shd w:val="clear" w:color="auto" w:fill="auto"/>
          </w:tcPr>
          <w:p w14:paraId="1363345B" w14:textId="77777777" w:rsidR="00FB0A3F"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CPUE</w:t>
            </w:r>
          </w:p>
        </w:tc>
      </w:tr>
      <w:tr w:rsidR="00FB0A3F" w14:paraId="0ED967C6" w14:textId="77777777" w:rsidTr="00495804">
        <w:trPr>
          <w:tblHeader/>
          <w:jc w:val="center"/>
        </w:trPr>
        <w:tc>
          <w:tcPr>
            <w:tcW w:w="172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D3A5CE7" w14:textId="77777777" w:rsidR="00FB0A3F" w:rsidRDefault="00FB0A3F">
            <w:pPr>
              <w:pBdr>
                <w:top w:val="none" w:sz="0" w:space="0" w:color="000000"/>
                <w:left w:val="none" w:sz="0" w:space="0" w:color="000000"/>
                <w:bottom w:val="none" w:sz="0" w:space="0" w:color="000000"/>
                <w:right w:val="none" w:sz="0" w:space="0" w:color="000000"/>
              </w:pBdr>
              <w:spacing w:before="100" w:after="100"/>
              <w:ind w:left="100" w:right="100"/>
              <w:jc w:val="center"/>
              <w:rPr>
                <w:sz w:val="18"/>
                <w:szCs w:val="18"/>
              </w:rPr>
            </w:pPr>
          </w:p>
        </w:tc>
        <w:tc>
          <w:tcPr>
            <w:tcW w:w="20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30AD033" w14:textId="77777777" w:rsidR="00FB0A3F"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sz w:val="18"/>
                <w:szCs w:val="18"/>
              </w:rPr>
            </w:pPr>
            <w:r>
              <w:rPr>
                <w:rFonts w:ascii="Arial" w:eastAsia="Arial" w:hAnsi="Arial" w:cs="Arial"/>
                <w:color w:val="000000"/>
                <w:sz w:val="18"/>
                <w:szCs w:val="18"/>
              </w:rPr>
              <w:t>Total Catch 2022/23</w:t>
            </w:r>
          </w:p>
        </w:tc>
        <w:tc>
          <w:tcPr>
            <w:tcW w:w="85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0E21CE7" w14:textId="77777777" w:rsidR="00FB0A3F"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sz w:val="18"/>
                <w:szCs w:val="18"/>
              </w:rPr>
            </w:pPr>
            <w:r>
              <w:rPr>
                <w:rFonts w:ascii="Arial" w:eastAsia="Arial" w:hAnsi="Arial" w:cs="Arial"/>
                <w:color w:val="000000"/>
                <w:sz w:val="18"/>
                <w:szCs w:val="18"/>
              </w:rPr>
              <w:t>OT (t)</w:t>
            </w:r>
          </w:p>
        </w:tc>
        <w:tc>
          <w:tcPr>
            <w:tcW w:w="105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D7BA4BB" w14:textId="77777777" w:rsidR="00FB0A3F"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sz w:val="18"/>
                <w:szCs w:val="18"/>
              </w:rPr>
            </w:pPr>
            <w:r>
              <w:rPr>
                <w:rFonts w:ascii="Arial" w:eastAsia="Arial" w:hAnsi="Arial" w:cs="Arial"/>
                <w:color w:val="000000"/>
                <w:sz w:val="18"/>
                <w:szCs w:val="18"/>
              </w:rPr>
              <w:t>SMU Category</w:t>
            </w:r>
          </w:p>
        </w:tc>
        <w:tc>
          <w:tcPr>
            <w:tcW w:w="1276" w:type="dxa"/>
            <w:vMerge w:val="restart"/>
            <w:tcBorders>
              <w:top w:val="single" w:sz="8" w:space="0" w:color="000000"/>
              <w:left w:val="single" w:sz="8" w:space="0" w:color="000000"/>
              <w:right w:val="single" w:sz="8" w:space="0" w:color="000000"/>
            </w:tcBorders>
            <w:shd w:val="clear" w:color="auto" w:fill="auto"/>
          </w:tcPr>
          <w:p w14:paraId="3B6B7978" w14:textId="77777777" w:rsidR="00FB0A3F"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Long-term (2003/04)</w:t>
            </w:r>
          </w:p>
        </w:tc>
        <w:tc>
          <w:tcPr>
            <w:tcW w:w="1276" w:type="dxa"/>
            <w:vMerge w:val="restart"/>
            <w:tcBorders>
              <w:top w:val="single" w:sz="8" w:space="0" w:color="000000"/>
              <w:left w:val="single" w:sz="8" w:space="0" w:color="000000"/>
              <w:right w:val="single" w:sz="8" w:space="0" w:color="000000"/>
            </w:tcBorders>
            <w:shd w:val="clear" w:color="auto" w:fill="auto"/>
          </w:tcPr>
          <w:p w14:paraId="251FBADA" w14:textId="77777777" w:rsidR="00FB0A3F"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Short-term (2009/10)</w:t>
            </w:r>
          </w:p>
        </w:tc>
        <w:tc>
          <w:tcPr>
            <w:tcW w:w="1276" w:type="dxa"/>
            <w:vMerge w:val="restart"/>
            <w:tcBorders>
              <w:top w:val="single" w:sz="8" w:space="0" w:color="000000"/>
              <w:left w:val="single" w:sz="8" w:space="0" w:color="000000"/>
              <w:right w:val="single" w:sz="8" w:space="0" w:color="000000"/>
            </w:tcBorders>
            <w:shd w:val="clear" w:color="auto" w:fill="auto"/>
          </w:tcPr>
          <w:p w14:paraId="4D4FF0E5" w14:textId="77777777" w:rsidR="00FB0A3F"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4 years (2019/20)</w:t>
            </w:r>
          </w:p>
        </w:tc>
      </w:tr>
      <w:tr w:rsidR="00FB0A3F" w14:paraId="439A5067" w14:textId="77777777" w:rsidTr="00495804">
        <w:trPr>
          <w:tblHeader/>
          <w:jc w:val="center"/>
        </w:trPr>
        <w:tc>
          <w:tcPr>
            <w:tcW w:w="172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56EBD98" w14:textId="77777777" w:rsidR="00FB0A3F" w:rsidRDefault="00FB0A3F">
            <w:pPr>
              <w:pBdr>
                <w:top w:val="none" w:sz="0" w:space="0" w:color="000000"/>
                <w:left w:val="none" w:sz="0" w:space="0" w:color="000000"/>
                <w:bottom w:val="none" w:sz="0" w:space="0" w:color="000000"/>
                <w:right w:val="none" w:sz="0" w:space="0" w:color="000000"/>
              </w:pBdr>
              <w:spacing w:before="100" w:after="100"/>
              <w:ind w:left="100" w:right="100"/>
              <w:jc w:val="center"/>
              <w:rPr>
                <w:sz w:val="18"/>
                <w:szCs w:val="18"/>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46C3F91" w14:textId="77777777" w:rsidR="00FB0A3F"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sz w:val="18"/>
                <w:szCs w:val="18"/>
              </w:rPr>
            </w:pPr>
            <w:r>
              <w:rPr>
                <w:rFonts w:ascii="Arial" w:eastAsia="Arial" w:hAnsi="Arial" w:cs="Arial"/>
                <w:color w:val="000000"/>
                <w:sz w:val="18"/>
                <w:szCs w:val="18"/>
              </w:rPr>
              <w:t>(t)</w:t>
            </w:r>
          </w:p>
        </w:tc>
        <w:tc>
          <w:tcPr>
            <w:tcW w:w="10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7CF853B" w14:textId="77777777" w:rsidR="00FB0A3F"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sz w:val="18"/>
                <w:szCs w:val="18"/>
              </w:rPr>
            </w:pPr>
            <w:r>
              <w:rPr>
                <w:rFonts w:ascii="Arial" w:eastAsia="Arial" w:hAnsi="Arial" w:cs="Arial"/>
                <w:color w:val="000000"/>
                <w:sz w:val="18"/>
                <w:szCs w:val="18"/>
              </w:rPr>
              <w:t>(%) TACC</w:t>
            </w:r>
          </w:p>
        </w:tc>
        <w:tc>
          <w:tcPr>
            <w:tcW w:w="85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F36DCF5" w14:textId="77777777" w:rsidR="00FB0A3F" w:rsidRDefault="00FB0A3F">
            <w:pPr>
              <w:pBdr>
                <w:top w:val="none" w:sz="0" w:space="0" w:color="000000"/>
                <w:left w:val="none" w:sz="0" w:space="0" w:color="000000"/>
                <w:bottom w:val="none" w:sz="0" w:space="0" w:color="000000"/>
                <w:right w:val="none" w:sz="0" w:space="0" w:color="000000"/>
              </w:pBdr>
              <w:spacing w:before="100" w:after="100"/>
              <w:ind w:left="100" w:right="100"/>
              <w:jc w:val="center"/>
              <w:rPr>
                <w:sz w:val="18"/>
                <w:szCs w:val="18"/>
              </w:rPr>
            </w:pPr>
          </w:p>
        </w:tc>
        <w:tc>
          <w:tcPr>
            <w:tcW w:w="105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6C78982" w14:textId="77777777" w:rsidR="00FB0A3F" w:rsidRDefault="00FB0A3F">
            <w:pPr>
              <w:pBdr>
                <w:top w:val="none" w:sz="0" w:space="0" w:color="000000"/>
                <w:left w:val="none" w:sz="0" w:space="0" w:color="000000"/>
                <w:bottom w:val="none" w:sz="0" w:space="0" w:color="000000"/>
                <w:right w:val="none" w:sz="0" w:space="0" w:color="000000"/>
              </w:pBdr>
              <w:spacing w:before="100" w:after="100"/>
              <w:ind w:left="100" w:right="100"/>
              <w:jc w:val="center"/>
              <w:rPr>
                <w:sz w:val="18"/>
                <w:szCs w:val="18"/>
              </w:rPr>
            </w:pPr>
          </w:p>
        </w:tc>
        <w:tc>
          <w:tcPr>
            <w:tcW w:w="1276" w:type="dxa"/>
            <w:vMerge/>
            <w:tcBorders>
              <w:left w:val="single" w:sz="8" w:space="0" w:color="000000"/>
              <w:bottom w:val="single" w:sz="8" w:space="0" w:color="000000"/>
              <w:right w:val="single" w:sz="8" w:space="0" w:color="000000"/>
            </w:tcBorders>
            <w:shd w:val="clear" w:color="auto" w:fill="auto"/>
          </w:tcPr>
          <w:p w14:paraId="1FF30649" w14:textId="77777777" w:rsidR="00FB0A3F" w:rsidRDefault="00FB0A3F">
            <w:pPr>
              <w:pBdr>
                <w:top w:val="none" w:sz="0" w:space="0" w:color="000000"/>
                <w:left w:val="none" w:sz="0" w:space="0" w:color="000000"/>
                <w:bottom w:val="none" w:sz="0" w:space="0" w:color="000000"/>
                <w:right w:val="none" w:sz="0" w:space="0" w:color="000000"/>
              </w:pBdr>
              <w:spacing w:before="100" w:after="100"/>
              <w:ind w:left="100" w:right="100"/>
              <w:jc w:val="center"/>
              <w:rPr>
                <w:sz w:val="18"/>
                <w:szCs w:val="18"/>
              </w:rPr>
            </w:pPr>
          </w:p>
        </w:tc>
        <w:tc>
          <w:tcPr>
            <w:tcW w:w="1276" w:type="dxa"/>
            <w:vMerge/>
            <w:tcBorders>
              <w:left w:val="single" w:sz="8" w:space="0" w:color="000000"/>
              <w:bottom w:val="single" w:sz="8" w:space="0" w:color="000000"/>
              <w:right w:val="single" w:sz="8" w:space="0" w:color="000000"/>
            </w:tcBorders>
            <w:shd w:val="clear" w:color="auto" w:fill="auto"/>
          </w:tcPr>
          <w:p w14:paraId="4944F1FD" w14:textId="77777777" w:rsidR="00FB0A3F" w:rsidRDefault="00FB0A3F">
            <w:pPr>
              <w:pBdr>
                <w:top w:val="none" w:sz="0" w:space="0" w:color="000000"/>
                <w:left w:val="none" w:sz="0" w:space="0" w:color="000000"/>
                <w:bottom w:val="none" w:sz="0" w:space="0" w:color="000000"/>
                <w:right w:val="none" w:sz="0" w:space="0" w:color="000000"/>
              </w:pBdr>
              <w:spacing w:before="100" w:after="100"/>
              <w:ind w:left="100" w:right="100"/>
              <w:jc w:val="center"/>
              <w:rPr>
                <w:sz w:val="18"/>
                <w:szCs w:val="18"/>
              </w:rPr>
            </w:pPr>
          </w:p>
        </w:tc>
        <w:tc>
          <w:tcPr>
            <w:tcW w:w="1276" w:type="dxa"/>
            <w:vMerge/>
            <w:tcBorders>
              <w:left w:val="single" w:sz="8" w:space="0" w:color="000000"/>
              <w:bottom w:val="single" w:sz="8" w:space="0" w:color="000000"/>
              <w:right w:val="single" w:sz="8" w:space="0" w:color="000000"/>
            </w:tcBorders>
            <w:shd w:val="clear" w:color="auto" w:fill="auto"/>
          </w:tcPr>
          <w:p w14:paraId="75045E15" w14:textId="77777777" w:rsidR="00FB0A3F" w:rsidRDefault="00FB0A3F">
            <w:pPr>
              <w:pBdr>
                <w:top w:val="none" w:sz="0" w:space="0" w:color="000000"/>
                <w:left w:val="none" w:sz="0" w:space="0" w:color="000000"/>
                <w:bottom w:val="none" w:sz="0" w:space="0" w:color="000000"/>
                <w:right w:val="none" w:sz="0" w:space="0" w:color="000000"/>
              </w:pBdr>
              <w:spacing w:before="100" w:after="100"/>
              <w:ind w:left="100" w:right="100"/>
              <w:jc w:val="center"/>
              <w:rPr>
                <w:sz w:val="18"/>
                <w:szCs w:val="18"/>
              </w:rPr>
            </w:pPr>
          </w:p>
        </w:tc>
      </w:tr>
      <w:tr w:rsidR="00896612" w14:paraId="67C28CAD" w14:textId="77777777" w:rsidTr="00495804">
        <w:trPr>
          <w:jc w:val="center"/>
        </w:trPr>
        <w:tc>
          <w:tcPr>
            <w:tcW w:w="1726" w:type="dxa"/>
            <w:tcBorders>
              <w:top w:val="single" w:sz="8" w:space="0" w:color="000000"/>
              <w:left w:val="single" w:sz="8" w:space="0" w:color="000000"/>
              <w:bottom w:val="single" w:sz="8" w:space="0" w:color="000000"/>
              <w:right w:val="single" w:sz="8" w:space="0" w:color="000000"/>
            </w:tcBorders>
            <w:shd w:val="clear" w:color="auto" w:fill="92D050"/>
            <w:tcMar>
              <w:top w:w="0" w:type="dxa"/>
              <w:left w:w="0" w:type="dxa"/>
              <w:bottom w:w="0" w:type="dxa"/>
              <w:right w:w="0" w:type="dxa"/>
            </w:tcMar>
            <w:vAlign w:val="center"/>
          </w:tcPr>
          <w:p w14:paraId="120B542A" w14:textId="77777777"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sz w:val="18"/>
                <w:szCs w:val="18"/>
              </w:rPr>
            </w:pPr>
            <w:r>
              <w:rPr>
                <w:rFonts w:ascii="Arial" w:eastAsia="Arial" w:hAnsi="Arial" w:cs="Arial"/>
                <w:color w:val="000000"/>
                <w:sz w:val="16"/>
                <w:szCs w:val="16"/>
              </w:rPr>
              <w:t>Cape Otway</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7A89371" w14:textId="694244B2"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47</w:t>
            </w:r>
          </w:p>
        </w:tc>
        <w:tc>
          <w:tcPr>
            <w:tcW w:w="10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92D3B20" w14:textId="5FAA11EA"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sidRPr="00896612">
              <w:rPr>
                <w:rFonts w:ascii="Arial" w:eastAsia="Arial" w:hAnsi="Arial" w:cs="Arial"/>
                <w:color w:val="000000"/>
                <w:sz w:val="18"/>
                <w:szCs w:val="18"/>
              </w:rPr>
              <w:t>21.1%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7423C1A" w14:textId="2C68ADF6"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49</w:t>
            </w:r>
          </w:p>
        </w:tc>
        <w:tc>
          <w:tcPr>
            <w:tcW w:w="10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308867E" w14:textId="77777777"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sz w:val="18"/>
                <w:szCs w:val="18"/>
              </w:rPr>
            </w:pPr>
            <w:r>
              <w:rPr>
                <w:rFonts w:ascii="Arial" w:eastAsia="Arial" w:hAnsi="Arial" w:cs="Arial"/>
                <w:color w:val="000000"/>
                <w:sz w:val="18"/>
                <w:szCs w:val="18"/>
              </w:rPr>
              <w:t>L</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91C4979" w14:textId="6B07D029"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sidRPr="00495804">
              <w:rPr>
                <w:rFonts w:ascii="Arial" w:eastAsia="Arial" w:hAnsi="Arial" w:cs="Arial"/>
                <w:color w:val="000000"/>
                <w:sz w:val="18"/>
                <w:szCs w:val="18"/>
              </w:rPr>
              <w:t>-2</w:t>
            </w:r>
            <w:r w:rsidR="00495804">
              <w:rPr>
                <w:rFonts w:ascii="Arial" w:eastAsia="Arial" w:hAnsi="Arial" w:cs="Arial"/>
                <w:color w:val="000000"/>
                <w:sz w:val="18"/>
                <w:szCs w:val="18"/>
              </w:rPr>
              <w:t>4</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D3B552F" w14:textId="6D47C445"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-1</w:t>
            </w:r>
            <w:r w:rsidR="00495804">
              <w:rPr>
                <w:rFonts w:ascii="Arial" w:eastAsia="Arial" w:hAnsi="Arial" w:cs="Arial"/>
                <w:color w:val="000000"/>
                <w:sz w:val="18"/>
                <w:szCs w:val="18"/>
              </w:rPr>
              <w:t>5</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14:paraId="183FEF0D" w14:textId="1A8EE3DF" w:rsidR="00896612" w:rsidRDefault="00495804"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0</w:t>
            </w:r>
          </w:p>
        </w:tc>
      </w:tr>
      <w:tr w:rsidR="00896612" w14:paraId="385A2D6D" w14:textId="77777777" w:rsidTr="00495804">
        <w:trPr>
          <w:jc w:val="center"/>
        </w:trPr>
        <w:tc>
          <w:tcPr>
            <w:tcW w:w="1726" w:type="dxa"/>
            <w:tcBorders>
              <w:top w:val="single" w:sz="8" w:space="0" w:color="000000"/>
              <w:left w:val="single" w:sz="8" w:space="0" w:color="000000"/>
              <w:bottom w:val="single" w:sz="8" w:space="0" w:color="000000"/>
              <w:right w:val="single" w:sz="8" w:space="0" w:color="000000"/>
            </w:tcBorders>
            <w:shd w:val="clear" w:color="auto" w:fill="92D050"/>
            <w:tcMar>
              <w:top w:w="0" w:type="dxa"/>
              <w:left w:w="0" w:type="dxa"/>
              <w:bottom w:w="0" w:type="dxa"/>
              <w:right w:w="0" w:type="dxa"/>
            </w:tcMar>
            <w:vAlign w:val="center"/>
          </w:tcPr>
          <w:p w14:paraId="2D9BC993" w14:textId="77777777"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6"/>
                <w:szCs w:val="16"/>
              </w:rPr>
            </w:pPr>
            <w:r>
              <w:rPr>
                <w:rFonts w:ascii="Arial" w:eastAsia="Arial" w:hAnsi="Arial" w:cs="Arial"/>
                <w:color w:val="000000"/>
                <w:sz w:val="16"/>
                <w:szCs w:val="16"/>
              </w:rPr>
              <w:t>Back Beaches</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C90E87D" w14:textId="77777777"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42.5</w:t>
            </w:r>
          </w:p>
        </w:tc>
        <w:tc>
          <w:tcPr>
            <w:tcW w:w="10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E33E650" w14:textId="748D98AC"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sidRPr="00896612">
              <w:rPr>
                <w:rFonts w:ascii="Arial" w:eastAsia="Arial" w:hAnsi="Arial" w:cs="Arial"/>
                <w:color w:val="000000"/>
                <w:sz w:val="18"/>
                <w:szCs w:val="18"/>
              </w:rPr>
              <w:t>19.1%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178246" w14:textId="77777777"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40</w:t>
            </w:r>
          </w:p>
        </w:tc>
        <w:tc>
          <w:tcPr>
            <w:tcW w:w="10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8ED90F9" w14:textId="77777777"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L</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CDF5641" w14:textId="57A5AC02" w:rsidR="00896612" w:rsidRPr="00495804"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sidRPr="00495804">
              <w:rPr>
                <w:rFonts w:ascii="Arial" w:eastAsia="Arial" w:hAnsi="Arial" w:cs="Arial"/>
                <w:color w:val="000000"/>
                <w:sz w:val="18"/>
                <w:szCs w:val="18"/>
              </w:rPr>
              <w:t>-1</w:t>
            </w:r>
            <w:r w:rsidR="00495804">
              <w:rPr>
                <w:rFonts w:ascii="Arial" w:eastAsia="Arial" w:hAnsi="Arial" w:cs="Arial"/>
                <w:color w:val="000000"/>
                <w:sz w:val="18"/>
                <w:szCs w:val="18"/>
              </w:rPr>
              <w:t>5</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FCE57D" w14:textId="09C4AE2F"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14:paraId="56FCB936" w14:textId="110E5AC7"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1</w:t>
            </w:r>
            <w:r w:rsidR="00495804">
              <w:rPr>
                <w:rFonts w:ascii="Arial" w:eastAsia="Arial" w:hAnsi="Arial" w:cs="Arial"/>
                <w:color w:val="000000"/>
                <w:sz w:val="18"/>
                <w:szCs w:val="18"/>
              </w:rPr>
              <w:t>5</w:t>
            </w:r>
          </w:p>
        </w:tc>
      </w:tr>
      <w:tr w:rsidR="00896612" w14:paraId="41C25C54" w14:textId="77777777" w:rsidTr="00495804">
        <w:trPr>
          <w:jc w:val="center"/>
        </w:trPr>
        <w:tc>
          <w:tcPr>
            <w:tcW w:w="1726" w:type="dxa"/>
            <w:tcBorders>
              <w:top w:val="single" w:sz="8" w:space="0" w:color="000000"/>
              <w:left w:val="single" w:sz="8" w:space="0" w:color="000000"/>
              <w:bottom w:val="single" w:sz="8" w:space="0" w:color="000000"/>
              <w:right w:val="single" w:sz="8" w:space="0" w:color="000000"/>
            </w:tcBorders>
            <w:shd w:val="clear" w:color="auto" w:fill="92D050"/>
            <w:tcMar>
              <w:top w:w="0" w:type="dxa"/>
              <w:left w:w="0" w:type="dxa"/>
              <w:bottom w:w="0" w:type="dxa"/>
              <w:right w:w="0" w:type="dxa"/>
            </w:tcMar>
            <w:vAlign w:val="center"/>
          </w:tcPr>
          <w:p w14:paraId="768D7C25" w14:textId="77777777"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sz w:val="18"/>
                <w:szCs w:val="18"/>
              </w:rPr>
            </w:pPr>
            <w:r>
              <w:rPr>
                <w:rFonts w:ascii="Arial" w:eastAsia="Arial" w:hAnsi="Arial" w:cs="Arial"/>
                <w:color w:val="000000"/>
                <w:sz w:val="16"/>
                <w:szCs w:val="16"/>
              </w:rPr>
              <w:t>Phillip Island</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CE09792" w14:textId="06C6DD54"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32.7</w:t>
            </w:r>
          </w:p>
        </w:tc>
        <w:tc>
          <w:tcPr>
            <w:tcW w:w="10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F2386E5" w14:textId="2A5C61D9"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sidRPr="00896612">
              <w:rPr>
                <w:rFonts w:ascii="Arial" w:eastAsia="Arial" w:hAnsi="Arial" w:cs="Arial"/>
                <w:color w:val="000000"/>
                <w:sz w:val="18"/>
                <w:szCs w:val="18"/>
              </w:rPr>
              <w:t>14.7%</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0FAC446" w14:textId="0B099359"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32.3</w:t>
            </w:r>
          </w:p>
        </w:tc>
        <w:tc>
          <w:tcPr>
            <w:tcW w:w="10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F489D67" w14:textId="77777777"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sz w:val="18"/>
                <w:szCs w:val="18"/>
              </w:rPr>
            </w:pPr>
            <w:r>
              <w:rPr>
                <w:rFonts w:ascii="Arial" w:eastAsia="Arial" w:hAnsi="Arial" w:cs="Arial"/>
                <w:color w:val="000000"/>
                <w:sz w:val="18"/>
                <w:szCs w:val="18"/>
              </w:rPr>
              <w:t>M</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FCB4871" w14:textId="77D76813"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sidRPr="00495804">
              <w:rPr>
                <w:rFonts w:ascii="Arial" w:eastAsia="Arial" w:hAnsi="Arial" w:cs="Arial"/>
                <w:color w:val="000000"/>
                <w:sz w:val="18"/>
                <w:szCs w:val="18"/>
              </w:rPr>
              <w:t>-</w:t>
            </w:r>
            <w:r w:rsidR="00495804">
              <w:rPr>
                <w:rFonts w:ascii="Arial" w:eastAsia="Arial" w:hAnsi="Arial" w:cs="Arial"/>
                <w:color w:val="000000"/>
                <w:sz w:val="18"/>
                <w:szCs w:val="18"/>
              </w:rPr>
              <w:t>8</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4A6F098" w14:textId="52A11035" w:rsidR="00896612" w:rsidRDefault="00495804"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2</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14:paraId="6368AD04" w14:textId="448C5C3F"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sidRPr="00495804">
              <w:rPr>
                <w:rFonts w:ascii="Arial" w:eastAsia="Arial" w:hAnsi="Arial" w:cs="Arial"/>
                <w:color w:val="000000"/>
                <w:sz w:val="18"/>
                <w:szCs w:val="18"/>
              </w:rPr>
              <w:t>2</w:t>
            </w:r>
            <w:r w:rsidR="00495804">
              <w:rPr>
                <w:rFonts w:ascii="Arial" w:eastAsia="Arial" w:hAnsi="Arial" w:cs="Arial"/>
                <w:color w:val="000000"/>
                <w:sz w:val="18"/>
                <w:szCs w:val="18"/>
              </w:rPr>
              <w:t>8</w:t>
            </w:r>
          </w:p>
        </w:tc>
      </w:tr>
      <w:tr w:rsidR="00896612" w14:paraId="644C90D9" w14:textId="77777777" w:rsidTr="00495804">
        <w:trPr>
          <w:jc w:val="center"/>
        </w:trPr>
        <w:tc>
          <w:tcPr>
            <w:tcW w:w="1726" w:type="dxa"/>
            <w:tcBorders>
              <w:top w:val="single" w:sz="8" w:space="0" w:color="000000"/>
              <w:left w:val="single" w:sz="8" w:space="0" w:color="000000"/>
              <w:bottom w:val="single" w:sz="8" w:space="0" w:color="000000"/>
              <w:right w:val="single" w:sz="8" w:space="0" w:color="000000"/>
            </w:tcBorders>
            <w:shd w:val="clear" w:color="auto" w:fill="92D050"/>
            <w:tcMar>
              <w:top w:w="0" w:type="dxa"/>
              <w:left w:w="0" w:type="dxa"/>
              <w:bottom w:w="0" w:type="dxa"/>
              <w:right w:w="0" w:type="dxa"/>
            </w:tcMar>
            <w:vAlign w:val="center"/>
          </w:tcPr>
          <w:p w14:paraId="585CCF3E" w14:textId="77777777"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sz w:val="18"/>
                <w:szCs w:val="18"/>
              </w:rPr>
            </w:pPr>
            <w:r>
              <w:rPr>
                <w:rFonts w:ascii="Arial" w:eastAsia="Arial" w:hAnsi="Arial" w:cs="Arial"/>
                <w:color w:val="000000"/>
                <w:sz w:val="16"/>
                <w:szCs w:val="16"/>
              </w:rPr>
              <w:t>Shipwreck Coast</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B87575C" w14:textId="6E63B652"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25.1</w:t>
            </w:r>
          </w:p>
        </w:tc>
        <w:tc>
          <w:tcPr>
            <w:tcW w:w="10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22F5C76" w14:textId="0714DCB3"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sidRPr="00896612">
              <w:rPr>
                <w:rFonts w:ascii="Arial" w:eastAsia="Arial" w:hAnsi="Arial" w:cs="Arial"/>
                <w:color w:val="000000"/>
                <w:sz w:val="18"/>
                <w:szCs w:val="18"/>
              </w:rPr>
              <w:t>11.3%</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DFACE0B" w14:textId="74F0CB9C"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29.2</w:t>
            </w:r>
          </w:p>
        </w:tc>
        <w:tc>
          <w:tcPr>
            <w:tcW w:w="10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9BF5828" w14:textId="77777777"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sz w:val="18"/>
                <w:szCs w:val="18"/>
              </w:rPr>
            </w:pPr>
            <w:r>
              <w:rPr>
                <w:rFonts w:ascii="Arial" w:eastAsia="Arial" w:hAnsi="Arial" w:cs="Arial"/>
                <w:color w:val="000000"/>
                <w:sz w:val="18"/>
                <w:szCs w:val="18"/>
              </w:rPr>
              <w:t>M</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CA5E068" w14:textId="0C9C8379"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sidRPr="00495804">
              <w:rPr>
                <w:rFonts w:ascii="Arial" w:eastAsia="Arial" w:hAnsi="Arial" w:cs="Arial"/>
                <w:color w:val="000000"/>
                <w:sz w:val="18"/>
                <w:szCs w:val="18"/>
              </w:rPr>
              <w:t>-1</w:t>
            </w:r>
            <w:r w:rsidR="00495804" w:rsidRPr="00495804">
              <w:rPr>
                <w:rFonts w:ascii="Arial" w:eastAsia="Arial" w:hAnsi="Arial" w:cs="Arial"/>
                <w:color w:val="000000"/>
                <w:sz w:val="18"/>
                <w:szCs w:val="18"/>
              </w:rPr>
              <w:t>7</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29EC283" w14:textId="5CF25D12" w:rsidR="00896612" w:rsidRDefault="00495804"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N/A</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14:paraId="3F98CF11" w14:textId="6B6C605E" w:rsidR="00896612" w:rsidRDefault="00495804"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1</w:t>
            </w:r>
            <w:r w:rsidR="00896612">
              <w:rPr>
                <w:rFonts w:ascii="Arial" w:eastAsia="Arial" w:hAnsi="Arial" w:cs="Arial"/>
                <w:color w:val="000000"/>
                <w:sz w:val="18"/>
                <w:szCs w:val="18"/>
              </w:rPr>
              <w:t>7</w:t>
            </w:r>
          </w:p>
        </w:tc>
      </w:tr>
      <w:tr w:rsidR="00896612" w14:paraId="505151DC" w14:textId="77777777" w:rsidTr="00495804">
        <w:trPr>
          <w:jc w:val="center"/>
        </w:trPr>
        <w:tc>
          <w:tcPr>
            <w:tcW w:w="1726" w:type="dxa"/>
            <w:tcBorders>
              <w:top w:val="single" w:sz="8" w:space="0" w:color="000000"/>
              <w:left w:val="single" w:sz="8" w:space="0" w:color="000000"/>
              <w:bottom w:val="single" w:sz="8" w:space="0" w:color="000000"/>
              <w:right w:val="single" w:sz="8" w:space="0" w:color="000000"/>
            </w:tcBorders>
            <w:shd w:val="clear" w:color="auto" w:fill="92D050"/>
            <w:tcMar>
              <w:top w:w="0" w:type="dxa"/>
              <w:left w:w="0" w:type="dxa"/>
              <w:bottom w:w="0" w:type="dxa"/>
              <w:right w:w="0" w:type="dxa"/>
            </w:tcMar>
            <w:vAlign w:val="center"/>
          </w:tcPr>
          <w:p w14:paraId="4F962E5E" w14:textId="77777777"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6"/>
                <w:szCs w:val="16"/>
              </w:rPr>
            </w:pPr>
            <w:r>
              <w:rPr>
                <w:rFonts w:ascii="Arial" w:eastAsia="Arial" w:hAnsi="Arial" w:cs="Arial"/>
                <w:color w:val="000000"/>
                <w:sz w:val="16"/>
                <w:szCs w:val="16"/>
              </w:rPr>
              <w:t>Prom West</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F7DBDAA" w14:textId="77777777"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23.1</w:t>
            </w:r>
          </w:p>
        </w:tc>
        <w:tc>
          <w:tcPr>
            <w:tcW w:w="10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5E203B8" w14:textId="72D2F203"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sidRPr="00896612">
              <w:rPr>
                <w:rFonts w:ascii="Arial" w:eastAsia="Arial" w:hAnsi="Arial" w:cs="Arial"/>
                <w:color w:val="000000"/>
                <w:sz w:val="18"/>
                <w:szCs w:val="18"/>
              </w:rPr>
              <w:t>10.4%</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AB55EF7" w14:textId="77777777"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21</w:t>
            </w:r>
          </w:p>
        </w:tc>
        <w:tc>
          <w:tcPr>
            <w:tcW w:w="10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B09219E" w14:textId="77777777"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M</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85B75DA" w14:textId="5DE1AF3A" w:rsidR="00896612" w:rsidRPr="00495804"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sidRPr="00495804">
              <w:rPr>
                <w:rFonts w:ascii="Arial" w:eastAsia="Arial" w:hAnsi="Arial" w:cs="Arial"/>
                <w:color w:val="000000"/>
                <w:sz w:val="18"/>
                <w:szCs w:val="18"/>
              </w:rPr>
              <w:t>-</w:t>
            </w:r>
            <w:r w:rsidR="00495804">
              <w:rPr>
                <w:rFonts w:ascii="Arial" w:eastAsia="Arial" w:hAnsi="Arial" w:cs="Arial"/>
                <w:color w:val="000000"/>
                <w:sz w:val="18"/>
                <w:szCs w:val="18"/>
              </w:rPr>
              <w:t>27</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7C502AA" w14:textId="3FF2B39E" w:rsidR="00896612" w:rsidRDefault="00495804"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-7</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14:paraId="4C03FEC3" w14:textId="5CE178A8" w:rsidR="00896612" w:rsidRDefault="00495804"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-1</w:t>
            </w:r>
          </w:p>
        </w:tc>
      </w:tr>
      <w:tr w:rsidR="00896612" w14:paraId="605B9ECA" w14:textId="77777777" w:rsidTr="00495804">
        <w:trPr>
          <w:jc w:val="center"/>
        </w:trPr>
        <w:tc>
          <w:tcPr>
            <w:tcW w:w="1726" w:type="dxa"/>
            <w:tcBorders>
              <w:top w:val="single" w:sz="8" w:space="0" w:color="000000"/>
              <w:left w:val="single" w:sz="8" w:space="0" w:color="000000"/>
              <w:bottom w:val="single" w:sz="8" w:space="0" w:color="000000"/>
              <w:right w:val="single" w:sz="8" w:space="0" w:color="000000"/>
            </w:tcBorders>
            <w:shd w:val="clear" w:color="auto" w:fill="92D050"/>
            <w:tcMar>
              <w:top w:w="0" w:type="dxa"/>
              <w:left w:w="0" w:type="dxa"/>
              <w:bottom w:w="0" w:type="dxa"/>
              <w:right w:w="0" w:type="dxa"/>
            </w:tcMar>
            <w:vAlign w:val="center"/>
          </w:tcPr>
          <w:p w14:paraId="685DAE38" w14:textId="77777777"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sz w:val="18"/>
                <w:szCs w:val="18"/>
              </w:rPr>
            </w:pPr>
            <w:r>
              <w:rPr>
                <w:rFonts w:ascii="Arial" w:eastAsia="Arial" w:hAnsi="Arial" w:cs="Arial"/>
                <w:color w:val="000000"/>
                <w:sz w:val="16"/>
                <w:szCs w:val="16"/>
              </w:rPr>
              <w:t>Flinders</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CF18EEE" w14:textId="60354CAC"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22.2</w:t>
            </w:r>
          </w:p>
        </w:tc>
        <w:tc>
          <w:tcPr>
            <w:tcW w:w="10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A053295" w14:textId="5E40300C"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sidRPr="00896612">
              <w:rPr>
                <w:rFonts w:ascii="Arial" w:eastAsia="Arial" w:hAnsi="Arial" w:cs="Arial"/>
                <w:color w:val="000000"/>
                <w:sz w:val="18"/>
                <w:szCs w:val="18"/>
              </w:rPr>
              <w:t>10.0%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47223D2" w14:textId="6B9E8975"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20.5</w:t>
            </w:r>
          </w:p>
        </w:tc>
        <w:tc>
          <w:tcPr>
            <w:tcW w:w="10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9D4F0C7" w14:textId="77777777"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sz w:val="18"/>
                <w:szCs w:val="18"/>
              </w:rPr>
            </w:pPr>
            <w:r>
              <w:rPr>
                <w:rFonts w:ascii="Arial" w:eastAsia="Arial" w:hAnsi="Arial" w:cs="Arial"/>
                <w:color w:val="000000"/>
                <w:sz w:val="18"/>
                <w:szCs w:val="18"/>
              </w:rPr>
              <w:t>M</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925D2B0" w14:textId="159B2B04"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sidRPr="00495804">
              <w:rPr>
                <w:rFonts w:ascii="Arial" w:eastAsia="Arial" w:hAnsi="Arial" w:cs="Arial"/>
                <w:color w:val="000000"/>
                <w:sz w:val="18"/>
                <w:szCs w:val="18"/>
              </w:rPr>
              <w:t>-</w:t>
            </w:r>
            <w:r w:rsidR="00495804">
              <w:rPr>
                <w:rFonts w:ascii="Arial" w:eastAsia="Arial" w:hAnsi="Arial" w:cs="Arial"/>
                <w:color w:val="000000"/>
                <w:sz w:val="18"/>
                <w:szCs w:val="18"/>
              </w:rPr>
              <w:t>14</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B10A651" w14:textId="4BE59DDE" w:rsidR="00896612" w:rsidRDefault="00495804"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3</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14:paraId="78C95F58" w14:textId="14C77E17" w:rsidR="00896612" w:rsidRPr="00495804" w:rsidRDefault="00495804"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2</w:t>
            </w:r>
            <w:r w:rsidR="00896612">
              <w:rPr>
                <w:rFonts w:ascii="Arial" w:eastAsia="Arial" w:hAnsi="Arial" w:cs="Arial"/>
                <w:color w:val="000000"/>
                <w:sz w:val="18"/>
                <w:szCs w:val="18"/>
              </w:rPr>
              <w:t>2</w:t>
            </w:r>
          </w:p>
        </w:tc>
      </w:tr>
      <w:tr w:rsidR="00896612" w14:paraId="16C0770F" w14:textId="77777777" w:rsidTr="00495804">
        <w:trPr>
          <w:jc w:val="center"/>
        </w:trPr>
        <w:tc>
          <w:tcPr>
            <w:tcW w:w="1726" w:type="dxa"/>
            <w:tcBorders>
              <w:top w:val="single" w:sz="8" w:space="0" w:color="000000"/>
              <w:left w:val="single" w:sz="8" w:space="0" w:color="000000"/>
              <w:bottom w:val="single" w:sz="8" w:space="0" w:color="000000"/>
              <w:right w:val="single" w:sz="8" w:space="0" w:color="000000"/>
            </w:tcBorders>
            <w:shd w:val="clear" w:color="auto" w:fill="92D050"/>
            <w:tcMar>
              <w:top w:w="0" w:type="dxa"/>
              <w:left w:w="0" w:type="dxa"/>
              <w:bottom w:w="0" w:type="dxa"/>
              <w:right w:w="0" w:type="dxa"/>
            </w:tcMar>
            <w:vAlign w:val="center"/>
          </w:tcPr>
          <w:p w14:paraId="4758672B" w14:textId="77777777"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sz w:val="18"/>
                <w:szCs w:val="18"/>
              </w:rPr>
            </w:pPr>
            <w:r>
              <w:rPr>
                <w:rFonts w:ascii="Arial" w:eastAsia="Arial" w:hAnsi="Arial" w:cs="Arial"/>
                <w:color w:val="000000"/>
                <w:sz w:val="16"/>
                <w:szCs w:val="16"/>
              </w:rPr>
              <w:t>Kilcunda</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57ABE08" w14:textId="5003CFB0"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11.6</w:t>
            </w:r>
          </w:p>
        </w:tc>
        <w:tc>
          <w:tcPr>
            <w:tcW w:w="10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0D8F179" w14:textId="50BDCA3E"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sidRPr="00896612">
              <w:rPr>
                <w:rFonts w:ascii="Arial" w:eastAsia="Arial" w:hAnsi="Arial" w:cs="Arial"/>
                <w:color w:val="000000"/>
                <w:sz w:val="18"/>
                <w:szCs w:val="18"/>
              </w:rPr>
              <w:t>5.2%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DB4B47B" w14:textId="1A90AED3"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10.3</w:t>
            </w:r>
          </w:p>
        </w:tc>
        <w:tc>
          <w:tcPr>
            <w:tcW w:w="10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87CA089" w14:textId="77777777"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sz w:val="18"/>
                <w:szCs w:val="18"/>
              </w:rPr>
            </w:pPr>
            <w:r>
              <w:rPr>
                <w:rFonts w:ascii="Arial" w:eastAsia="Arial" w:hAnsi="Arial" w:cs="Arial"/>
                <w:color w:val="000000"/>
                <w:sz w:val="18"/>
                <w:szCs w:val="18"/>
              </w:rPr>
              <w:t>S</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027770B" w14:textId="0FD2A314"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sidRPr="00495804">
              <w:rPr>
                <w:rFonts w:ascii="Arial" w:eastAsia="Arial" w:hAnsi="Arial" w:cs="Arial"/>
                <w:color w:val="000000"/>
                <w:sz w:val="18"/>
                <w:szCs w:val="18"/>
              </w:rPr>
              <w:t>-2</w:t>
            </w:r>
            <w:r w:rsidR="00495804">
              <w:rPr>
                <w:rFonts w:ascii="Arial" w:eastAsia="Arial" w:hAnsi="Arial" w:cs="Arial"/>
                <w:color w:val="000000"/>
                <w:sz w:val="18"/>
                <w:szCs w:val="18"/>
              </w:rPr>
              <w:t>6</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50EC195" w14:textId="3DAED7EC"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w:t>
            </w:r>
            <w:r w:rsidR="00495804">
              <w:rPr>
                <w:rFonts w:ascii="Arial" w:eastAsia="Arial" w:hAnsi="Arial" w:cs="Arial"/>
                <w:color w:val="000000"/>
                <w:sz w:val="18"/>
                <w:szCs w:val="18"/>
              </w:rPr>
              <w:t>12</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14:paraId="722529C6" w14:textId="77777777" w:rsidR="00896612" w:rsidRPr="00495804"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8</w:t>
            </w:r>
          </w:p>
        </w:tc>
      </w:tr>
      <w:tr w:rsidR="00896612" w14:paraId="1803D2F2" w14:textId="77777777" w:rsidTr="00495804">
        <w:trPr>
          <w:jc w:val="center"/>
        </w:trPr>
        <w:tc>
          <w:tcPr>
            <w:tcW w:w="1726" w:type="dxa"/>
            <w:tcBorders>
              <w:top w:val="single" w:sz="8" w:space="0" w:color="000000"/>
              <w:left w:val="single" w:sz="8" w:space="0" w:color="000000"/>
              <w:bottom w:val="single" w:sz="8" w:space="0" w:color="000000"/>
              <w:right w:val="single" w:sz="8" w:space="0" w:color="000000"/>
            </w:tcBorders>
            <w:shd w:val="clear" w:color="auto" w:fill="92D050"/>
            <w:tcMar>
              <w:top w:w="0" w:type="dxa"/>
              <w:left w:w="0" w:type="dxa"/>
              <w:bottom w:w="0" w:type="dxa"/>
              <w:right w:w="0" w:type="dxa"/>
            </w:tcMar>
            <w:vAlign w:val="center"/>
          </w:tcPr>
          <w:p w14:paraId="70A4441A" w14:textId="6CCF4CE3"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6"/>
                <w:szCs w:val="16"/>
              </w:rPr>
            </w:pPr>
            <w:r>
              <w:rPr>
                <w:rFonts w:ascii="Arial" w:eastAsia="Arial" w:hAnsi="Arial" w:cs="Arial"/>
                <w:color w:val="000000"/>
                <w:sz w:val="16"/>
                <w:szCs w:val="16"/>
              </w:rPr>
              <w:t>Cape Liptrap</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8D5887D" w14:textId="4E3472B7"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8.9</w:t>
            </w:r>
          </w:p>
        </w:tc>
        <w:tc>
          <w:tcPr>
            <w:tcW w:w="10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2E204BD" w14:textId="7302A235"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sidRPr="00896612">
              <w:rPr>
                <w:rFonts w:ascii="Arial" w:eastAsia="Arial" w:hAnsi="Arial" w:cs="Arial"/>
                <w:color w:val="000000"/>
                <w:sz w:val="18"/>
                <w:szCs w:val="18"/>
              </w:rPr>
              <w:t>4.0%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3DCC4FE" w14:textId="3A1142A4"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9.4</w:t>
            </w:r>
          </w:p>
        </w:tc>
        <w:tc>
          <w:tcPr>
            <w:tcW w:w="10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77E0131" w14:textId="77777777"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S</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8008220" w14:textId="5914FB80" w:rsidR="00896612" w:rsidRPr="00495804"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sidRPr="00495804">
              <w:rPr>
                <w:rFonts w:ascii="Arial" w:eastAsia="Arial" w:hAnsi="Arial" w:cs="Arial"/>
                <w:color w:val="000000"/>
                <w:sz w:val="18"/>
                <w:szCs w:val="18"/>
              </w:rPr>
              <w:t>-</w:t>
            </w:r>
            <w:r w:rsidR="00495804">
              <w:rPr>
                <w:rFonts w:ascii="Arial" w:eastAsia="Arial" w:hAnsi="Arial" w:cs="Arial"/>
                <w:color w:val="000000"/>
                <w:sz w:val="18"/>
                <w:szCs w:val="18"/>
              </w:rPr>
              <w:t>25</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68CF0D9" w14:textId="6324484C"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w:t>
            </w:r>
            <w:r w:rsidR="00495804">
              <w:rPr>
                <w:rFonts w:ascii="Arial" w:eastAsia="Arial" w:hAnsi="Arial" w:cs="Arial"/>
                <w:color w:val="000000"/>
                <w:sz w:val="18"/>
                <w:szCs w:val="18"/>
              </w:rPr>
              <w:t>17</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14:paraId="08008BE7" w14:textId="4A1B1FBE" w:rsidR="00896612" w:rsidRDefault="00495804"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15</w:t>
            </w:r>
          </w:p>
        </w:tc>
      </w:tr>
      <w:tr w:rsidR="00896612" w14:paraId="2BFF3628" w14:textId="77777777" w:rsidTr="00495804">
        <w:trPr>
          <w:jc w:val="center"/>
        </w:trPr>
        <w:tc>
          <w:tcPr>
            <w:tcW w:w="1726" w:type="dxa"/>
            <w:tcBorders>
              <w:top w:val="single" w:sz="8" w:space="0" w:color="000000"/>
              <w:left w:val="single" w:sz="8" w:space="0" w:color="000000"/>
              <w:bottom w:val="single" w:sz="8" w:space="0" w:color="000000"/>
              <w:right w:val="single" w:sz="8" w:space="0" w:color="000000"/>
            </w:tcBorders>
            <w:shd w:val="clear" w:color="auto" w:fill="FFFF00"/>
            <w:tcMar>
              <w:top w:w="0" w:type="dxa"/>
              <w:left w:w="0" w:type="dxa"/>
              <w:bottom w:w="0" w:type="dxa"/>
              <w:right w:w="0" w:type="dxa"/>
            </w:tcMar>
            <w:vAlign w:val="center"/>
          </w:tcPr>
          <w:p w14:paraId="65C03FF7" w14:textId="77777777"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sz w:val="18"/>
                <w:szCs w:val="18"/>
              </w:rPr>
            </w:pPr>
            <w:r>
              <w:rPr>
                <w:rFonts w:ascii="Arial" w:eastAsia="Arial" w:hAnsi="Arial" w:cs="Arial"/>
                <w:color w:val="000000"/>
                <w:sz w:val="16"/>
                <w:szCs w:val="16"/>
              </w:rPr>
              <w:t>Prom East</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B62CD76" w14:textId="61464730"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3.8</w:t>
            </w:r>
          </w:p>
        </w:tc>
        <w:tc>
          <w:tcPr>
            <w:tcW w:w="10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870DC78" w14:textId="27AA1604"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sidRPr="00896612">
              <w:rPr>
                <w:rFonts w:ascii="Arial" w:eastAsia="Arial" w:hAnsi="Arial" w:cs="Arial"/>
                <w:color w:val="000000"/>
                <w:sz w:val="18"/>
                <w:szCs w:val="18"/>
              </w:rPr>
              <w:t>1.7%</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C6AEB3" w14:textId="7B5274EC"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4.8</w:t>
            </w:r>
          </w:p>
        </w:tc>
        <w:tc>
          <w:tcPr>
            <w:tcW w:w="10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D28F154" w14:textId="77777777"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sz w:val="18"/>
                <w:szCs w:val="18"/>
              </w:rPr>
            </w:pPr>
            <w:r>
              <w:rPr>
                <w:rFonts w:ascii="Arial" w:eastAsia="Arial" w:hAnsi="Arial" w:cs="Arial"/>
                <w:color w:val="000000"/>
                <w:sz w:val="18"/>
                <w:szCs w:val="18"/>
              </w:rPr>
              <w:t>S</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6BEF75C" w14:textId="25B0ECC2"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sidRPr="00495804">
              <w:rPr>
                <w:rFonts w:ascii="Arial" w:eastAsia="Arial" w:hAnsi="Arial" w:cs="Arial"/>
                <w:color w:val="000000"/>
                <w:sz w:val="18"/>
                <w:szCs w:val="18"/>
              </w:rPr>
              <w:t>-</w:t>
            </w:r>
            <w:r w:rsidR="00495804">
              <w:rPr>
                <w:rFonts w:ascii="Arial" w:eastAsia="Arial" w:hAnsi="Arial" w:cs="Arial"/>
                <w:color w:val="000000"/>
                <w:sz w:val="18"/>
                <w:szCs w:val="18"/>
              </w:rPr>
              <w:t>2</w:t>
            </w:r>
            <w:r w:rsidRPr="00495804">
              <w:rPr>
                <w:rFonts w:ascii="Arial" w:eastAsia="Arial" w:hAnsi="Arial" w:cs="Arial"/>
                <w:color w:val="000000"/>
                <w:sz w:val="18"/>
                <w:szCs w:val="18"/>
              </w:rPr>
              <w:t>2</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7246813" w14:textId="58101669"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sidRPr="00495804">
              <w:rPr>
                <w:rFonts w:ascii="Arial" w:eastAsia="Arial" w:hAnsi="Arial" w:cs="Arial"/>
                <w:color w:val="000000"/>
                <w:sz w:val="18"/>
                <w:szCs w:val="18"/>
              </w:rPr>
              <w:t>-</w:t>
            </w:r>
            <w:r w:rsidR="00495804">
              <w:rPr>
                <w:rFonts w:ascii="Arial" w:eastAsia="Arial" w:hAnsi="Arial" w:cs="Arial"/>
                <w:color w:val="000000"/>
                <w:sz w:val="18"/>
                <w:szCs w:val="18"/>
              </w:rPr>
              <w:t>12</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14:paraId="2AB99112" w14:textId="27FFFE97" w:rsidR="00896612" w:rsidRPr="00495804" w:rsidRDefault="00495804"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7</w:t>
            </w:r>
          </w:p>
        </w:tc>
      </w:tr>
      <w:tr w:rsidR="00896612" w14:paraId="055E5BD1" w14:textId="77777777" w:rsidTr="00495804">
        <w:trPr>
          <w:jc w:val="center"/>
        </w:trPr>
        <w:tc>
          <w:tcPr>
            <w:tcW w:w="1726" w:type="dxa"/>
            <w:tcBorders>
              <w:top w:val="single" w:sz="8" w:space="0" w:color="000000"/>
              <w:left w:val="single" w:sz="8" w:space="0" w:color="000000"/>
              <w:bottom w:val="single" w:sz="8" w:space="0" w:color="000000"/>
              <w:right w:val="single" w:sz="8" w:space="0" w:color="000000"/>
            </w:tcBorders>
            <w:shd w:val="clear" w:color="auto" w:fill="FFFF00"/>
            <w:tcMar>
              <w:top w:w="0" w:type="dxa"/>
              <w:left w:w="0" w:type="dxa"/>
              <w:bottom w:w="0" w:type="dxa"/>
              <w:right w:w="0" w:type="dxa"/>
            </w:tcMar>
            <w:vAlign w:val="center"/>
          </w:tcPr>
          <w:p w14:paraId="78CD7578" w14:textId="77777777"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sz w:val="18"/>
                <w:szCs w:val="18"/>
              </w:rPr>
            </w:pPr>
            <w:r>
              <w:rPr>
                <w:rFonts w:ascii="Arial" w:eastAsia="Arial" w:hAnsi="Arial" w:cs="Arial"/>
                <w:color w:val="000000"/>
                <w:sz w:val="16"/>
                <w:szCs w:val="16"/>
              </w:rPr>
              <w:t>Cliffy Group</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D206DBB" w14:textId="729E4830"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3.3</w:t>
            </w:r>
          </w:p>
        </w:tc>
        <w:tc>
          <w:tcPr>
            <w:tcW w:w="10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01EA9ED" w14:textId="0E82BFAC"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sidRPr="00896612">
              <w:rPr>
                <w:rFonts w:ascii="Arial" w:eastAsia="Arial" w:hAnsi="Arial" w:cs="Arial"/>
                <w:color w:val="000000"/>
                <w:sz w:val="18"/>
                <w:szCs w:val="18"/>
              </w:rPr>
              <w:t>1.5%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369C0D7" w14:textId="240D4679"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4.7</w:t>
            </w:r>
          </w:p>
        </w:tc>
        <w:tc>
          <w:tcPr>
            <w:tcW w:w="10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B17C67B" w14:textId="77777777"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sz w:val="18"/>
                <w:szCs w:val="18"/>
              </w:rPr>
            </w:pPr>
            <w:r>
              <w:rPr>
                <w:rFonts w:ascii="Arial" w:eastAsia="Arial" w:hAnsi="Arial" w:cs="Arial"/>
                <w:color w:val="000000"/>
                <w:sz w:val="18"/>
                <w:szCs w:val="18"/>
              </w:rPr>
              <w:t>S</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A263660" w14:textId="7A02D9CE"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sidRPr="00495804">
              <w:rPr>
                <w:rFonts w:ascii="Arial" w:eastAsia="Arial" w:hAnsi="Arial" w:cs="Arial"/>
                <w:color w:val="000000"/>
                <w:sz w:val="18"/>
                <w:szCs w:val="18"/>
              </w:rPr>
              <w:t>-2</w:t>
            </w:r>
            <w:r w:rsidR="00495804">
              <w:rPr>
                <w:rFonts w:ascii="Arial" w:eastAsia="Arial" w:hAnsi="Arial" w:cs="Arial"/>
                <w:color w:val="000000"/>
                <w:sz w:val="18"/>
                <w:szCs w:val="18"/>
              </w:rPr>
              <w:t>2</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700C49C" w14:textId="2C64A8A8"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sidRPr="00495804">
              <w:rPr>
                <w:rFonts w:ascii="Arial" w:eastAsia="Arial" w:hAnsi="Arial" w:cs="Arial"/>
                <w:color w:val="000000"/>
                <w:sz w:val="18"/>
                <w:szCs w:val="18"/>
              </w:rPr>
              <w:t>-</w:t>
            </w:r>
            <w:r w:rsidR="00495804">
              <w:rPr>
                <w:rFonts w:ascii="Arial" w:eastAsia="Arial" w:hAnsi="Arial" w:cs="Arial"/>
                <w:color w:val="000000"/>
                <w:sz w:val="18"/>
                <w:szCs w:val="18"/>
              </w:rPr>
              <w:t>13</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14:paraId="2383764E" w14:textId="2CA6F625" w:rsidR="00896612" w:rsidRPr="00495804" w:rsidRDefault="00495804"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1</w:t>
            </w:r>
            <w:r w:rsidR="00896612" w:rsidRPr="00495804">
              <w:rPr>
                <w:rFonts w:ascii="Arial" w:eastAsia="Arial" w:hAnsi="Arial" w:cs="Arial"/>
                <w:color w:val="000000"/>
                <w:sz w:val="18"/>
                <w:szCs w:val="18"/>
              </w:rPr>
              <w:t>1</w:t>
            </w:r>
          </w:p>
        </w:tc>
      </w:tr>
      <w:tr w:rsidR="00896612" w14:paraId="5F162034" w14:textId="77777777" w:rsidTr="00495804">
        <w:trPr>
          <w:jc w:val="center"/>
        </w:trPr>
        <w:tc>
          <w:tcPr>
            <w:tcW w:w="1726" w:type="dxa"/>
            <w:tcBorders>
              <w:top w:val="single" w:sz="8" w:space="0" w:color="000000"/>
              <w:left w:val="single" w:sz="8" w:space="0" w:color="000000"/>
              <w:bottom w:val="single" w:sz="8" w:space="0" w:color="000000"/>
              <w:right w:val="single" w:sz="8" w:space="0" w:color="000000"/>
            </w:tcBorders>
            <w:shd w:val="clear" w:color="auto" w:fill="FFFF00"/>
            <w:tcMar>
              <w:top w:w="0" w:type="dxa"/>
              <w:left w:w="0" w:type="dxa"/>
              <w:bottom w:w="0" w:type="dxa"/>
              <w:right w:w="0" w:type="dxa"/>
            </w:tcMar>
            <w:vAlign w:val="center"/>
          </w:tcPr>
          <w:p w14:paraId="0FF50D5D" w14:textId="77777777"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sz w:val="18"/>
                <w:szCs w:val="18"/>
              </w:rPr>
            </w:pPr>
            <w:proofErr w:type="spellStart"/>
            <w:r>
              <w:rPr>
                <w:rFonts w:ascii="Arial" w:eastAsia="Arial" w:hAnsi="Arial" w:cs="Arial"/>
                <w:color w:val="000000"/>
                <w:sz w:val="16"/>
                <w:szCs w:val="16"/>
              </w:rPr>
              <w:t>Surfcoast</w:t>
            </w:r>
            <w:proofErr w:type="spellEnd"/>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70E513F" w14:textId="434CB266"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2.1</w:t>
            </w:r>
          </w:p>
        </w:tc>
        <w:tc>
          <w:tcPr>
            <w:tcW w:w="10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B4FBB07" w14:textId="1B64F430"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sidRPr="00896612">
              <w:rPr>
                <w:rFonts w:ascii="Arial" w:eastAsia="Arial" w:hAnsi="Arial" w:cs="Arial"/>
                <w:color w:val="000000"/>
                <w:sz w:val="18"/>
                <w:szCs w:val="18"/>
              </w:rPr>
              <w:t>0.9%</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CC6A68E" w14:textId="7C412305"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1.7</w:t>
            </w:r>
          </w:p>
        </w:tc>
        <w:tc>
          <w:tcPr>
            <w:tcW w:w="10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BF0531A" w14:textId="77777777" w:rsidR="00896612"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sz w:val="18"/>
                <w:szCs w:val="18"/>
              </w:rPr>
            </w:pPr>
            <w:r>
              <w:rPr>
                <w:rFonts w:ascii="Arial" w:eastAsia="Arial" w:hAnsi="Arial" w:cs="Arial"/>
                <w:color w:val="000000"/>
                <w:sz w:val="18"/>
                <w:szCs w:val="18"/>
              </w:rPr>
              <w:t>S</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DB0EB28" w14:textId="2E7C5B0B" w:rsidR="00896612" w:rsidRPr="00495804" w:rsidRDefault="00896612"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w:t>
            </w:r>
            <w:r w:rsidR="00495804">
              <w:rPr>
                <w:rFonts w:ascii="Arial" w:eastAsia="Arial" w:hAnsi="Arial" w:cs="Arial"/>
                <w:color w:val="000000"/>
                <w:sz w:val="18"/>
                <w:szCs w:val="18"/>
              </w:rPr>
              <w:t>18</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73A27C9" w14:textId="75864E12" w:rsidR="00896612" w:rsidRPr="00495804" w:rsidRDefault="00495804"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-3</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14:paraId="6D152415" w14:textId="65046AC0" w:rsidR="00896612" w:rsidRDefault="00495804" w:rsidP="00896612">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7</w:t>
            </w:r>
          </w:p>
        </w:tc>
      </w:tr>
      <w:tr w:rsidR="00FB0A3F" w14:paraId="4B3C1517" w14:textId="77777777" w:rsidTr="00495804">
        <w:trPr>
          <w:jc w:val="center"/>
        </w:trPr>
        <w:tc>
          <w:tcPr>
            <w:tcW w:w="172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6EDE5E5A" w14:textId="77777777" w:rsidR="00FB0A3F"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6"/>
                <w:szCs w:val="16"/>
              </w:rPr>
            </w:pPr>
            <w:r>
              <w:rPr>
                <w:rFonts w:ascii="Arial" w:eastAsia="Arial" w:hAnsi="Arial" w:cs="Arial"/>
                <w:color w:val="000000"/>
                <w:sz w:val="16"/>
                <w:szCs w:val="16"/>
              </w:rPr>
              <w:t>PPB</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3D69F60" w14:textId="010FBED8" w:rsidR="00FB0A3F"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0</w:t>
            </w:r>
          </w:p>
        </w:tc>
        <w:tc>
          <w:tcPr>
            <w:tcW w:w="10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BAD094E" w14:textId="77777777" w:rsidR="00FB0A3F"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0.0%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84AD098" w14:textId="77777777" w:rsidR="00FB0A3F" w:rsidRDefault="00FB0A3F">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p>
        </w:tc>
        <w:tc>
          <w:tcPr>
            <w:tcW w:w="10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931608F" w14:textId="77777777" w:rsidR="00FB0A3F"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S</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6524C35" w14:textId="77777777" w:rsidR="00FB0A3F" w:rsidRDefault="00FB0A3F">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E424334" w14:textId="77777777" w:rsidR="00FB0A3F" w:rsidRDefault="00FB0A3F">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14:paraId="0F18F357" w14:textId="77777777" w:rsidR="00FB0A3F" w:rsidRDefault="00FB0A3F">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p>
        </w:tc>
      </w:tr>
      <w:tr w:rsidR="00FB0A3F" w14:paraId="116D3520" w14:textId="77777777" w:rsidTr="00110E67">
        <w:trPr>
          <w:jc w:val="center"/>
        </w:trPr>
        <w:tc>
          <w:tcPr>
            <w:tcW w:w="1726" w:type="dxa"/>
            <w:tcBorders>
              <w:top w:val="single" w:sz="8" w:space="0" w:color="000000"/>
              <w:left w:val="single" w:sz="8" w:space="0" w:color="000000"/>
              <w:bottom w:val="single" w:sz="8" w:space="0" w:color="000000"/>
              <w:right w:val="single" w:sz="8" w:space="0" w:color="000000"/>
            </w:tcBorders>
            <w:shd w:val="clear" w:color="auto" w:fill="92D050"/>
            <w:tcMar>
              <w:top w:w="0" w:type="dxa"/>
              <w:left w:w="0" w:type="dxa"/>
              <w:bottom w:w="0" w:type="dxa"/>
              <w:right w:w="0" w:type="dxa"/>
            </w:tcMar>
            <w:vAlign w:val="center"/>
          </w:tcPr>
          <w:p w14:paraId="5B01EDF1" w14:textId="77777777" w:rsidR="00FB0A3F"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6"/>
                <w:szCs w:val="16"/>
              </w:rPr>
            </w:pPr>
            <w:r>
              <w:rPr>
                <w:rFonts w:ascii="Arial" w:eastAsia="Arial" w:hAnsi="Arial" w:cs="Arial"/>
                <w:color w:val="000000"/>
                <w:sz w:val="16"/>
                <w:szCs w:val="16"/>
              </w:rPr>
              <w:t>Central Zone</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412278A" w14:textId="01C1CF60" w:rsidR="00FB0A3F" w:rsidRDefault="00FF2F21">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22</w:t>
            </w:r>
            <w:r w:rsidR="00876CA9">
              <w:rPr>
                <w:rFonts w:ascii="Arial" w:eastAsia="Arial" w:hAnsi="Arial" w:cs="Arial"/>
                <w:color w:val="000000"/>
                <w:sz w:val="18"/>
                <w:szCs w:val="18"/>
              </w:rPr>
              <w:t>2.3</w:t>
            </w:r>
          </w:p>
        </w:tc>
        <w:tc>
          <w:tcPr>
            <w:tcW w:w="10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783D609" w14:textId="6B040AD2" w:rsidR="00FB0A3F" w:rsidRDefault="00876CA9">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99.7%</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7B70FAF" w14:textId="66E9C58A" w:rsidR="00FB0A3F"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2</w:t>
            </w:r>
            <w:r w:rsidR="00896612">
              <w:rPr>
                <w:rFonts w:ascii="Arial" w:eastAsia="Arial" w:hAnsi="Arial" w:cs="Arial"/>
                <w:color w:val="000000"/>
                <w:sz w:val="18"/>
                <w:szCs w:val="18"/>
              </w:rPr>
              <w:t>22.9</w:t>
            </w:r>
          </w:p>
        </w:tc>
        <w:tc>
          <w:tcPr>
            <w:tcW w:w="105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4E15C27" w14:textId="77777777" w:rsidR="00FB0A3F" w:rsidRDefault="00FB0A3F">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4992B1F" w14:textId="35D0FBE6" w:rsidR="00FB0A3F"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sidRPr="00495804">
              <w:rPr>
                <w:rFonts w:ascii="Arial" w:eastAsia="Arial" w:hAnsi="Arial" w:cs="Arial"/>
                <w:color w:val="000000"/>
                <w:sz w:val="18"/>
                <w:szCs w:val="18"/>
              </w:rPr>
              <w:t>-</w:t>
            </w:r>
            <w:r w:rsidR="00110E67">
              <w:rPr>
                <w:rFonts w:ascii="Arial" w:eastAsia="Arial" w:hAnsi="Arial" w:cs="Arial"/>
                <w:color w:val="000000"/>
                <w:sz w:val="18"/>
                <w:szCs w:val="18"/>
              </w:rPr>
              <w:t>22</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3180DC3" w14:textId="77777777" w:rsidR="00FB0A3F"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-8</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14:paraId="7CD4F94F" w14:textId="4F0A27A2" w:rsidR="00FB0A3F"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1</w:t>
            </w:r>
            <w:r w:rsidR="00110E67">
              <w:rPr>
                <w:rFonts w:ascii="Arial" w:eastAsia="Arial" w:hAnsi="Arial" w:cs="Arial"/>
                <w:color w:val="000000"/>
                <w:sz w:val="18"/>
                <w:szCs w:val="18"/>
              </w:rPr>
              <w:t>2</w:t>
            </w:r>
          </w:p>
        </w:tc>
      </w:tr>
    </w:tbl>
    <w:bookmarkEnd w:id="117"/>
    <w:p w14:paraId="666CD15A" w14:textId="3A769EC8" w:rsidR="00FB0A3F" w:rsidRDefault="00000000">
      <w:pPr>
        <w:rPr>
          <w:i/>
          <w:iCs/>
        </w:rPr>
      </w:pPr>
      <w:r>
        <w:rPr>
          <w:i/>
          <w:iCs/>
          <w:sz w:val="20"/>
          <w:szCs w:val="20"/>
        </w:rPr>
        <w:t>Notes: Coloured shading indicates whether catch has been caught within the OT, Threshold or exceeded the Limit. Green (within OT range) indicates catch was &lt;±15% of the OT, Yellow (within threshold range) indicates catch was ±15-30% OT, Red (exceeding limit range) indicates catch was &gt;±30% of the OT for the 20</w:t>
      </w:r>
      <w:r w:rsidR="0073432E">
        <w:rPr>
          <w:i/>
          <w:iCs/>
          <w:sz w:val="20"/>
          <w:szCs w:val="20"/>
        </w:rPr>
        <w:t>2</w:t>
      </w:r>
      <w:r w:rsidR="00FF2F21">
        <w:rPr>
          <w:i/>
          <w:iCs/>
          <w:sz w:val="20"/>
          <w:szCs w:val="20"/>
        </w:rPr>
        <w:t>3</w:t>
      </w:r>
      <w:r>
        <w:rPr>
          <w:i/>
          <w:iCs/>
          <w:sz w:val="20"/>
          <w:szCs w:val="20"/>
        </w:rPr>
        <w:t>/</w:t>
      </w:r>
      <w:r w:rsidR="0073432E">
        <w:rPr>
          <w:i/>
          <w:iCs/>
          <w:sz w:val="20"/>
          <w:szCs w:val="20"/>
        </w:rPr>
        <w:t>2</w:t>
      </w:r>
      <w:r w:rsidR="00FF2F21">
        <w:rPr>
          <w:i/>
          <w:iCs/>
          <w:sz w:val="20"/>
          <w:szCs w:val="20"/>
        </w:rPr>
        <w:t>4</w:t>
      </w:r>
      <w:r>
        <w:rPr>
          <w:i/>
          <w:iCs/>
          <w:sz w:val="20"/>
          <w:szCs w:val="20"/>
        </w:rPr>
        <w:t xml:space="preserve"> quota year.  SMU catch categories (% of zone catch):  Large ≥ 15%, Medium 10-15%, Small &lt; 10%.</w:t>
      </w:r>
    </w:p>
    <w:p w14:paraId="701EF62E" w14:textId="77777777" w:rsidR="00495804" w:rsidRDefault="00495804">
      <w:pPr>
        <w:spacing w:before="0" w:after="0"/>
        <w:rPr>
          <w:rFonts w:asciiTheme="majorHAnsi" w:eastAsiaTheme="majorEastAsia" w:hAnsiTheme="majorHAnsi" w:cstheme="majorBidi"/>
          <w:color w:val="1F4E79" w:themeColor="accent1" w:themeShade="80"/>
          <w:sz w:val="24"/>
          <w:szCs w:val="24"/>
          <w:lang w:val="en-US"/>
        </w:rPr>
      </w:pPr>
      <w:bookmarkStart w:id="118" w:name="_Toc150423181"/>
      <w:bookmarkEnd w:id="107"/>
      <w:r>
        <w:br w:type="page"/>
      </w:r>
    </w:p>
    <w:p w14:paraId="10C5C752" w14:textId="2B5828B8" w:rsidR="00FB0A3F" w:rsidRDefault="00000000">
      <w:pPr>
        <w:pStyle w:val="Heading3"/>
      </w:pPr>
      <w:bookmarkStart w:id="119" w:name="_Toc192777220"/>
      <w:r>
        <w:lastRenderedPageBreak/>
        <w:t>Distribution of the catch</w:t>
      </w:r>
      <w:bookmarkEnd w:id="118"/>
      <w:bookmarkEnd w:id="119"/>
    </w:p>
    <w:p w14:paraId="0E7C41AD" w14:textId="3DCAAFAF" w:rsidR="00FB0A3F" w:rsidRDefault="00000000">
      <w:r>
        <w:t xml:space="preserve">Since 2002, there have been some substantial changes in catch distribution among the 12 SMUs in the Central Zone (Figure 7). Most notably, catches from the Flinders SMU, which were historically the highest within the zone, are now lower than several other SMUs. The Cape Otway, Back Beaches, Phillip Island and Shipwreck Coast SMUs are now the highest contributors to the Central Zone catch. While catches from the Back Beaches and Phillip Island SMUs have been relatively consistent since 2002, catches from the Cape Otway SMU have declined substantially in the last decade. The decrease in catch in the Shipwreck Coast SMU was largely attributed to closures and reduced TACCs post the abalone virus, although recent increases in catch </w:t>
      </w:r>
      <w:r w:rsidR="007E303D">
        <w:t>suggest</w:t>
      </w:r>
      <w:r>
        <w:t xml:space="preserve"> post-virus stock recovery. Catches from most other SMUs are lower and relatively stable except for decreases in the Port Phillip Bay SMU that has been associated with environmental influences (Mayfield et al. 2012). </w:t>
      </w:r>
    </w:p>
    <w:p w14:paraId="4FF035C1" w14:textId="0E151709" w:rsidR="00FB0A3F" w:rsidRDefault="00DC2DDE">
      <w:r>
        <w:rPr>
          <w:noProof/>
        </w:rPr>
        <w:drawing>
          <wp:inline distT="0" distB="0" distL="0" distR="0" wp14:anchorId="5A216725" wp14:editId="23EC26B4">
            <wp:extent cx="5562600" cy="2598420"/>
            <wp:effectExtent l="0" t="0" r="0" b="0"/>
            <wp:docPr id="32" name="Picture" descr="Figure 2: Relative distribution of blacklip catch at each SMU in the Central Zone by quota year."/>
            <wp:cNvGraphicFramePr/>
            <a:graphic xmlns:a="http://schemas.openxmlformats.org/drawingml/2006/main">
              <a:graphicData uri="http://schemas.openxmlformats.org/drawingml/2006/picture">
                <pic:pic xmlns:pic="http://schemas.openxmlformats.org/drawingml/2006/picture">
                  <pic:nvPicPr>
                    <pic:cNvPr id="32" name="Picture" descr="Figure 2: Relative distribution of blacklip catch at each SMU in the Central Zone by quota year."/>
                    <pic:cNvPicPr/>
                  </pic:nvPicPr>
                  <pic:blipFill>
                    <a:blip r:embed="rId25"/>
                    <a:stretch>
                      <a:fillRect/>
                    </a:stretch>
                  </pic:blipFill>
                  <pic:spPr bwMode="auto">
                    <a:xfrm>
                      <a:off x="0" y="0"/>
                      <a:ext cx="5562600" cy="2598420"/>
                    </a:xfrm>
                    <a:prstGeom prst="rect">
                      <a:avLst/>
                    </a:prstGeom>
                    <a:noFill/>
                    <a:ln w="9525">
                      <a:noFill/>
                      <a:headEnd/>
                      <a:tailEnd/>
                    </a:ln>
                  </pic:spPr>
                </pic:pic>
              </a:graphicData>
            </a:graphic>
          </wp:inline>
        </w:drawing>
      </w:r>
    </w:p>
    <w:p w14:paraId="4D4B17E3" w14:textId="77777777" w:rsidR="00FB0A3F" w:rsidRDefault="00000000">
      <w:pPr>
        <w:pStyle w:val="Caption"/>
      </w:pPr>
      <w:bookmarkStart w:id="120" w:name="_Toc149571880"/>
      <w:bookmarkStart w:id="121" w:name="_Toc192777273"/>
      <w:r>
        <w:t>Figure 7: Relative distribution of catch at each SMU in the Central Zone by quota year.</w:t>
      </w:r>
      <w:bookmarkEnd w:id="120"/>
      <w:bookmarkEnd w:id="121"/>
    </w:p>
    <w:p w14:paraId="54E03315" w14:textId="77777777" w:rsidR="00FB0A3F" w:rsidRPr="00495804" w:rsidRDefault="00000000">
      <w:pPr>
        <w:pStyle w:val="Heading3"/>
      </w:pPr>
      <w:bookmarkStart w:id="122" w:name="_Toc150423182"/>
      <w:bookmarkStart w:id="123" w:name="_Toc192777221"/>
      <w:r w:rsidRPr="00495804">
        <w:t>Draft Harvest Strategy outputs</w:t>
      </w:r>
      <w:bookmarkEnd w:id="122"/>
      <w:bookmarkEnd w:id="123"/>
    </w:p>
    <w:p w14:paraId="262BE053" w14:textId="57413174" w:rsidR="00416C47" w:rsidRDefault="00000000">
      <w:r>
        <w:t>The full Draft Harvest Strategy results are published in a separate report for the Central Zone fishery.</w:t>
      </w:r>
      <w:r w:rsidR="00416C47">
        <w:t xml:space="preserve"> In recent years, MRAG has assessed the </w:t>
      </w:r>
      <w:r w:rsidR="00BF48B3">
        <w:t>Draft Harvest Strategy</w:t>
      </w:r>
      <w:r w:rsidR="00416C47">
        <w:t xml:space="preserve"> using reference points calculated from standardised CPUE data following the original rules used to establish the nominal CPUE reference points of the Draft Harvest Strategy (VFA 2019b). During 2024, the ASWG requested examination of the </w:t>
      </w:r>
      <w:r w:rsidR="00BF48B3">
        <w:t>Draft Harvest Strategy</w:t>
      </w:r>
      <w:r w:rsidR="00416C47">
        <w:t xml:space="preserve"> results considering the original reference points as well. In addition, the ASWG recommended using the new CPUE standardisation model as the basis for the CPUE performance measure. Therefore, the following presents two sets of </w:t>
      </w:r>
      <w:r w:rsidR="00BF48B3">
        <w:t>Draft Harvest Strategy</w:t>
      </w:r>
      <w:r w:rsidR="00416C47">
        <w:t xml:space="preserve"> outputs. Tables 4 and 5 present the assessment for standardised CPUE reference points, while Tables 6 and 7 present results for the original nominal reference points following VFA (2019b). </w:t>
      </w:r>
    </w:p>
    <w:p w14:paraId="16ED609C" w14:textId="77777777" w:rsidR="00416C47" w:rsidRPr="00416C47" w:rsidRDefault="00416C47">
      <w:pPr>
        <w:rPr>
          <w:i/>
          <w:iCs/>
        </w:rPr>
      </w:pPr>
      <w:r w:rsidRPr="00416C47">
        <w:rPr>
          <w:i/>
          <w:iCs/>
        </w:rPr>
        <w:t>Standardised reference points</w:t>
      </w:r>
    </w:p>
    <w:p w14:paraId="3814A1BE" w14:textId="3393F9E6" w:rsidR="00FB0A3F" w:rsidRDefault="00416C47">
      <w:r>
        <w:t xml:space="preserve">Current CPUE was above the Threshold at all SMUs except for Prom </w:t>
      </w:r>
      <w:proofErr w:type="spellStart"/>
      <w:r>
        <w:t>Eastside</w:t>
      </w:r>
      <w:proofErr w:type="spellEnd"/>
      <w:r>
        <w:t xml:space="preserve">, where it is currently between the Threshold and Limit levels (Table 4). CPUE has been below the Threshold but above the Limit at Prom East for 14 consecutive years and thus Catch Control Rule (CCR) 2 applies for this SMU. CCR1 applies at all other SMUs, with “Increasing” Final Categories (Table 5) at Back Beaches, Flinders and Phillip Island resulting in potential increases in OT of up to 25%. </w:t>
      </w:r>
    </w:p>
    <w:p w14:paraId="2941B665" w14:textId="184506EE" w:rsidR="00416C47" w:rsidRDefault="00416C47" w:rsidP="00416C47">
      <w:bookmarkStart w:id="124" w:name="_Toc149571229"/>
      <w:r>
        <w:t xml:space="preserve">There were no FIS data to inform the Tertiary Indicator and thus the Final Category was the same as the Primary Category result. The Final Category for the Back Beaches, Phillip Island and Flinders were all assessed as Increasing, while all other SMUs were assessed as “Stable” (Table 5). The suggested total catch range for the Central Zone </w:t>
      </w:r>
      <w:r w:rsidR="007E303D">
        <w:t xml:space="preserve">for 2025/26 </w:t>
      </w:r>
      <w:r>
        <w:t>was 218.</w:t>
      </w:r>
      <w:r w:rsidR="000C508C">
        <w:t>2</w:t>
      </w:r>
      <w:r>
        <w:t xml:space="preserve"> t to 255.</w:t>
      </w:r>
      <w:r w:rsidR="00520687">
        <w:t>3</w:t>
      </w:r>
      <w:r>
        <w:t xml:space="preserve"> t.</w:t>
      </w:r>
    </w:p>
    <w:p w14:paraId="7CDF494A" w14:textId="298D85EF" w:rsidR="00FB0A3F" w:rsidRDefault="00000000">
      <w:pPr>
        <w:pStyle w:val="TableCaption"/>
      </w:pPr>
      <w:bookmarkStart w:id="125" w:name="_Toc192762272"/>
      <w:r>
        <w:lastRenderedPageBreak/>
        <w:t xml:space="preserve">Table 4: </w:t>
      </w:r>
      <w:r w:rsidR="00A03424">
        <w:t>Standardised r</w:t>
      </w:r>
      <w:r>
        <w:t xml:space="preserve">eference points for Central Zone SMUs, </w:t>
      </w:r>
      <w:r w:rsidR="00A03424">
        <w:t xml:space="preserve">standardised </w:t>
      </w:r>
      <w:r>
        <w:t>mean annual CPUE from 201</w:t>
      </w:r>
      <w:r w:rsidR="00A03424">
        <w:t>8</w:t>
      </w:r>
      <w:r>
        <w:t>- 202</w:t>
      </w:r>
      <w:r w:rsidR="00D202DB">
        <w:t>3</w:t>
      </w:r>
      <w:r>
        <w:t xml:space="preserve"> and catch control rules (CCR).</w:t>
      </w:r>
      <w:bookmarkEnd w:id="124"/>
      <w:bookmarkEnd w:id="125"/>
    </w:p>
    <w:tbl>
      <w:tblPr>
        <w:tblW w:w="10022" w:type="dxa"/>
        <w:jc w:val="center"/>
        <w:tblLayout w:type="fixed"/>
        <w:tblLook w:val="04A0" w:firstRow="1" w:lastRow="0" w:firstColumn="1" w:lastColumn="0" w:noHBand="0" w:noVBand="1"/>
      </w:tblPr>
      <w:tblGrid>
        <w:gridCol w:w="1427"/>
        <w:gridCol w:w="567"/>
        <w:gridCol w:w="850"/>
        <w:gridCol w:w="709"/>
        <w:gridCol w:w="567"/>
        <w:gridCol w:w="567"/>
        <w:gridCol w:w="567"/>
        <w:gridCol w:w="567"/>
        <w:gridCol w:w="567"/>
        <w:gridCol w:w="567"/>
        <w:gridCol w:w="1380"/>
        <w:gridCol w:w="836"/>
        <w:gridCol w:w="851"/>
      </w:tblGrid>
      <w:tr w:rsidR="00FB0A3F" w14:paraId="79B0866B" w14:textId="77777777" w:rsidTr="00A03424">
        <w:trPr>
          <w:tblHeader/>
          <w:jc w:val="center"/>
        </w:trPr>
        <w:tc>
          <w:tcPr>
            <w:tcW w:w="1427"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1D0BA5C1" w14:textId="77777777" w:rsidR="00FB0A3F"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sz w:val="14"/>
                <w:szCs w:val="14"/>
              </w:rPr>
            </w:pPr>
            <w:bookmarkStart w:id="126" w:name="_Hlk149218055"/>
            <w:r>
              <w:rPr>
                <w:rFonts w:ascii="Arial" w:eastAsia="Arial" w:hAnsi="Arial" w:cs="Arial"/>
                <w:color w:val="000000"/>
                <w:sz w:val="14"/>
                <w:szCs w:val="14"/>
              </w:rPr>
              <w:t>SMU</w:t>
            </w:r>
          </w:p>
        </w:tc>
        <w:tc>
          <w:tcPr>
            <w:tcW w:w="567"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62E298FB" w14:textId="77777777" w:rsidR="00FB0A3F"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sz w:val="14"/>
                <w:szCs w:val="14"/>
              </w:rPr>
            </w:pPr>
            <w:r>
              <w:rPr>
                <w:rFonts w:ascii="Arial" w:eastAsia="Arial" w:hAnsi="Arial" w:cs="Arial"/>
                <w:color w:val="000000"/>
                <w:sz w:val="14"/>
                <w:szCs w:val="14"/>
              </w:rPr>
              <w:t>Limit RP</w:t>
            </w:r>
          </w:p>
        </w:tc>
        <w:tc>
          <w:tcPr>
            <w:tcW w:w="850"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2A13B40B" w14:textId="77777777" w:rsidR="00FB0A3F"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sz w:val="14"/>
                <w:szCs w:val="14"/>
              </w:rPr>
            </w:pPr>
            <w:r>
              <w:rPr>
                <w:rFonts w:ascii="Arial" w:eastAsia="Arial" w:hAnsi="Arial" w:cs="Arial"/>
                <w:color w:val="000000"/>
                <w:sz w:val="14"/>
                <w:szCs w:val="14"/>
              </w:rPr>
              <w:t>Threshold RP</w:t>
            </w:r>
          </w:p>
        </w:tc>
        <w:tc>
          <w:tcPr>
            <w:tcW w:w="709"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50EEE230" w14:textId="77777777" w:rsidR="00FB0A3F"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sz w:val="14"/>
                <w:szCs w:val="14"/>
              </w:rPr>
            </w:pPr>
            <w:r>
              <w:rPr>
                <w:rFonts w:ascii="Arial" w:eastAsia="Arial" w:hAnsi="Arial" w:cs="Arial"/>
                <w:color w:val="000000"/>
                <w:sz w:val="14"/>
                <w:szCs w:val="14"/>
              </w:rPr>
              <w:t>Target RP</w:t>
            </w:r>
          </w:p>
        </w:tc>
        <w:tc>
          <w:tcPr>
            <w:tcW w:w="567"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77681D42" w14:textId="35613AF7" w:rsidR="00FB0A3F"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sz w:val="14"/>
                <w:szCs w:val="14"/>
              </w:rPr>
            </w:pPr>
            <w:r>
              <w:rPr>
                <w:rFonts w:ascii="Arial" w:eastAsia="Arial" w:hAnsi="Arial" w:cs="Arial"/>
                <w:color w:val="000000"/>
                <w:sz w:val="14"/>
                <w:szCs w:val="14"/>
              </w:rPr>
              <w:t>201</w:t>
            </w:r>
            <w:r w:rsidR="00A03424">
              <w:rPr>
                <w:rFonts w:ascii="Arial" w:eastAsia="Arial" w:hAnsi="Arial" w:cs="Arial"/>
                <w:color w:val="000000"/>
                <w:sz w:val="14"/>
                <w:szCs w:val="14"/>
              </w:rPr>
              <w:t>8</w:t>
            </w:r>
          </w:p>
        </w:tc>
        <w:tc>
          <w:tcPr>
            <w:tcW w:w="567"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7037544D" w14:textId="58481BF4" w:rsidR="00FB0A3F"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sz w:val="14"/>
                <w:szCs w:val="14"/>
              </w:rPr>
            </w:pPr>
            <w:r>
              <w:rPr>
                <w:rFonts w:ascii="Arial" w:eastAsia="Arial" w:hAnsi="Arial" w:cs="Arial"/>
                <w:color w:val="000000"/>
                <w:sz w:val="14"/>
                <w:szCs w:val="14"/>
              </w:rPr>
              <w:t>201</w:t>
            </w:r>
            <w:r w:rsidR="00A03424">
              <w:rPr>
                <w:rFonts w:ascii="Arial" w:eastAsia="Arial" w:hAnsi="Arial" w:cs="Arial"/>
                <w:color w:val="000000"/>
                <w:sz w:val="14"/>
                <w:szCs w:val="14"/>
              </w:rPr>
              <w:t>9</w:t>
            </w:r>
          </w:p>
        </w:tc>
        <w:tc>
          <w:tcPr>
            <w:tcW w:w="567"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15A9FA66" w14:textId="0DFBA3AB" w:rsidR="00FB0A3F"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sz w:val="14"/>
                <w:szCs w:val="14"/>
              </w:rPr>
            </w:pPr>
            <w:r>
              <w:rPr>
                <w:rFonts w:ascii="Arial" w:eastAsia="Arial" w:hAnsi="Arial" w:cs="Arial"/>
                <w:color w:val="000000"/>
                <w:sz w:val="14"/>
                <w:szCs w:val="14"/>
              </w:rPr>
              <w:t>20</w:t>
            </w:r>
            <w:r w:rsidR="00A03424">
              <w:rPr>
                <w:rFonts w:ascii="Arial" w:eastAsia="Arial" w:hAnsi="Arial" w:cs="Arial"/>
                <w:color w:val="000000"/>
                <w:sz w:val="14"/>
                <w:szCs w:val="14"/>
              </w:rPr>
              <w:t>20</w:t>
            </w:r>
          </w:p>
        </w:tc>
        <w:tc>
          <w:tcPr>
            <w:tcW w:w="567"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34F7C83D" w14:textId="0AC1396D" w:rsidR="00FB0A3F"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sz w:val="14"/>
                <w:szCs w:val="14"/>
              </w:rPr>
            </w:pPr>
            <w:r>
              <w:rPr>
                <w:rFonts w:ascii="Arial" w:eastAsia="Arial" w:hAnsi="Arial" w:cs="Arial"/>
                <w:color w:val="000000"/>
                <w:sz w:val="14"/>
                <w:szCs w:val="14"/>
              </w:rPr>
              <w:t>202</w:t>
            </w:r>
            <w:r w:rsidR="00A03424">
              <w:rPr>
                <w:rFonts w:ascii="Arial" w:eastAsia="Arial" w:hAnsi="Arial" w:cs="Arial"/>
                <w:color w:val="000000"/>
                <w:sz w:val="14"/>
                <w:szCs w:val="14"/>
              </w:rPr>
              <w:t>1</w:t>
            </w:r>
          </w:p>
        </w:tc>
        <w:tc>
          <w:tcPr>
            <w:tcW w:w="567"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20C993F2" w14:textId="632CF70A" w:rsidR="00FB0A3F"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sz w:val="14"/>
                <w:szCs w:val="14"/>
              </w:rPr>
            </w:pPr>
            <w:r>
              <w:rPr>
                <w:rFonts w:ascii="Arial" w:eastAsia="Arial" w:hAnsi="Arial" w:cs="Arial"/>
                <w:color w:val="000000"/>
                <w:sz w:val="14"/>
                <w:szCs w:val="14"/>
              </w:rPr>
              <w:t>202</w:t>
            </w:r>
            <w:r w:rsidR="00A03424">
              <w:rPr>
                <w:rFonts w:ascii="Arial" w:eastAsia="Arial" w:hAnsi="Arial" w:cs="Arial"/>
                <w:color w:val="000000"/>
                <w:sz w:val="14"/>
                <w:szCs w:val="14"/>
              </w:rPr>
              <w:t>2</w:t>
            </w:r>
          </w:p>
        </w:tc>
        <w:tc>
          <w:tcPr>
            <w:tcW w:w="567"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703D5ED6" w14:textId="6C451FD5" w:rsidR="00FB0A3F"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sz w:val="14"/>
                <w:szCs w:val="14"/>
              </w:rPr>
            </w:pPr>
            <w:r>
              <w:rPr>
                <w:rFonts w:ascii="Arial" w:eastAsia="Arial" w:hAnsi="Arial" w:cs="Arial"/>
                <w:color w:val="000000"/>
                <w:sz w:val="14"/>
                <w:szCs w:val="14"/>
              </w:rPr>
              <w:t>202</w:t>
            </w:r>
            <w:r w:rsidR="00A03424">
              <w:rPr>
                <w:rFonts w:ascii="Arial" w:eastAsia="Arial" w:hAnsi="Arial" w:cs="Arial"/>
                <w:color w:val="000000"/>
                <w:sz w:val="14"/>
                <w:szCs w:val="14"/>
              </w:rPr>
              <w:t>3</w:t>
            </w:r>
          </w:p>
        </w:tc>
        <w:tc>
          <w:tcPr>
            <w:tcW w:w="1380"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7D6C3338" w14:textId="77777777" w:rsidR="00FB0A3F"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sz w:val="14"/>
                <w:szCs w:val="14"/>
              </w:rPr>
            </w:pPr>
            <w:r>
              <w:rPr>
                <w:rFonts w:ascii="Arial" w:eastAsia="Arial" w:hAnsi="Arial" w:cs="Arial"/>
                <w:color w:val="000000"/>
                <w:sz w:val="14"/>
                <w:szCs w:val="14"/>
              </w:rPr>
              <w:t>Current Status</w:t>
            </w:r>
          </w:p>
        </w:tc>
        <w:tc>
          <w:tcPr>
            <w:tcW w:w="836"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3AF5F8BC" w14:textId="77777777" w:rsidR="00FB0A3F"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sz w:val="14"/>
                <w:szCs w:val="14"/>
              </w:rPr>
            </w:pPr>
            <w:r>
              <w:rPr>
                <w:rFonts w:ascii="Arial" w:eastAsia="Arial" w:hAnsi="Arial" w:cs="Arial"/>
                <w:color w:val="000000"/>
                <w:sz w:val="14"/>
                <w:szCs w:val="14"/>
              </w:rPr>
              <w:t>Years at Status</w:t>
            </w:r>
          </w:p>
        </w:tc>
        <w:tc>
          <w:tcPr>
            <w:tcW w:w="851"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095414D9" w14:textId="77777777" w:rsidR="00FB0A3F"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sz w:val="14"/>
                <w:szCs w:val="14"/>
              </w:rPr>
            </w:pPr>
            <w:r>
              <w:rPr>
                <w:rFonts w:ascii="Arial" w:eastAsia="Arial" w:hAnsi="Arial" w:cs="Arial"/>
                <w:color w:val="000000"/>
                <w:sz w:val="14"/>
                <w:szCs w:val="14"/>
              </w:rPr>
              <w:t>CCR</w:t>
            </w:r>
          </w:p>
        </w:tc>
      </w:tr>
      <w:tr w:rsidR="00495804" w14:paraId="0EFD6E1E" w14:textId="77777777" w:rsidTr="00C21865">
        <w:trPr>
          <w:jc w:val="center"/>
        </w:trPr>
        <w:tc>
          <w:tcPr>
            <w:tcW w:w="1427" w:type="dxa"/>
            <w:tcBorders>
              <w:top w:val="single" w:sz="12" w:space="0" w:color="666666"/>
              <w:left w:val="nil"/>
              <w:bottom w:val="nil"/>
              <w:right w:val="nil"/>
            </w:tcBorders>
            <w:shd w:val="clear" w:color="auto" w:fill="FFFFFF"/>
            <w:tcMar>
              <w:top w:w="0" w:type="dxa"/>
              <w:left w:w="0" w:type="dxa"/>
              <w:bottom w:w="0" w:type="dxa"/>
              <w:right w:w="0" w:type="dxa"/>
            </w:tcMar>
          </w:tcPr>
          <w:p w14:paraId="0421C2EB" w14:textId="1B3E8E7D" w:rsidR="00495804" w:rsidRPr="00A0342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A03424">
              <w:rPr>
                <w:rFonts w:ascii="Arial" w:hAnsi="Arial" w:cs="Arial"/>
                <w:sz w:val="12"/>
                <w:szCs w:val="12"/>
              </w:rPr>
              <w:t>BACK BEACHES</w:t>
            </w:r>
          </w:p>
        </w:tc>
        <w:tc>
          <w:tcPr>
            <w:tcW w:w="567"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1E3F5138" w14:textId="5AE729A9"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4"/>
                <w:szCs w:val="14"/>
              </w:rPr>
            </w:pPr>
            <w:r w:rsidRPr="00495804">
              <w:rPr>
                <w:rFonts w:ascii="Arial" w:hAnsi="Arial" w:cs="Arial"/>
                <w:color w:val="000000"/>
                <w:sz w:val="14"/>
                <w:szCs w:val="14"/>
              </w:rPr>
              <w:t>50</w:t>
            </w:r>
          </w:p>
        </w:tc>
        <w:tc>
          <w:tcPr>
            <w:tcW w:w="850"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7E1B8C62" w14:textId="455A5775"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4"/>
                <w:szCs w:val="14"/>
              </w:rPr>
            </w:pPr>
            <w:r w:rsidRPr="00495804">
              <w:rPr>
                <w:rFonts w:ascii="Arial" w:hAnsi="Arial" w:cs="Arial"/>
                <w:color w:val="000000"/>
                <w:sz w:val="14"/>
                <w:szCs w:val="14"/>
              </w:rPr>
              <w:t>70</w:t>
            </w:r>
          </w:p>
        </w:tc>
        <w:tc>
          <w:tcPr>
            <w:tcW w:w="709"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01E590E7" w14:textId="0557BBF9"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4"/>
                <w:szCs w:val="14"/>
              </w:rPr>
            </w:pPr>
            <w:r w:rsidRPr="00495804">
              <w:rPr>
                <w:rFonts w:ascii="Arial" w:hAnsi="Arial" w:cs="Arial"/>
                <w:color w:val="000000"/>
                <w:sz w:val="14"/>
                <w:szCs w:val="14"/>
              </w:rPr>
              <w:t>90</w:t>
            </w:r>
          </w:p>
        </w:tc>
        <w:tc>
          <w:tcPr>
            <w:tcW w:w="567" w:type="dxa"/>
            <w:tcBorders>
              <w:top w:val="single" w:sz="12" w:space="0" w:color="666666"/>
              <w:left w:val="nil"/>
              <w:bottom w:val="nil"/>
              <w:right w:val="nil"/>
            </w:tcBorders>
            <w:shd w:val="clear" w:color="auto" w:fill="FFFF00"/>
            <w:tcMar>
              <w:top w:w="0" w:type="dxa"/>
              <w:left w:w="0" w:type="dxa"/>
              <w:bottom w:w="0" w:type="dxa"/>
              <w:right w:w="0" w:type="dxa"/>
            </w:tcMar>
            <w:vAlign w:val="center"/>
          </w:tcPr>
          <w:p w14:paraId="5EF4A6C9" w14:textId="66F1F325"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67.1</w:t>
            </w:r>
          </w:p>
        </w:tc>
        <w:tc>
          <w:tcPr>
            <w:tcW w:w="567" w:type="dxa"/>
            <w:tcBorders>
              <w:top w:val="single" w:sz="12" w:space="0" w:color="666666"/>
              <w:left w:val="nil"/>
              <w:bottom w:val="nil"/>
              <w:right w:val="nil"/>
            </w:tcBorders>
            <w:shd w:val="clear" w:color="auto" w:fill="FFFF00"/>
            <w:tcMar>
              <w:top w:w="0" w:type="dxa"/>
              <w:left w:w="0" w:type="dxa"/>
              <w:bottom w:w="0" w:type="dxa"/>
              <w:right w:w="0" w:type="dxa"/>
            </w:tcMar>
            <w:vAlign w:val="center"/>
          </w:tcPr>
          <w:p w14:paraId="6AAF680D" w14:textId="72811A02"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4"/>
                <w:szCs w:val="14"/>
              </w:rPr>
            </w:pPr>
            <w:r w:rsidRPr="00495804">
              <w:rPr>
                <w:rFonts w:ascii="Arial" w:hAnsi="Arial" w:cs="Arial"/>
                <w:color w:val="000000"/>
                <w:sz w:val="14"/>
                <w:szCs w:val="14"/>
              </w:rPr>
              <w:t>65.0</w:t>
            </w:r>
          </w:p>
        </w:tc>
        <w:tc>
          <w:tcPr>
            <w:tcW w:w="567" w:type="dxa"/>
            <w:tcBorders>
              <w:top w:val="single" w:sz="12" w:space="0" w:color="666666"/>
              <w:left w:val="nil"/>
              <w:bottom w:val="nil"/>
              <w:right w:val="nil"/>
            </w:tcBorders>
            <w:shd w:val="clear" w:color="auto" w:fill="FFFF00"/>
            <w:tcMar>
              <w:top w:w="0" w:type="dxa"/>
              <w:left w:w="0" w:type="dxa"/>
              <w:bottom w:w="0" w:type="dxa"/>
              <w:right w:w="0" w:type="dxa"/>
            </w:tcMar>
            <w:vAlign w:val="center"/>
          </w:tcPr>
          <w:p w14:paraId="6637B54E" w14:textId="03CB9A02"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4"/>
                <w:szCs w:val="14"/>
              </w:rPr>
            </w:pPr>
            <w:r w:rsidRPr="00495804">
              <w:rPr>
                <w:rFonts w:ascii="Arial" w:hAnsi="Arial" w:cs="Arial"/>
                <w:color w:val="000000"/>
                <w:sz w:val="14"/>
                <w:szCs w:val="14"/>
              </w:rPr>
              <w:t>68.8</w:t>
            </w:r>
          </w:p>
        </w:tc>
        <w:tc>
          <w:tcPr>
            <w:tcW w:w="567" w:type="dxa"/>
            <w:tcBorders>
              <w:top w:val="single" w:sz="12" w:space="0" w:color="666666"/>
              <w:left w:val="nil"/>
              <w:bottom w:val="nil"/>
              <w:right w:val="nil"/>
            </w:tcBorders>
            <w:shd w:val="clear" w:color="auto" w:fill="92D050"/>
            <w:tcMar>
              <w:top w:w="0" w:type="dxa"/>
              <w:left w:w="0" w:type="dxa"/>
              <w:bottom w:w="0" w:type="dxa"/>
              <w:right w:w="0" w:type="dxa"/>
            </w:tcMar>
            <w:vAlign w:val="center"/>
          </w:tcPr>
          <w:p w14:paraId="02335179" w14:textId="0DFCAAD5"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4"/>
                <w:szCs w:val="14"/>
              </w:rPr>
            </w:pPr>
            <w:r w:rsidRPr="00495804">
              <w:rPr>
                <w:rFonts w:ascii="Arial" w:hAnsi="Arial" w:cs="Arial"/>
                <w:color w:val="000000"/>
                <w:sz w:val="14"/>
                <w:szCs w:val="14"/>
              </w:rPr>
              <w:t>73.5</w:t>
            </w:r>
          </w:p>
        </w:tc>
        <w:tc>
          <w:tcPr>
            <w:tcW w:w="567" w:type="dxa"/>
            <w:tcBorders>
              <w:top w:val="single" w:sz="12" w:space="0" w:color="666666"/>
              <w:left w:val="nil"/>
              <w:bottom w:val="nil"/>
              <w:right w:val="nil"/>
            </w:tcBorders>
            <w:shd w:val="clear" w:color="auto" w:fill="92D050"/>
            <w:tcMar>
              <w:top w:w="0" w:type="dxa"/>
              <w:left w:w="0" w:type="dxa"/>
              <w:bottom w:w="0" w:type="dxa"/>
              <w:right w:w="0" w:type="dxa"/>
            </w:tcMar>
            <w:vAlign w:val="center"/>
          </w:tcPr>
          <w:p w14:paraId="05C94429" w14:textId="77CB3FEC"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4"/>
                <w:szCs w:val="14"/>
              </w:rPr>
            </w:pPr>
            <w:r w:rsidRPr="00495804">
              <w:rPr>
                <w:rFonts w:ascii="Arial" w:hAnsi="Arial" w:cs="Arial"/>
                <w:color w:val="000000"/>
                <w:sz w:val="14"/>
                <w:szCs w:val="14"/>
              </w:rPr>
              <w:t>79.0</w:t>
            </w:r>
          </w:p>
        </w:tc>
        <w:tc>
          <w:tcPr>
            <w:tcW w:w="567" w:type="dxa"/>
            <w:tcBorders>
              <w:top w:val="single" w:sz="12" w:space="0" w:color="666666"/>
              <w:left w:val="nil"/>
              <w:bottom w:val="nil"/>
              <w:right w:val="nil"/>
            </w:tcBorders>
            <w:shd w:val="clear" w:color="auto" w:fill="92D050"/>
            <w:tcMar>
              <w:top w:w="0" w:type="dxa"/>
              <w:left w:w="0" w:type="dxa"/>
              <w:bottom w:w="0" w:type="dxa"/>
              <w:right w:w="0" w:type="dxa"/>
            </w:tcMar>
            <w:vAlign w:val="center"/>
          </w:tcPr>
          <w:p w14:paraId="15488B07" w14:textId="44B6BF62"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4"/>
                <w:szCs w:val="14"/>
              </w:rPr>
            </w:pPr>
            <w:r w:rsidRPr="00495804">
              <w:rPr>
                <w:rFonts w:ascii="Arial" w:hAnsi="Arial" w:cs="Arial"/>
                <w:color w:val="000000"/>
                <w:sz w:val="14"/>
                <w:szCs w:val="14"/>
              </w:rPr>
              <w:t>79.3</w:t>
            </w:r>
          </w:p>
        </w:tc>
        <w:tc>
          <w:tcPr>
            <w:tcW w:w="1380" w:type="dxa"/>
            <w:tcBorders>
              <w:top w:val="single" w:sz="12" w:space="0" w:color="666666"/>
              <w:left w:val="nil"/>
              <w:bottom w:val="nil"/>
              <w:right w:val="nil"/>
            </w:tcBorders>
            <w:shd w:val="clear" w:color="auto" w:fill="92D050"/>
            <w:tcMar>
              <w:top w:w="0" w:type="dxa"/>
              <w:left w:w="0" w:type="dxa"/>
              <w:bottom w:w="0" w:type="dxa"/>
              <w:right w:w="0" w:type="dxa"/>
            </w:tcMar>
          </w:tcPr>
          <w:p w14:paraId="1B0A4382" w14:textId="3AB0C57B" w:rsidR="00495804" w:rsidRPr="00A0342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4"/>
                <w:szCs w:val="14"/>
              </w:rPr>
            </w:pPr>
            <w:r w:rsidRPr="00A03424">
              <w:rPr>
                <w:rFonts w:ascii="Arial" w:hAnsi="Arial" w:cs="Arial"/>
                <w:sz w:val="14"/>
                <w:szCs w:val="14"/>
              </w:rPr>
              <w:t>Above Threshold</w:t>
            </w:r>
          </w:p>
        </w:tc>
        <w:tc>
          <w:tcPr>
            <w:tcW w:w="836"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73CC90C0" w14:textId="2A281A83"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4"/>
                <w:szCs w:val="14"/>
              </w:rPr>
            </w:pPr>
            <w:r w:rsidRPr="00495804">
              <w:rPr>
                <w:rFonts w:ascii="Arial" w:hAnsi="Arial" w:cs="Arial"/>
                <w:color w:val="000000"/>
                <w:sz w:val="14"/>
                <w:szCs w:val="14"/>
              </w:rPr>
              <w:t>3</w:t>
            </w:r>
          </w:p>
        </w:tc>
        <w:tc>
          <w:tcPr>
            <w:tcW w:w="851"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09DA18FE" w14:textId="618CF5A2"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4"/>
                <w:szCs w:val="14"/>
              </w:rPr>
            </w:pPr>
            <w:r w:rsidRPr="00495804">
              <w:rPr>
                <w:rFonts w:ascii="Arial" w:hAnsi="Arial" w:cs="Arial"/>
                <w:color w:val="000000"/>
                <w:sz w:val="14"/>
                <w:szCs w:val="14"/>
              </w:rPr>
              <w:t>1 - 125%</w:t>
            </w:r>
          </w:p>
        </w:tc>
      </w:tr>
      <w:tr w:rsidR="00495804" w14:paraId="09D21B45" w14:textId="77777777" w:rsidTr="00C21865">
        <w:trPr>
          <w:jc w:val="center"/>
        </w:trPr>
        <w:tc>
          <w:tcPr>
            <w:tcW w:w="1427" w:type="dxa"/>
            <w:tcBorders>
              <w:top w:val="nil"/>
              <w:left w:val="nil"/>
              <w:bottom w:val="nil"/>
              <w:right w:val="nil"/>
            </w:tcBorders>
            <w:shd w:val="clear" w:color="auto" w:fill="FFFFFF"/>
            <w:tcMar>
              <w:top w:w="0" w:type="dxa"/>
              <w:left w:w="0" w:type="dxa"/>
              <w:bottom w:w="0" w:type="dxa"/>
              <w:right w:w="0" w:type="dxa"/>
            </w:tcMar>
          </w:tcPr>
          <w:p w14:paraId="2B761DF6" w14:textId="27372F3D" w:rsidR="00495804" w:rsidRPr="00A0342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A03424">
              <w:rPr>
                <w:rFonts w:ascii="Arial" w:hAnsi="Arial" w:cs="Arial"/>
                <w:sz w:val="12"/>
                <w:szCs w:val="12"/>
              </w:rPr>
              <w:t>CAPE LIPTRAP</w:t>
            </w:r>
          </w:p>
        </w:tc>
        <w:tc>
          <w:tcPr>
            <w:tcW w:w="567" w:type="dxa"/>
            <w:tcBorders>
              <w:top w:val="nil"/>
              <w:left w:val="nil"/>
              <w:bottom w:val="nil"/>
              <w:right w:val="nil"/>
            </w:tcBorders>
            <w:shd w:val="clear" w:color="auto" w:fill="FFFFFF"/>
            <w:tcMar>
              <w:top w:w="0" w:type="dxa"/>
              <w:left w:w="0" w:type="dxa"/>
              <w:bottom w:w="0" w:type="dxa"/>
              <w:right w:w="0" w:type="dxa"/>
            </w:tcMar>
            <w:vAlign w:val="center"/>
          </w:tcPr>
          <w:p w14:paraId="6D682E85" w14:textId="6994A0FD"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40</w:t>
            </w:r>
          </w:p>
        </w:tc>
        <w:tc>
          <w:tcPr>
            <w:tcW w:w="850" w:type="dxa"/>
            <w:tcBorders>
              <w:top w:val="nil"/>
              <w:left w:val="nil"/>
              <w:bottom w:val="nil"/>
              <w:right w:val="nil"/>
            </w:tcBorders>
            <w:shd w:val="clear" w:color="auto" w:fill="FFFFFF"/>
            <w:tcMar>
              <w:top w:w="0" w:type="dxa"/>
              <w:left w:w="0" w:type="dxa"/>
              <w:bottom w:w="0" w:type="dxa"/>
              <w:right w:w="0" w:type="dxa"/>
            </w:tcMar>
            <w:vAlign w:val="center"/>
          </w:tcPr>
          <w:p w14:paraId="50CDA172" w14:textId="086ECB1F"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60</w:t>
            </w:r>
          </w:p>
        </w:tc>
        <w:tc>
          <w:tcPr>
            <w:tcW w:w="709" w:type="dxa"/>
            <w:tcBorders>
              <w:top w:val="nil"/>
              <w:left w:val="nil"/>
              <w:bottom w:val="nil"/>
              <w:right w:val="nil"/>
            </w:tcBorders>
            <w:shd w:val="clear" w:color="auto" w:fill="FFFFFF"/>
            <w:tcMar>
              <w:top w:w="0" w:type="dxa"/>
              <w:left w:w="0" w:type="dxa"/>
              <w:bottom w:w="0" w:type="dxa"/>
              <w:right w:w="0" w:type="dxa"/>
            </w:tcMar>
            <w:vAlign w:val="center"/>
          </w:tcPr>
          <w:p w14:paraId="7BB77970" w14:textId="617135B4"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90</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48BAB486" w14:textId="062D2738"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63.9</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3DAC55D1" w14:textId="58B28429"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61.7</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1765044D" w14:textId="329C9737"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62.9</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1962BB7E" w14:textId="11BEF5B8"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66.1</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7BBF891E" w14:textId="281344C8"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73.1</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7DFC3483" w14:textId="3ED5C2D7"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72.8</w:t>
            </w:r>
          </w:p>
        </w:tc>
        <w:tc>
          <w:tcPr>
            <w:tcW w:w="1380" w:type="dxa"/>
            <w:tcBorders>
              <w:top w:val="nil"/>
              <w:left w:val="nil"/>
              <w:bottom w:val="nil"/>
              <w:right w:val="nil"/>
            </w:tcBorders>
            <w:shd w:val="clear" w:color="auto" w:fill="92D050"/>
            <w:tcMar>
              <w:top w:w="0" w:type="dxa"/>
              <w:left w:w="0" w:type="dxa"/>
              <w:bottom w:w="0" w:type="dxa"/>
              <w:right w:w="0" w:type="dxa"/>
            </w:tcMar>
          </w:tcPr>
          <w:p w14:paraId="4F778617" w14:textId="4E648E10" w:rsidR="00495804" w:rsidRPr="00A0342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A03424">
              <w:rPr>
                <w:rFonts w:ascii="Arial" w:hAnsi="Arial" w:cs="Arial"/>
                <w:sz w:val="14"/>
                <w:szCs w:val="14"/>
              </w:rPr>
              <w:t>Above Threshold</w:t>
            </w:r>
          </w:p>
        </w:tc>
        <w:tc>
          <w:tcPr>
            <w:tcW w:w="836" w:type="dxa"/>
            <w:tcBorders>
              <w:top w:val="nil"/>
              <w:left w:val="nil"/>
              <w:bottom w:val="nil"/>
              <w:right w:val="nil"/>
            </w:tcBorders>
            <w:shd w:val="clear" w:color="auto" w:fill="FFFFFF"/>
            <w:tcMar>
              <w:top w:w="0" w:type="dxa"/>
              <w:left w:w="0" w:type="dxa"/>
              <w:bottom w:w="0" w:type="dxa"/>
              <w:right w:w="0" w:type="dxa"/>
            </w:tcMar>
            <w:vAlign w:val="center"/>
          </w:tcPr>
          <w:p w14:paraId="37600DFA" w14:textId="140BD172"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hAnsi="Arial" w:cs="Arial"/>
                <w:color w:val="000000"/>
                <w:sz w:val="14"/>
                <w:szCs w:val="14"/>
              </w:rPr>
              <w:t>21</w:t>
            </w:r>
          </w:p>
        </w:tc>
        <w:tc>
          <w:tcPr>
            <w:tcW w:w="851" w:type="dxa"/>
            <w:tcBorders>
              <w:top w:val="nil"/>
              <w:left w:val="nil"/>
              <w:bottom w:val="nil"/>
              <w:right w:val="nil"/>
            </w:tcBorders>
            <w:shd w:val="clear" w:color="auto" w:fill="FFFFFF"/>
            <w:tcMar>
              <w:top w:w="0" w:type="dxa"/>
              <w:left w:w="0" w:type="dxa"/>
              <w:bottom w:w="0" w:type="dxa"/>
              <w:right w:w="0" w:type="dxa"/>
            </w:tcMar>
            <w:vAlign w:val="center"/>
          </w:tcPr>
          <w:p w14:paraId="7B04FFB1" w14:textId="0E8B3AC6"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1</w:t>
            </w:r>
          </w:p>
        </w:tc>
      </w:tr>
      <w:tr w:rsidR="00495804" w14:paraId="3B4FB990" w14:textId="77777777" w:rsidTr="00C21865">
        <w:trPr>
          <w:jc w:val="center"/>
        </w:trPr>
        <w:tc>
          <w:tcPr>
            <w:tcW w:w="1427" w:type="dxa"/>
            <w:tcBorders>
              <w:top w:val="nil"/>
              <w:left w:val="nil"/>
              <w:bottom w:val="nil"/>
              <w:right w:val="nil"/>
            </w:tcBorders>
            <w:shd w:val="clear" w:color="auto" w:fill="FFFFFF"/>
            <w:tcMar>
              <w:top w:w="0" w:type="dxa"/>
              <w:left w:w="0" w:type="dxa"/>
              <w:bottom w:w="0" w:type="dxa"/>
              <w:right w:w="0" w:type="dxa"/>
            </w:tcMar>
          </w:tcPr>
          <w:p w14:paraId="5C6CE42E" w14:textId="4CB9D635" w:rsidR="00495804" w:rsidRPr="00A0342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A03424">
              <w:rPr>
                <w:rFonts w:ascii="Arial" w:hAnsi="Arial" w:cs="Arial"/>
                <w:sz w:val="12"/>
                <w:szCs w:val="12"/>
              </w:rPr>
              <w:t>CAPE OTWAY</w:t>
            </w:r>
          </w:p>
        </w:tc>
        <w:tc>
          <w:tcPr>
            <w:tcW w:w="567" w:type="dxa"/>
            <w:tcBorders>
              <w:top w:val="nil"/>
              <w:left w:val="nil"/>
              <w:bottom w:val="nil"/>
              <w:right w:val="nil"/>
            </w:tcBorders>
            <w:shd w:val="clear" w:color="auto" w:fill="FFFFFF"/>
            <w:tcMar>
              <w:top w:w="0" w:type="dxa"/>
              <w:left w:w="0" w:type="dxa"/>
              <w:bottom w:w="0" w:type="dxa"/>
              <w:right w:w="0" w:type="dxa"/>
            </w:tcMar>
            <w:vAlign w:val="center"/>
          </w:tcPr>
          <w:p w14:paraId="587AA8CD" w14:textId="0BEC99B5"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50</w:t>
            </w:r>
          </w:p>
        </w:tc>
        <w:tc>
          <w:tcPr>
            <w:tcW w:w="850" w:type="dxa"/>
            <w:tcBorders>
              <w:top w:val="nil"/>
              <w:left w:val="nil"/>
              <w:bottom w:val="nil"/>
              <w:right w:val="nil"/>
            </w:tcBorders>
            <w:shd w:val="clear" w:color="auto" w:fill="FFFFFF"/>
            <w:tcMar>
              <w:top w:w="0" w:type="dxa"/>
              <w:left w:w="0" w:type="dxa"/>
              <w:bottom w:w="0" w:type="dxa"/>
              <w:right w:w="0" w:type="dxa"/>
            </w:tcMar>
            <w:vAlign w:val="center"/>
          </w:tcPr>
          <w:p w14:paraId="74AAB67B" w14:textId="118D1D23"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70</w:t>
            </w:r>
          </w:p>
        </w:tc>
        <w:tc>
          <w:tcPr>
            <w:tcW w:w="709" w:type="dxa"/>
            <w:tcBorders>
              <w:top w:val="nil"/>
              <w:left w:val="nil"/>
              <w:bottom w:val="nil"/>
              <w:right w:val="nil"/>
            </w:tcBorders>
            <w:shd w:val="clear" w:color="auto" w:fill="FFFFFF"/>
            <w:tcMar>
              <w:top w:w="0" w:type="dxa"/>
              <w:left w:w="0" w:type="dxa"/>
              <w:bottom w:w="0" w:type="dxa"/>
              <w:right w:w="0" w:type="dxa"/>
            </w:tcMar>
            <w:vAlign w:val="center"/>
          </w:tcPr>
          <w:p w14:paraId="5427901B" w14:textId="339A39E5"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100</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0CD04CBB" w14:textId="63BB5932" w:rsidR="00495804" w:rsidRPr="00495804" w:rsidRDefault="00495804" w:rsidP="00495804">
            <w:pPr>
              <w:pBdr>
                <w:top w:val="none" w:sz="0" w:space="0" w:color="000000"/>
                <w:left w:val="none" w:sz="0" w:space="0" w:color="000000"/>
                <w:bottom w:val="none" w:sz="0" w:space="0" w:color="000000"/>
                <w:right w:val="none" w:sz="0" w:space="0" w:color="000000"/>
              </w:pBdr>
              <w:shd w:val="clear" w:color="auto" w:fill="92D050"/>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70.2</w:t>
            </w:r>
          </w:p>
        </w:tc>
        <w:tc>
          <w:tcPr>
            <w:tcW w:w="567" w:type="dxa"/>
            <w:tcBorders>
              <w:top w:val="nil"/>
              <w:left w:val="nil"/>
              <w:bottom w:val="nil"/>
              <w:right w:val="nil"/>
            </w:tcBorders>
            <w:shd w:val="clear" w:color="auto" w:fill="FFFF00"/>
            <w:tcMar>
              <w:top w:w="0" w:type="dxa"/>
              <w:left w:w="0" w:type="dxa"/>
              <w:bottom w:w="0" w:type="dxa"/>
              <w:right w:w="0" w:type="dxa"/>
            </w:tcMar>
            <w:vAlign w:val="center"/>
          </w:tcPr>
          <w:p w14:paraId="2E1C4B25" w14:textId="7F626D99"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68.8</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0E7BA08A" w14:textId="4B973C41"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71.2</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37CA764C" w14:textId="0FD8C10F"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70.9</w:t>
            </w:r>
          </w:p>
        </w:tc>
        <w:tc>
          <w:tcPr>
            <w:tcW w:w="567" w:type="dxa"/>
            <w:tcBorders>
              <w:top w:val="nil"/>
              <w:left w:val="nil"/>
              <w:bottom w:val="nil"/>
              <w:right w:val="nil"/>
            </w:tcBorders>
            <w:shd w:val="clear" w:color="auto" w:fill="FFFF00"/>
            <w:tcMar>
              <w:top w:w="0" w:type="dxa"/>
              <w:left w:w="0" w:type="dxa"/>
              <w:bottom w:w="0" w:type="dxa"/>
              <w:right w:w="0" w:type="dxa"/>
            </w:tcMar>
            <w:vAlign w:val="center"/>
          </w:tcPr>
          <w:p w14:paraId="6D2902DF" w14:textId="20E2E9FE"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68.9</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596006DE" w14:textId="3727437D"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71.5</w:t>
            </w:r>
          </w:p>
        </w:tc>
        <w:tc>
          <w:tcPr>
            <w:tcW w:w="1380" w:type="dxa"/>
            <w:tcBorders>
              <w:top w:val="nil"/>
              <w:left w:val="nil"/>
              <w:bottom w:val="nil"/>
              <w:right w:val="nil"/>
            </w:tcBorders>
            <w:shd w:val="clear" w:color="auto" w:fill="92D050"/>
            <w:tcMar>
              <w:top w:w="0" w:type="dxa"/>
              <w:left w:w="0" w:type="dxa"/>
              <w:bottom w:w="0" w:type="dxa"/>
              <w:right w:w="0" w:type="dxa"/>
            </w:tcMar>
          </w:tcPr>
          <w:p w14:paraId="53F4552E" w14:textId="41104E82" w:rsidR="00495804" w:rsidRPr="00A0342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A03424">
              <w:rPr>
                <w:rFonts w:ascii="Arial" w:hAnsi="Arial" w:cs="Arial"/>
                <w:sz w:val="14"/>
                <w:szCs w:val="14"/>
              </w:rPr>
              <w:t>Above Threshold</w:t>
            </w:r>
          </w:p>
        </w:tc>
        <w:tc>
          <w:tcPr>
            <w:tcW w:w="836" w:type="dxa"/>
            <w:tcBorders>
              <w:top w:val="nil"/>
              <w:left w:val="nil"/>
              <w:bottom w:val="nil"/>
              <w:right w:val="nil"/>
            </w:tcBorders>
            <w:shd w:val="clear" w:color="auto" w:fill="FFFFFF"/>
            <w:tcMar>
              <w:top w:w="0" w:type="dxa"/>
              <w:left w:w="0" w:type="dxa"/>
              <w:bottom w:w="0" w:type="dxa"/>
              <w:right w:w="0" w:type="dxa"/>
            </w:tcMar>
            <w:vAlign w:val="center"/>
          </w:tcPr>
          <w:p w14:paraId="5F749A14" w14:textId="3D08881C"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1</w:t>
            </w:r>
          </w:p>
        </w:tc>
        <w:tc>
          <w:tcPr>
            <w:tcW w:w="851" w:type="dxa"/>
            <w:tcBorders>
              <w:top w:val="nil"/>
              <w:left w:val="nil"/>
              <w:bottom w:val="nil"/>
              <w:right w:val="nil"/>
            </w:tcBorders>
            <w:shd w:val="clear" w:color="auto" w:fill="FFFFFF"/>
            <w:tcMar>
              <w:top w:w="0" w:type="dxa"/>
              <w:left w:w="0" w:type="dxa"/>
              <w:bottom w:w="0" w:type="dxa"/>
              <w:right w:w="0" w:type="dxa"/>
            </w:tcMar>
            <w:vAlign w:val="center"/>
          </w:tcPr>
          <w:p w14:paraId="1747DF57" w14:textId="29F313D0"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1</w:t>
            </w:r>
          </w:p>
        </w:tc>
      </w:tr>
      <w:tr w:rsidR="00495804" w14:paraId="78B7D723" w14:textId="77777777" w:rsidTr="00C21865">
        <w:trPr>
          <w:jc w:val="center"/>
        </w:trPr>
        <w:tc>
          <w:tcPr>
            <w:tcW w:w="1427" w:type="dxa"/>
            <w:tcBorders>
              <w:top w:val="nil"/>
              <w:left w:val="nil"/>
              <w:bottom w:val="nil"/>
              <w:right w:val="nil"/>
            </w:tcBorders>
            <w:shd w:val="clear" w:color="auto" w:fill="FFFFFF"/>
            <w:tcMar>
              <w:top w:w="0" w:type="dxa"/>
              <w:left w:w="0" w:type="dxa"/>
              <w:bottom w:w="0" w:type="dxa"/>
              <w:right w:w="0" w:type="dxa"/>
            </w:tcMar>
          </w:tcPr>
          <w:p w14:paraId="7C8EA28C" w14:textId="25C08BB3" w:rsidR="00495804" w:rsidRPr="00A0342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A03424">
              <w:rPr>
                <w:rFonts w:ascii="Arial" w:hAnsi="Arial" w:cs="Arial"/>
                <w:sz w:val="12"/>
                <w:szCs w:val="12"/>
              </w:rPr>
              <w:t>CLIFFY GROUP</w:t>
            </w:r>
          </w:p>
        </w:tc>
        <w:tc>
          <w:tcPr>
            <w:tcW w:w="567" w:type="dxa"/>
            <w:tcBorders>
              <w:top w:val="nil"/>
              <w:left w:val="nil"/>
              <w:bottom w:val="nil"/>
              <w:right w:val="nil"/>
            </w:tcBorders>
            <w:shd w:val="clear" w:color="auto" w:fill="FFFFFF"/>
            <w:tcMar>
              <w:top w:w="0" w:type="dxa"/>
              <w:left w:w="0" w:type="dxa"/>
              <w:bottom w:w="0" w:type="dxa"/>
              <w:right w:w="0" w:type="dxa"/>
            </w:tcMar>
            <w:vAlign w:val="center"/>
          </w:tcPr>
          <w:p w14:paraId="06FEE1E1" w14:textId="6BBBF325"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40</w:t>
            </w:r>
          </w:p>
        </w:tc>
        <w:tc>
          <w:tcPr>
            <w:tcW w:w="850" w:type="dxa"/>
            <w:tcBorders>
              <w:top w:val="nil"/>
              <w:left w:val="nil"/>
              <w:bottom w:val="nil"/>
              <w:right w:val="nil"/>
            </w:tcBorders>
            <w:shd w:val="clear" w:color="auto" w:fill="FFFFFF"/>
            <w:tcMar>
              <w:top w:w="0" w:type="dxa"/>
              <w:left w:w="0" w:type="dxa"/>
              <w:bottom w:w="0" w:type="dxa"/>
              <w:right w:w="0" w:type="dxa"/>
            </w:tcMar>
            <w:vAlign w:val="center"/>
          </w:tcPr>
          <w:p w14:paraId="7B2C2284" w14:textId="565D629F"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60</w:t>
            </w:r>
          </w:p>
        </w:tc>
        <w:tc>
          <w:tcPr>
            <w:tcW w:w="709" w:type="dxa"/>
            <w:tcBorders>
              <w:top w:val="nil"/>
              <w:left w:val="nil"/>
              <w:bottom w:val="nil"/>
              <w:right w:val="nil"/>
            </w:tcBorders>
            <w:shd w:val="clear" w:color="auto" w:fill="FFFFFF"/>
            <w:tcMar>
              <w:top w:w="0" w:type="dxa"/>
              <w:left w:w="0" w:type="dxa"/>
              <w:bottom w:w="0" w:type="dxa"/>
              <w:right w:w="0" w:type="dxa"/>
            </w:tcMar>
            <w:vAlign w:val="center"/>
          </w:tcPr>
          <w:p w14:paraId="6735217B" w14:textId="474F5670"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80</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7C524B83" w14:textId="13B3D87D"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66.7</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7C27ED01" w14:textId="053E93CA"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60.9</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22BC287D" w14:textId="58310D5E"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62.5</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276A1742" w14:textId="1F3519AF"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65.0</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2C0AFC45" w14:textId="1B9A71FB"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68.6</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3C7CACDF" w14:textId="78DF8151"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69.6</w:t>
            </w:r>
          </w:p>
        </w:tc>
        <w:tc>
          <w:tcPr>
            <w:tcW w:w="1380" w:type="dxa"/>
            <w:tcBorders>
              <w:top w:val="nil"/>
              <w:left w:val="nil"/>
              <w:bottom w:val="nil"/>
              <w:right w:val="nil"/>
            </w:tcBorders>
            <w:shd w:val="clear" w:color="auto" w:fill="92D050"/>
            <w:tcMar>
              <w:top w:w="0" w:type="dxa"/>
              <w:left w:w="0" w:type="dxa"/>
              <w:bottom w:w="0" w:type="dxa"/>
              <w:right w:w="0" w:type="dxa"/>
            </w:tcMar>
          </w:tcPr>
          <w:p w14:paraId="1600BDA2" w14:textId="11AD1718" w:rsidR="00495804" w:rsidRPr="00A0342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A03424">
              <w:rPr>
                <w:rFonts w:ascii="Arial" w:hAnsi="Arial" w:cs="Arial"/>
                <w:sz w:val="14"/>
                <w:szCs w:val="14"/>
              </w:rPr>
              <w:t>Above Threshold</w:t>
            </w:r>
          </w:p>
        </w:tc>
        <w:tc>
          <w:tcPr>
            <w:tcW w:w="836" w:type="dxa"/>
            <w:tcBorders>
              <w:top w:val="nil"/>
              <w:left w:val="nil"/>
              <w:bottom w:val="nil"/>
              <w:right w:val="nil"/>
            </w:tcBorders>
            <w:shd w:val="clear" w:color="auto" w:fill="FFFFFF"/>
            <w:tcMar>
              <w:top w:w="0" w:type="dxa"/>
              <w:left w:w="0" w:type="dxa"/>
              <w:bottom w:w="0" w:type="dxa"/>
              <w:right w:w="0" w:type="dxa"/>
            </w:tcMar>
            <w:vAlign w:val="center"/>
          </w:tcPr>
          <w:p w14:paraId="3577A26E" w14:textId="246EADA6"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hAnsi="Arial" w:cs="Arial"/>
                <w:color w:val="000000"/>
                <w:sz w:val="14"/>
                <w:szCs w:val="14"/>
              </w:rPr>
              <w:t>21</w:t>
            </w:r>
          </w:p>
        </w:tc>
        <w:tc>
          <w:tcPr>
            <w:tcW w:w="851" w:type="dxa"/>
            <w:tcBorders>
              <w:top w:val="nil"/>
              <w:left w:val="nil"/>
              <w:bottom w:val="nil"/>
              <w:right w:val="nil"/>
            </w:tcBorders>
            <w:shd w:val="clear" w:color="auto" w:fill="FFFFFF"/>
            <w:tcMar>
              <w:top w:w="0" w:type="dxa"/>
              <w:left w:w="0" w:type="dxa"/>
              <w:bottom w:w="0" w:type="dxa"/>
              <w:right w:w="0" w:type="dxa"/>
            </w:tcMar>
            <w:vAlign w:val="center"/>
          </w:tcPr>
          <w:p w14:paraId="499F20BD" w14:textId="3B11A65E"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1</w:t>
            </w:r>
          </w:p>
        </w:tc>
      </w:tr>
      <w:tr w:rsidR="00495804" w14:paraId="6A830410" w14:textId="77777777" w:rsidTr="00C21865">
        <w:trPr>
          <w:jc w:val="center"/>
        </w:trPr>
        <w:tc>
          <w:tcPr>
            <w:tcW w:w="1427" w:type="dxa"/>
            <w:tcBorders>
              <w:top w:val="nil"/>
              <w:left w:val="nil"/>
              <w:bottom w:val="nil"/>
              <w:right w:val="nil"/>
            </w:tcBorders>
            <w:shd w:val="clear" w:color="auto" w:fill="FFFFFF"/>
            <w:tcMar>
              <w:top w:w="0" w:type="dxa"/>
              <w:left w:w="0" w:type="dxa"/>
              <w:bottom w:w="0" w:type="dxa"/>
              <w:right w:w="0" w:type="dxa"/>
            </w:tcMar>
          </w:tcPr>
          <w:p w14:paraId="3FC549CF" w14:textId="58202108" w:rsidR="00495804" w:rsidRPr="00A0342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A03424">
              <w:rPr>
                <w:rFonts w:ascii="Arial" w:hAnsi="Arial" w:cs="Arial"/>
                <w:sz w:val="12"/>
                <w:szCs w:val="12"/>
              </w:rPr>
              <w:t>FLINDERS</w:t>
            </w:r>
          </w:p>
        </w:tc>
        <w:tc>
          <w:tcPr>
            <w:tcW w:w="567" w:type="dxa"/>
            <w:tcBorders>
              <w:top w:val="nil"/>
              <w:left w:val="nil"/>
              <w:bottom w:val="nil"/>
              <w:right w:val="nil"/>
            </w:tcBorders>
            <w:shd w:val="clear" w:color="auto" w:fill="FFFFFF"/>
            <w:tcMar>
              <w:top w:w="0" w:type="dxa"/>
              <w:left w:w="0" w:type="dxa"/>
              <w:bottom w:w="0" w:type="dxa"/>
              <w:right w:w="0" w:type="dxa"/>
            </w:tcMar>
            <w:vAlign w:val="center"/>
          </w:tcPr>
          <w:p w14:paraId="0EAD59DA" w14:textId="56297E22"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40</w:t>
            </w:r>
          </w:p>
        </w:tc>
        <w:tc>
          <w:tcPr>
            <w:tcW w:w="850" w:type="dxa"/>
            <w:tcBorders>
              <w:top w:val="nil"/>
              <w:left w:val="nil"/>
              <w:bottom w:val="nil"/>
              <w:right w:val="nil"/>
            </w:tcBorders>
            <w:shd w:val="clear" w:color="auto" w:fill="FFFFFF"/>
            <w:tcMar>
              <w:top w:w="0" w:type="dxa"/>
              <w:left w:w="0" w:type="dxa"/>
              <w:bottom w:w="0" w:type="dxa"/>
              <w:right w:w="0" w:type="dxa"/>
            </w:tcMar>
            <w:vAlign w:val="center"/>
          </w:tcPr>
          <w:p w14:paraId="2B5CB6E5" w14:textId="656C9DFB"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60</w:t>
            </w:r>
          </w:p>
        </w:tc>
        <w:tc>
          <w:tcPr>
            <w:tcW w:w="709" w:type="dxa"/>
            <w:tcBorders>
              <w:top w:val="nil"/>
              <w:left w:val="nil"/>
              <w:bottom w:val="nil"/>
              <w:right w:val="nil"/>
            </w:tcBorders>
            <w:shd w:val="clear" w:color="auto" w:fill="FFFFFF"/>
            <w:tcMar>
              <w:top w:w="0" w:type="dxa"/>
              <w:left w:w="0" w:type="dxa"/>
              <w:bottom w:w="0" w:type="dxa"/>
              <w:right w:w="0" w:type="dxa"/>
            </w:tcMar>
            <w:vAlign w:val="center"/>
          </w:tcPr>
          <w:p w14:paraId="1EE13999" w14:textId="6FBE9207"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90</w:t>
            </w:r>
          </w:p>
        </w:tc>
        <w:tc>
          <w:tcPr>
            <w:tcW w:w="567" w:type="dxa"/>
            <w:tcBorders>
              <w:top w:val="nil"/>
              <w:left w:val="nil"/>
              <w:bottom w:val="nil"/>
              <w:right w:val="nil"/>
            </w:tcBorders>
            <w:shd w:val="clear" w:color="auto" w:fill="FFFF00"/>
            <w:tcMar>
              <w:top w:w="0" w:type="dxa"/>
              <w:left w:w="0" w:type="dxa"/>
              <w:bottom w:w="0" w:type="dxa"/>
              <w:right w:w="0" w:type="dxa"/>
            </w:tcMar>
            <w:vAlign w:val="center"/>
          </w:tcPr>
          <w:p w14:paraId="416B6438" w14:textId="625984FD"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56.3</w:t>
            </w:r>
          </w:p>
        </w:tc>
        <w:tc>
          <w:tcPr>
            <w:tcW w:w="567" w:type="dxa"/>
            <w:tcBorders>
              <w:top w:val="nil"/>
              <w:left w:val="nil"/>
              <w:bottom w:val="nil"/>
              <w:right w:val="nil"/>
            </w:tcBorders>
            <w:shd w:val="clear" w:color="auto" w:fill="FFFF00"/>
            <w:tcMar>
              <w:top w:w="0" w:type="dxa"/>
              <w:left w:w="0" w:type="dxa"/>
              <w:bottom w:w="0" w:type="dxa"/>
              <w:right w:w="0" w:type="dxa"/>
            </w:tcMar>
            <w:vAlign w:val="center"/>
          </w:tcPr>
          <w:p w14:paraId="4FF096AE" w14:textId="55455900"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55.8</w:t>
            </w:r>
          </w:p>
        </w:tc>
        <w:tc>
          <w:tcPr>
            <w:tcW w:w="567" w:type="dxa"/>
            <w:tcBorders>
              <w:top w:val="nil"/>
              <w:left w:val="nil"/>
              <w:bottom w:val="nil"/>
              <w:right w:val="nil"/>
            </w:tcBorders>
            <w:shd w:val="clear" w:color="auto" w:fill="FFFF00"/>
            <w:tcMar>
              <w:top w:w="0" w:type="dxa"/>
              <w:left w:w="0" w:type="dxa"/>
              <w:bottom w:w="0" w:type="dxa"/>
              <w:right w:w="0" w:type="dxa"/>
            </w:tcMar>
            <w:vAlign w:val="center"/>
          </w:tcPr>
          <w:p w14:paraId="5BD15EFC" w14:textId="65E4EC60"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56.5</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0A35D838" w14:textId="1AF61C38"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66.0</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4EB49AAF" w14:textId="545E6A03"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66.1</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019F0A36" w14:textId="739BB081"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69.9</w:t>
            </w:r>
          </w:p>
        </w:tc>
        <w:tc>
          <w:tcPr>
            <w:tcW w:w="1380" w:type="dxa"/>
            <w:tcBorders>
              <w:top w:val="nil"/>
              <w:left w:val="nil"/>
              <w:bottom w:val="nil"/>
              <w:right w:val="nil"/>
            </w:tcBorders>
            <w:shd w:val="clear" w:color="auto" w:fill="92D050"/>
            <w:tcMar>
              <w:top w:w="0" w:type="dxa"/>
              <w:left w:w="0" w:type="dxa"/>
              <w:bottom w:w="0" w:type="dxa"/>
              <w:right w:w="0" w:type="dxa"/>
            </w:tcMar>
          </w:tcPr>
          <w:p w14:paraId="4D577CE7" w14:textId="72DAEA54" w:rsidR="00495804" w:rsidRPr="00A0342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A03424">
              <w:rPr>
                <w:rFonts w:ascii="Arial" w:hAnsi="Arial" w:cs="Arial"/>
                <w:sz w:val="14"/>
                <w:szCs w:val="14"/>
              </w:rPr>
              <w:t>Above Threshold</w:t>
            </w:r>
          </w:p>
        </w:tc>
        <w:tc>
          <w:tcPr>
            <w:tcW w:w="836" w:type="dxa"/>
            <w:tcBorders>
              <w:top w:val="nil"/>
              <w:left w:val="nil"/>
              <w:bottom w:val="nil"/>
              <w:right w:val="nil"/>
            </w:tcBorders>
            <w:shd w:val="clear" w:color="auto" w:fill="FFFFFF"/>
            <w:tcMar>
              <w:top w:w="0" w:type="dxa"/>
              <w:left w:w="0" w:type="dxa"/>
              <w:bottom w:w="0" w:type="dxa"/>
              <w:right w:w="0" w:type="dxa"/>
            </w:tcMar>
            <w:vAlign w:val="center"/>
          </w:tcPr>
          <w:p w14:paraId="305F881B" w14:textId="352CAC9A"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3</w:t>
            </w:r>
          </w:p>
        </w:tc>
        <w:tc>
          <w:tcPr>
            <w:tcW w:w="851" w:type="dxa"/>
            <w:tcBorders>
              <w:top w:val="nil"/>
              <w:left w:val="nil"/>
              <w:bottom w:val="nil"/>
              <w:right w:val="nil"/>
            </w:tcBorders>
            <w:shd w:val="clear" w:color="auto" w:fill="FFFFFF"/>
            <w:tcMar>
              <w:top w:w="0" w:type="dxa"/>
              <w:left w:w="0" w:type="dxa"/>
              <w:bottom w:w="0" w:type="dxa"/>
              <w:right w:w="0" w:type="dxa"/>
            </w:tcMar>
            <w:vAlign w:val="center"/>
          </w:tcPr>
          <w:p w14:paraId="5BF53F1C" w14:textId="596FACF8"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1 - 125%</w:t>
            </w:r>
          </w:p>
        </w:tc>
      </w:tr>
      <w:tr w:rsidR="00495804" w14:paraId="17A72B5E" w14:textId="77777777" w:rsidTr="00C21865">
        <w:trPr>
          <w:jc w:val="center"/>
        </w:trPr>
        <w:tc>
          <w:tcPr>
            <w:tcW w:w="1427" w:type="dxa"/>
            <w:tcBorders>
              <w:top w:val="nil"/>
              <w:left w:val="nil"/>
              <w:bottom w:val="nil"/>
              <w:right w:val="nil"/>
            </w:tcBorders>
            <w:shd w:val="clear" w:color="auto" w:fill="FFFFFF"/>
            <w:tcMar>
              <w:top w:w="0" w:type="dxa"/>
              <w:left w:w="0" w:type="dxa"/>
              <w:bottom w:w="0" w:type="dxa"/>
              <w:right w:w="0" w:type="dxa"/>
            </w:tcMar>
          </w:tcPr>
          <w:p w14:paraId="3F3FD36C" w14:textId="0F57A268" w:rsidR="00495804" w:rsidRPr="00A0342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A03424">
              <w:rPr>
                <w:rFonts w:ascii="Arial" w:hAnsi="Arial" w:cs="Arial"/>
                <w:sz w:val="12"/>
                <w:szCs w:val="12"/>
              </w:rPr>
              <w:t>KILCUNDA</w:t>
            </w:r>
          </w:p>
        </w:tc>
        <w:tc>
          <w:tcPr>
            <w:tcW w:w="567" w:type="dxa"/>
            <w:tcBorders>
              <w:top w:val="nil"/>
              <w:left w:val="nil"/>
              <w:bottom w:val="nil"/>
              <w:right w:val="nil"/>
            </w:tcBorders>
            <w:shd w:val="clear" w:color="auto" w:fill="FFFFFF"/>
            <w:tcMar>
              <w:top w:w="0" w:type="dxa"/>
              <w:left w:w="0" w:type="dxa"/>
              <w:bottom w:w="0" w:type="dxa"/>
              <w:right w:w="0" w:type="dxa"/>
            </w:tcMar>
            <w:vAlign w:val="center"/>
          </w:tcPr>
          <w:p w14:paraId="0E9EA882" w14:textId="48EFAB0B"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40</w:t>
            </w:r>
          </w:p>
        </w:tc>
        <w:tc>
          <w:tcPr>
            <w:tcW w:w="850" w:type="dxa"/>
            <w:tcBorders>
              <w:top w:val="nil"/>
              <w:left w:val="nil"/>
              <w:bottom w:val="nil"/>
              <w:right w:val="nil"/>
            </w:tcBorders>
            <w:shd w:val="clear" w:color="auto" w:fill="FFFFFF"/>
            <w:tcMar>
              <w:top w:w="0" w:type="dxa"/>
              <w:left w:w="0" w:type="dxa"/>
              <w:bottom w:w="0" w:type="dxa"/>
              <w:right w:w="0" w:type="dxa"/>
            </w:tcMar>
            <w:vAlign w:val="center"/>
          </w:tcPr>
          <w:p w14:paraId="77B347A2" w14:textId="6069ACE7"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60</w:t>
            </w:r>
          </w:p>
        </w:tc>
        <w:tc>
          <w:tcPr>
            <w:tcW w:w="709" w:type="dxa"/>
            <w:tcBorders>
              <w:top w:val="nil"/>
              <w:left w:val="nil"/>
              <w:bottom w:val="nil"/>
              <w:right w:val="nil"/>
            </w:tcBorders>
            <w:shd w:val="clear" w:color="auto" w:fill="FFFFFF"/>
            <w:tcMar>
              <w:top w:w="0" w:type="dxa"/>
              <w:left w:w="0" w:type="dxa"/>
              <w:bottom w:w="0" w:type="dxa"/>
              <w:right w:w="0" w:type="dxa"/>
            </w:tcMar>
            <w:vAlign w:val="center"/>
          </w:tcPr>
          <w:p w14:paraId="33D00BD6" w14:textId="1722104F"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100</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4F62DF7E" w14:textId="57AC1AA6"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60.8</w:t>
            </w:r>
          </w:p>
        </w:tc>
        <w:tc>
          <w:tcPr>
            <w:tcW w:w="567" w:type="dxa"/>
            <w:tcBorders>
              <w:top w:val="nil"/>
              <w:left w:val="nil"/>
              <w:bottom w:val="nil"/>
              <w:right w:val="nil"/>
            </w:tcBorders>
            <w:shd w:val="clear" w:color="auto" w:fill="FFFF00"/>
            <w:tcMar>
              <w:top w:w="0" w:type="dxa"/>
              <w:left w:w="0" w:type="dxa"/>
              <w:bottom w:w="0" w:type="dxa"/>
              <w:right w:w="0" w:type="dxa"/>
            </w:tcMar>
            <w:vAlign w:val="center"/>
          </w:tcPr>
          <w:p w14:paraId="1F24BAF1" w14:textId="5BEF0209"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58.5</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5F24850B" w14:textId="2E3B6DCC"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60.7</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1710DA81" w14:textId="69963FFC"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64.7</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7C9B42BA" w14:textId="560D5334"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66.4</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6B5BDECA" w14:textId="55D49592"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64.9</w:t>
            </w:r>
          </w:p>
        </w:tc>
        <w:tc>
          <w:tcPr>
            <w:tcW w:w="1380" w:type="dxa"/>
            <w:tcBorders>
              <w:top w:val="nil"/>
              <w:left w:val="nil"/>
              <w:bottom w:val="nil"/>
              <w:right w:val="nil"/>
            </w:tcBorders>
            <w:shd w:val="clear" w:color="auto" w:fill="92D050"/>
            <w:tcMar>
              <w:top w:w="0" w:type="dxa"/>
              <w:left w:w="0" w:type="dxa"/>
              <w:bottom w:w="0" w:type="dxa"/>
              <w:right w:w="0" w:type="dxa"/>
            </w:tcMar>
          </w:tcPr>
          <w:p w14:paraId="3E7EEA16" w14:textId="742DD205" w:rsidR="00495804" w:rsidRPr="00A0342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A03424">
              <w:rPr>
                <w:rFonts w:ascii="Arial" w:hAnsi="Arial" w:cs="Arial"/>
                <w:sz w:val="14"/>
                <w:szCs w:val="14"/>
              </w:rPr>
              <w:t>Above Threshold</w:t>
            </w:r>
          </w:p>
        </w:tc>
        <w:tc>
          <w:tcPr>
            <w:tcW w:w="836" w:type="dxa"/>
            <w:tcBorders>
              <w:top w:val="nil"/>
              <w:left w:val="nil"/>
              <w:bottom w:val="nil"/>
              <w:right w:val="nil"/>
            </w:tcBorders>
            <w:shd w:val="clear" w:color="auto" w:fill="FFFFFF"/>
            <w:tcMar>
              <w:top w:w="0" w:type="dxa"/>
              <w:left w:w="0" w:type="dxa"/>
              <w:bottom w:w="0" w:type="dxa"/>
              <w:right w:w="0" w:type="dxa"/>
            </w:tcMar>
            <w:vAlign w:val="center"/>
          </w:tcPr>
          <w:p w14:paraId="25E72DD4" w14:textId="6954F007"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4</w:t>
            </w:r>
          </w:p>
        </w:tc>
        <w:tc>
          <w:tcPr>
            <w:tcW w:w="851" w:type="dxa"/>
            <w:tcBorders>
              <w:top w:val="nil"/>
              <w:left w:val="nil"/>
              <w:bottom w:val="nil"/>
              <w:right w:val="nil"/>
            </w:tcBorders>
            <w:shd w:val="clear" w:color="auto" w:fill="FFFFFF"/>
            <w:tcMar>
              <w:top w:w="0" w:type="dxa"/>
              <w:left w:w="0" w:type="dxa"/>
              <w:bottom w:w="0" w:type="dxa"/>
              <w:right w:w="0" w:type="dxa"/>
            </w:tcMar>
            <w:vAlign w:val="center"/>
          </w:tcPr>
          <w:p w14:paraId="30D5DDB5" w14:textId="791274ED"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1</w:t>
            </w:r>
          </w:p>
        </w:tc>
      </w:tr>
      <w:tr w:rsidR="00495804" w14:paraId="2C52CA8B" w14:textId="77777777" w:rsidTr="00C21865">
        <w:trPr>
          <w:jc w:val="center"/>
        </w:trPr>
        <w:tc>
          <w:tcPr>
            <w:tcW w:w="1427" w:type="dxa"/>
            <w:tcBorders>
              <w:top w:val="nil"/>
              <w:left w:val="nil"/>
              <w:bottom w:val="nil"/>
              <w:right w:val="nil"/>
            </w:tcBorders>
            <w:shd w:val="clear" w:color="auto" w:fill="FFFFFF"/>
            <w:tcMar>
              <w:top w:w="0" w:type="dxa"/>
              <w:left w:w="0" w:type="dxa"/>
              <w:bottom w:w="0" w:type="dxa"/>
              <w:right w:w="0" w:type="dxa"/>
            </w:tcMar>
          </w:tcPr>
          <w:p w14:paraId="03377AFC" w14:textId="41A74327" w:rsidR="00495804" w:rsidRPr="00A0342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A03424">
              <w:rPr>
                <w:rFonts w:ascii="Arial" w:hAnsi="Arial" w:cs="Arial"/>
                <w:sz w:val="12"/>
                <w:szCs w:val="12"/>
              </w:rPr>
              <w:t>PHILLIP ISLAND</w:t>
            </w:r>
          </w:p>
        </w:tc>
        <w:tc>
          <w:tcPr>
            <w:tcW w:w="567" w:type="dxa"/>
            <w:tcBorders>
              <w:top w:val="nil"/>
              <w:left w:val="nil"/>
              <w:bottom w:val="nil"/>
              <w:right w:val="nil"/>
            </w:tcBorders>
            <w:shd w:val="clear" w:color="auto" w:fill="FFFFFF"/>
            <w:tcMar>
              <w:top w:w="0" w:type="dxa"/>
              <w:left w:w="0" w:type="dxa"/>
              <w:bottom w:w="0" w:type="dxa"/>
              <w:right w:w="0" w:type="dxa"/>
            </w:tcMar>
            <w:vAlign w:val="center"/>
          </w:tcPr>
          <w:p w14:paraId="0275D41E" w14:textId="200FCFE0"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40</w:t>
            </w:r>
          </w:p>
        </w:tc>
        <w:tc>
          <w:tcPr>
            <w:tcW w:w="850" w:type="dxa"/>
            <w:tcBorders>
              <w:top w:val="nil"/>
              <w:left w:val="nil"/>
              <w:bottom w:val="nil"/>
              <w:right w:val="nil"/>
            </w:tcBorders>
            <w:shd w:val="clear" w:color="auto" w:fill="FFFFFF"/>
            <w:tcMar>
              <w:top w:w="0" w:type="dxa"/>
              <w:left w:w="0" w:type="dxa"/>
              <w:bottom w:w="0" w:type="dxa"/>
              <w:right w:w="0" w:type="dxa"/>
            </w:tcMar>
            <w:vAlign w:val="center"/>
          </w:tcPr>
          <w:p w14:paraId="7D5729B6" w14:textId="277AFC61"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60</w:t>
            </w:r>
          </w:p>
        </w:tc>
        <w:tc>
          <w:tcPr>
            <w:tcW w:w="709" w:type="dxa"/>
            <w:tcBorders>
              <w:top w:val="nil"/>
              <w:left w:val="nil"/>
              <w:bottom w:val="nil"/>
              <w:right w:val="nil"/>
            </w:tcBorders>
            <w:shd w:val="clear" w:color="auto" w:fill="FFFFFF"/>
            <w:tcMar>
              <w:top w:w="0" w:type="dxa"/>
              <w:left w:w="0" w:type="dxa"/>
              <w:bottom w:w="0" w:type="dxa"/>
              <w:right w:w="0" w:type="dxa"/>
            </w:tcMar>
            <w:vAlign w:val="center"/>
          </w:tcPr>
          <w:p w14:paraId="13E81F67" w14:textId="51DE0021"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90</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4B09812B" w14:textId="44693ACA"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60.4</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46AD24CA" w14:textId="0ABF00EB"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61.1</w:t>
            </w:r>
          </w:p>
        </w:tc>
        <w:tc>
          <w:tcPr>
            <w:tcW w:w="567" w:type="dxa"/>
            <w:tcBorders>
              <w:top w:val="nil"/>
              <w:left w:val="nil"/>
              <w:bottom w:val="nil"/>
              <w:right w:val="nil"/>
            </w:tcBorders>
            <w:shd w:val="clear" w:color="auto" w:fill="FFFF00"/>
            <w:tcMar>
              <w:top w:w="0" w:type="dxa"/>
              <w:left w:w="0" w:type="dxa"/>
              <w:bottom w:w="0" w:type="dxa"/>
              <w:right w:w="0" w:type="dxa"/>
            </w:tcMar>
            <w:vAlign w:val="center"/>
          </w:tcPr>
          <w:p w14:paraId="7B692EDF" w14:textId="0E61B4D0"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58.6</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0D382AE2" w14:textId="37A6D1CE"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62.0</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3ED1DBF8" w14:textId="3C94DE14"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69.3</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13F097F5" w14:textId="62DCD6FB"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72.2</w:t>
            </w:r>
          </w:p>
        </w:tc>
        <w:tc>
          <w:tcPr>
            <w:tcW w:w="1380" w:type="dxa"/>
            <w:tcBorders>
              <w:top w:val="nil"/>
              <w:left w:val="nil"/>
              <w:bottom w:val="nil"/>
              <w:right w:val="nil"/>
            </w:tcBorders>
            <w:shd w:val="clear" w:color="auto" w:fill="92D050"/>
            <w:tcMar>
              <w:top w:w="0" w:type="dxa"/>
              <w:left w:w="0" w:type="dxa"/>
              <w:bottom w:w="0" w:type="dxa"/>
              <w:right w:w="0" w:type="dxa"/>
            </w:tcMar>
          </w:tcPr>
          <w:p w14:paraId="100243D6" w14:textId="4052D1D1" w:rsidR="00495804" w:rsidRPr="00A0342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A03424">
              <w:rPr>
                <w:rFonts w:ascii="Arial" w:hAnsi="Arial" w:cs="Arial"/>
                <w:sz w:val="14"/>
                <w:szCs w:val="14"/>
              </w:rPr>
              <w:t>Above Threshold</w:t>
            </w:r>
          </w:p>
        </w:tc>
        <w:tc>
          <w:tcPr>
            <w:tcW w:w="836" w:type="dxa"/>
            <w:tcBorders>
              <w:top w:val="nil"/>
              <w:left w:val="nil"/>
              <w:bottom w:val="nil"/>
              <w:right w:val="nil"/>
            </w:tcBorders>
            <w:shd w:val="clear" w:color="auto" w:fill="FFFFFF"/>
            <w:tcMar>
              <w:top w:w="0" w:type="dxa"/>
              <w:left w:w="0" w:type="dxa"/>
              <w:bottom w:w="0" w:type="dxa"/>
              <w:right w:w="0" w:type="dxa"/>
            </w:tcMar>
            <w:vAlign w:val="center"/>
          </w:tcPr>
          <w:p w14:paraId="41F11433" w14:textId="66FC0B8D"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3</w:t>
            </w:r>
          </w:p>
        </w:tc>
        <w:tc>
          <w:tcPr>
            <w:tcW w:w="851" w:type="dxa"/>
            <w:tcBorders>
              <w:top w:val="nil"/>
              <w:left w:val="nil"/>
              <w:bottom w:val="nil"/>
              <w:right w:val="nil"/>
            </w:tcBorders>
            <w:shd w:val="clear" w:color="auto" w:fill="FFFFFF"/>
            <w:tcMar>
              <w:top w:w="0" w:type="dxa"/>
              <w:left w:w="0" w:type="dxa"/>
              <w:bottom w:w="0" w:type="dxa"/>
              <w:right w:w="0" w:type="dxa"/>
            </w:tcMar>
            <w:vAlign w:val="center"/>
          </w:tcPr>
          <w:p w14:paraId="58A0CFDA" w14:textId="2825988B"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1 - 125%</w:t>
            </w:r>
          </w:p>
        </w:tc>
      </w:tr>
      <w:tr w:rsidR="00495804" w14:paraId="46B1F0B1" w14:textId="77777777" w:rsidTr="00C21865">
        <w:trPr>
          <w:jc w:val="center"/>
        </w:trPr>
        <w:tc>
          <w:tcPr>
            <w:tcW w:w="1427" w:type="dxa"/>
            <w:tcBorders>
              <w:top w:val="nil"/>
              <w:left w:val="nil"/>
              <w:bottom w:val="nil"/>
              <w:right w:val="nil"/>
            </w:tcBorders>
            <w:shd w:val="clear" w:color="auto" w:fill="FFFFFF"/>
            <w:tcMar>
              <w:top w:w="0" w:type="dxa"/>
              <w:left w:w="0" w:type="dxa"/>
              <w:bottom w:w="0" w:type="dxa"/>
              <w:right w:w="0" w:type="dxa"/>
            </w:tcMar>
          </w:tcPr>
          <w:p w14:paraId="7F3102FF" w14:textId="3B36F89C" w:rsidR="00495804" w:rsidRPr="00A0342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A03424">
              <w:rPr>
                <w:rFonts w:ascii="Arial" w:hAnsi="Arial" w:cs="Arial"/>
                <w:sz w:val="12"/>
                <w:szCs w:val="12"/>
              </w:rPr>
              <w:t>PROM EASTSIDE</w:t>
            </w:r>
          </w:p>
        </w:tc>
        <w:tc>
          <w:tcPr>
            <w:tcW w:w="567" w:type="dxa"/>
            <w:tcBorders>
              <w:top w:val="nil"/>
              <w:left w:val="nil"/>
              <w:bottom w:val="nil"/>
              <w:right w:val="nil"/>
            </w:tcBorders>
            <w:shd w:val="clear" w:color="auto" w:fill="FFFFFF"/>
            <w:tcMar>
              <w:top w:w="0" w:type="dxa"/>
              <w:left w:w="0" w:type="dxa"/>
              <w:bottom w:w="0" w:type="dxa"/>
              <w:right w:w="0" w:type="dxa"/>
            </w:tcMar>
            <w:vAlign w:val="center"/>
          </w:tcPr>
          <w:p w14:paraId="164CDBF0" w14:textId="51574BD8"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40</w:t>
            </w:r>
          </w:p>
        </w:tc>
        <w:tc>
          <w:tcPr>
            <w:tcW w:w="850" w:type="dxa"/>
            <w:tcBorders>
              <w:top w:val="nil"/>
              <w:left w:val="nil"/>
              <w:bottom w:val="nil"/>
              <w:right w:val="nil"/>
            </w:tcBorders>
            <w:shd w:val="clear" w:color="auto" w:fill="FFFFFF"/>
            <w:tcMar>
              <w:top w:w="0" w:type="dxa"/>
              <w:left w:w="0" w:type="dxa"/>
              <w:bottom w:w="0" w:type="dxa"/>
              <w:right w:w="0" w:type="dxa"/>
            </w:tcMar>
            <w:vAlign w:val="center"/>
          </w:tcPr>
          <w:p w14:paraId="1D9E3DDD" w14:textId="7939FB47"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60</w:t>
            </w:r>
          </w:p>
        </w:tc>
        <w:tc>
          <w:tcPr>
            <w:tcW w:w="709" w:type="dxa"/>
            <w:tcBorders>
              <w:top w:val="nil"/>
              <w:left w:val="nil"/>
              <w:bottom w:val="nil"/>
              <w:right w:val="nil"/>
            </w:tcBorders>
            <w:shd w:val="clear" w:color="auto" w:fill="FFFFFF"/>
            <w:tcMar>
              <w:top w:w="0" w:type="dxa"/>
              <w:left w:w="0" w:type="dxa"/>
              <w:bottom w:w="0" w:type="dxa"/>
              <w:right w:w="0" w:type="dxa"/>
            </w:tcMar>
            <w:vAlign w:val="center"/>
          </w:tcPr>
          <w:p w14:paraId="5AB7F930" w14:textId="35046714"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70</w:t>
            </w:r>
          </w:p>
        </w:tc>
        <w:tc>
          <w:tcPr>
            <w:tcW w:w="567" w:type="dxa"/>
            <w:tcBorders>
              <w:top w:val="nil"/>
              <w:left w:val="nil"/>
              <w:bottom w:val="nil"/>
              <w:right w:val="nil"/>
            </w:tcBorders>
            <w:shd w:val="clear" w:color="auto" w:fill="FFFF00"/>
            <w:tcMar>
              <w:top w:w="0" w:type="dxa"/>
              <w:left w:w="0" w:type="dxa"/>
              <w:bottom w:w="0" w:type="dxa"/>
              <w:right w:w="0" w:type="dxa"/>
            </w:tcMar>
            <w:vAlign w:val="center"/>
          </w:tcPr>
          <w:p w14:paraId="5EDF7F3A" w14:textId="7FD6DC06"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52.0</w:t>
            </w:r>
          </w:p>
        </w:tc>
        <w:tc>
          <w:tcPr>
            <w:tcW w:w="567" w:type="dxa"/>
            <w:tcBorders>
              <w:top w:val="nil"/>
              <w:left w:val="nil"/>
              <w:bottom w:val="nil"/>
              <w:right w:val="nil"/>
            </w:tcBorders>
            <w:shd w:val="clear" w:color="auto" w:fill="FFFF00"/>
            <w:tcMar>
              <w:top w:w="0" w:type="dxa"/>
              <w:left w:w="0" w:type="dxa"/>
              <w:bottom w:w="0" w:type="dxa"/>
              <w:right w:w="0" w:type="dxa"/>
            </w:tcMar>
            <w:vAlign w:val="center"/>
          </w:tcPr>
          <w:p w14:paraId="3F20B747" w14:textId="2550956B"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47.7</w:t>
            </w:r>
          </w:p>
        </w:tc>
        <w:tc>
          <w:tcPr>
            <w:tcW w:w="567" w:type="dxa"/>
            <w:tcBorders>
              <w:top w:val="nil"/>
              <w:left w:val="nil"/>
              <w:bottom w:val="nil"/>
              <w:right w:val="nil"/>
            </w:tcBorders>
            <w:shd w:val="clear" w:color="auto" w:fill="FFFF00"/>
            <w:tcMar>
              <w:top w:w="0" w:type="dxa"/>
              <w:left w:w="0" w:type="dxa"/>
              <w:bottom w:w="0" w:type="dxa"/>
              <w:right w:w="0" w:type="dxa"/>
            </w:tcMar>
            <w:vAlign w:val="center"/>
          </w:tcPr>
          <w:p w14:paraId="6523E526" w14:textId="3286B9A7"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49.5</w:t>
            </w:r>
          </w:p>
        </w:tc>
        <w:tc>
          <w:tcPr>
            <w:tcW w:w="567" w:type="dxa"/>
            <w:tcBorders>
              <w:top w:val="nil"/>
              <w:left w:val="nil"/>
              <w:bottom w:val="nil"/>
              <w:right w:val="nil"/>
            </w:tcBorders>
            <w:shd w:val="clear" w:color="auto" w:fill="FFFF00"/>
            <w:tcMar>
              <w:top w:w="0" w:type="dxa"/>
              <w:left w:w="0" w:type="dxa"/>
              <w:bottom w:w="0" w:type="dxa"/>
              <w:right w:w="0" w:type="dxa"/>
            </w:tcMar>
            <w:vAlign w:val="center"/>
          </w:tcPr>
          <w:p w14:paraId="2D1AD226" w14:textId="40902D1F"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51.0</w:t>
            </w:r>
          </w:p>
        </w:tc>
        <w:tc>
          <w:tcPr>
            <w:tcW w:w="567" w:type="dxa"/>
            <w:tcBorders>
              <w:top w:val="nil"/>
              <w:left w:val="nil"/>
              <w:bottom w:val="nil"/>
              <w:right w:val="nil"/>
            </w:tcBorders>
            <w:shd w:val="clear" w:color="auto" w:fill="FFFF00"/>
            <w:tcMar>
              <w:top w:w="0" w:type="dxa"/>
              <w:left w:w="0" w:type="dxa"/>
              <w:bottom w:w="0" w:type="dxa"/>
              <w:right w:w="0" w:type="dxa"/>
            </w:tcMar>
            <w:vAlign w:val="center"/>
          </w:tcPr>
          <w:p w14:paraId="78FCD27E" w14:textId="40AC185B"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53.0</w:t>
            </w:r>
          </w:p>
        </w:tc>
        <w:tc>
          <w:tcPr>
            <w:tcW w:w="567" w:type="dxa"/>
            <w:tcBorders>
              <w:top w:val="nil"/>
              <w:left w:val="nil"/>
              <w:bottom w:val="nil"/>
              <w:right w:val="nil"/>
            </w:tcBorders>
            <w:shd w:val="clear" w:color="auto" w:fill="FFFF00"/>
            <w:tcMar>
              <w:top w:w="0" w:type="dxa"/>
              <w:left w:w="0" w:type="dxa"/>
              <w:bottom w:w="0" w:type="dxa"/>
              <w:right w:w="0" w:type="dxa"/>
            </w:tcMar>
            <w:vAlign w:val="center"/>
          </w:tcPr>
          <w:p w14:paraId="1624320C" w14:textId="1F8BA78A"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52.9</w:t>
            </w:r>
          </w:p>
        </w:tc>
        <w:tc>
          <w:tcPr>
            <w:tcW w:w="1380" w:type="dxa"/>
            <w:tcBorders>
              <w:top w:val="nil"/>
              <w:left w:val="nil"/>
              <w:bottom w:val="nil"/>
              <w:right w:val="nil"/>
            </w:tcBorders>
            <w:shd w:val="clear" w:color="auto" w:fill="FFFF00"/>
            <w:tcMar>
              <w:top w:w="0" w:type="dxa"/>
              <w:left w:w="0" w:type="dxa"/>
              <w:bottom w:w="0" w:type="dxa"/>
              <w:right w:w="0" w:type="dxa"/>
            </w:tcMar>
          </w:tcPr>
          <w:p w14:paraId="05A0BD05" w14:textId="48967AAC" w:rsidR="00495804" w:rsidRPr="00A0342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A03424">
              <w:rPr>
                <w:rFonts w:ascii="Arial" w:hAnsi="Arial" w:cs="Arial"/>
                <w:sz w:val="14"/>
                <w:szCs w:val="14"/>
              </w:rPr>
              <w:t>Limit to Threshold</w:t>
            </w:r>
          </w:p>
        </w:tc>
        <w:tc>
          <w:tcPr>
            <w:tcW w:w="836" w:type="dxa"/>
            <w:tcBorders>
              <w:top w:val="nil"/>
              <w:left w:val="nil"/>
              <w:bottom w:val="nil"/>
              <w:right w:val="nil"/>
            </w:tcBorders>
            <w:shd w:val="clear" w:color="auto" w:fill="FFFFFF"/>
            <w:tcMar>
              <w:top w:w="0" w:type="dxa"/>
              <w:left w:w="0" w:type="dxa"/>
              <w:bottom w:w="0" w:type="dxa"/>
              <w:right w:w="0" w:type="dxa"/>
            </w:tcMar>
            <w:vAlign w:val="center"/>
          </w:tcPr>
          <w:p w14:paraId="02802750" w14:textId="246D8859"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14</w:t>
            </w:r>
          </w:p>
        </w:tc>
        <w:tc>
          <w:tcPr>
            <w:tcW w:w="851" w:type="dxa"/>
            <w:tcBorders>
              <w:top w:val="nil"/>
              <w:left w:val="nil"/>
              <w:bottom w:val="nil"/>
              <w:right w:val="nil"/>
            </w:tcBorders>
            <w:shd w:val="clear" w:color="auto" w:fill="FFFFFF"/>
            <w:tcMar>
              <w:top w:w="0" w:type="dxa"/>
              <w:left w:w="0" w:type="dxa"/>
              <w:bottom w:w="0" w:type="dxa"/>
              <w:right w:w="0" w:type="dxa"/>
            </w:tcMar>
            <w:vAlign w:val="center"/>
          </w:tcPr>
          <w:p w14:paraId="0970C7E9" w14:textId="433EC2C4"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2</w:t>
            </w:r>
          </w:p>
        </w:tc>
      </w:tr>
      <w:tr w:rsidR="00495804" w14:paraId="68DA17D5" w14:textId="77777777" w:rsidTr="00C21865">
        <w:trPr>
          <w:jc w:val="center"/>
        </w:trPr>
        <w:tc>
          <w:tcPr>
            <w:tcW w:w="1427" w:type="dxa"/>
            <w:tcBorders>
              <w:top w:val="nil"/>
              <w:left w:val="nil"/>
              <w:bottom w:val="nil"/>
              <w:right w:val="nil"/>
            </w:tcBorders>
            <w:shd w:val="clear" w:color="auto" w:fill="FFFFFF"/>
            <w:tcMar>
              <w:top w:w="0" w:type="dxa"/>
              <w:left w:w="0" w:type="dxa"/>
              <w:bottom w:w="0" w:type="dxa"/>
              <w:right w:w="0" w:type="dxa"/>
            </w:tcMar>
          </w:tcPr>
          <w:p w14:paraId="336B85DE" w14:textId="70E19762" w:rsidR="00495804" w:rsidRPr="00A0342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A03424">
              <w:rPr>
                <w:rFonts w:ascii="Arial" w:hAnsi="Arial" w:cs="Arial"/>
                <w:sz w:val="12"/>
                <w:szCs w:val="12"/>
              </w:rPr>
              <w:t>PROM WESTSIDE</w:t>
            </w:r>
          </w:p>
        </w:tc>
        <w:tc>
          <w:tcPr>
            <w:tcW w:w="567" w:type="dxa"/>
            <w:tcBorders>
              <w:top w:val="nil"/>
              <w:left w:val="nil"/>
              <w:bottom w:val="nil"/>
              <w:right w:val="nil"/>
            </w:tcBorders>
            <w:shd w:val="clear" w:color="auto" w:fill="FFFFFF"/>
            <w:tcMar>
              <w:top w:w="0" w:type="dxa"/>
              <w:left w:w="0" w:type="dxa"/>
              <w:bottom w:w="0" w:type="dxa"/>
              <w:right w:w="0" w:type="dxa"/>
            </w:tcMar>
            <w:vAlign w:val="center"/>
          </w:tcPr>
          <w:p w14:paraId="3EFB5C75" w14:textId="641CBD03"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40</w:t>
            </w:r>
          </w:p>
        </w:tc>
        <w:tc>
          <w:tcPr>
            <w:tcW w:w="850" w:type="dxa"/>
            <w:tcBorders>
              <w:top w:val="nil"/>
              <w:left w:val="nil"/>
              <w:bottom w:val="nil"/>
              <w:right w:val="nil"/>
            </w:tcBorders>
            <w:shd w:val="clear" w:color="auto" w:fill="FFFFFF"/>
            <w:tcMar>
              <w:top w:w="0" w:type="dxa"/>
              <w:left w:w="0" w:type="dxa"/>
              <w:bottom w:w="0" w:type="dxa"/>
              <w:right w:w="0" w:type="dxa"/>
            </w:tcMar>
            <w:vAlign w:val="center"/>
          </w:tcPr>
          <w:p w14:paraId="4C16C0EE" w14:textId="40D055D1"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60</w:t>
            </w:r>
          </w:p>
        </w:tc>
        <w:tc>
          <w:tcPr>
            <w:tcW w:w="709" w:type="dxa"/>
            <w:tcBorders>
              <w:top w:val="nil"/>
              <w:left w:val="nil"/>
              <w:bottom w:val="nil"/>
              <w:right w:val="nil"/>
            </w:tcBorders>
            <w:shd w:val="clear" w:color="auto" w:fill="FFFFFF"/>
            <w:tcMar>
              <w:top w:w="0" w:type="dxa"/>
              <w:left w:w="0" w:type="dxa"/>
              <w:bottom w:w="0" w:type="dxa"/>
              <w:right w:w="0" w:type="dxa"/>
            </w:tcMar>
            <w:vAlign w:val="center"/>
          </w:tcPr>
          <w:p w14:paraId="1FF44ECB" w14:textId="27D436E4"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90</w:t>
            </w:r>
          </w:p>
        </w:tc>
        <w:tc>
          <w:tcPr>
            <w:tcW w:w="567" w:type="dxa"/>
            <w:tcBorders>
              <w:top w:val="nil"/>
              <w:left w:val="nil"/>
              <w:bottom w:val="nil"/>
              <w:right w:val="nil"/>
            </w:tcBorders>
            <w:shd w:val="clear" w:color="auto" w:fill="FFFF00"/>
            <w:tcMar>
              <w:top w:w="0" w:type="dxa"/>
              <w:left w:w="0" w:type="dxa"/>
              <w:bottom w:w="0" w:type="dxa"/>
              <w:right w:w="0" w:type="dxa"/>
            </w:tcMar>
            <w:vAlign w:val="center"/>
          </w:tcPr>
          <w:p w14:paraId="7A7F7D89" w14:textId="2FBCDDE6"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59.5</w:t>
            </w:r>
          </w:p>
        </w:tc>
        <w:tc>
          <w:tcPr>
            <w:tcW w:w="567" w:type="dxa"/>
            <w:tcBorders>
              <w:top w:val="nil"/>
              <w:left w:val="nil"/>
              <w:bottom w:val="nil"/>
              <w:right w:val="nil"/>
            </w:tcBorders>
            <w:shd w:val="clear" w:color="auto" w:fill="FFFF00"/>
            <w:tcMar>
              <w:top w:w="0" w:type="dxa"/>
              <w:left w:w="0" w:type="dxa"/>
              <w:bottom w:w="0" w:type="dxa"/>
              <w:right w:w="0" w:type="dxa"/>
            </w:tcMar>
            <w:vAlign w:val="center"/>
          </w:tcPr>
          <w:p w14:paraId="07FFEF07" w14:textId="4EED248D"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53.5</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00819592" w14:textId="6C378A69"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66.7</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0653B418" w14:textId="23357904"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61.8</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5430BD15" w14:textId="536981E9"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67.3</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6CD2B516" w14:textId="34543BD5"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66.3</w:t>
            </w:r>
          </w:p>
        </w:tc>
        <w:tc>
          <w:tcPr>
            <w:tcW w:w="1380" w:type="dxa"/>
            <w:tcBorders>
              <w:top w:val="nil"/>
              <w:left w:val="nil"/>
              <w:bottom w:val="nil"/>
              <w:right w:val="nil"/>
            </w:tcBorders>
            <w:shd w:val="clear" w:color="auto" w:fill="92D050"/>
            <w:tcMar>
              <w:top w:w="0" w:type="dxa"/>
              <w:left w:w="0" w:type="dxa"/>
              <w:bottom w:w="0" w:type="dxa"/>
              <w:right w:w="0" w:type="dxa"/>
            </w:tcMar>
          </w:tcPr>
          <w:p w14:paraId="6A7A0181" w14:textId="3354B038" w:rsidR="00495804" w:rsidRPr="00A0342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BA47DB">
              <w:rPr>
                <w:rFonts w:ascii="Arial" w:hAnsi="Arial" w:cs="Arial"/>
                <w:sz w:val="14"/>
                <w:szCs w:val="14"/>
              </w:rPr>
              <w:t>Above Threshold</w:t>
            </w:r>
          </w:p>
        </w:tc>
        <w:tc>
          <w:tcPr>
            <w:tcW w:w="836" w:type="dxa"/>
            <w:tcBorders>
              <w:top w:val="nil"/>
              <w:left w:val="nil"/>
              <w:bottom w:val="nil"/>
              <w:right w:val="nil"/>
            </w:tcBorders>
            <w:shd w:val="clear" w:color="auto" w:fill="FFFFFF"/>
            <w:tcMar>
              <w:top w:w="0" w:type="dxa"/>
              <w:left w:w="0" w:type="dxa"/>
              <w:bottom w:w="0" w:type="dxa"/>
              <w:right w:w="0" w:type="dxa"/>
            </w:tcMar>
            <w:vAlign w:val="center"/>
          </w:tcPr>
          <w:p w14:paraId="65989D15" w14:textId="1A6A608E"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4</w:t>
            </w:r>
          </w:p>
        </w:tc>
        <w:tc>
          <w:tcPr>
            <w:tcW w:w="851" w:type="dxa"/>
            <w:tcBorders>
              <w:top w:val="nil"/>
              <w:left w:val="nil"/>
              <w:bottom w:val="nil"/>
              <w:right w:val="nil"/>
            </w:tcBorders>
            <w:shd w:val="clear" w:color="auto" w:fill="FFFFFF"/>
            <w:tcMar>
              <w:top w:w="0" w:type="dxa"/>
              <w:left w:w="0" w:type="dxa"/>
              <w:bottom w:w="0" w:type="dxa"/>
              <w:right w:w="0" w:type="dxa"/>
            </w:tcMar>
            <w:vAlign w:val="center"/>
          </w:tcPr>
          <w:p w14:paraId="2ACF2C0F" w14:textId="68D23DB0"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1</w:t>
            </w:r>
          </w:p>
        </w:tc>
      </w:tr>
      <w:tr w:rsidR="00495804" w14:paraId="71BFEB21" w14:textId="77777777" w:rsidTr="00C21865">
        <w:trPr>
          <w:jc w:val="center"/>
        </w:trPr>
        <w:tc>
          <w:tcPr>
            <w:tcW w:w="1427" w:type="dxa"/>
            <w:tcBorders>
              <w:top w:val="nil"/>
              <w:left w:val="nil"/>
              <w:bottom w:val="nil"/>
              <w:right w:val="nil"/>
            </w:tcBorders>
            <w:shd w:val="clear" w:color="auto" w:fill="FFFFFF"/>
            <w:tcMar>
              <w:top w:w="0" w:type="dxa"/>
              <w:left w:w="0" w:type="dxa"/>
              <w:bottom w:w="0" w:type="dxa"/>
              <w:right w:w="0" w:type="dxa"/>
            </w:tcMar>
          </w:tcPr>
          <w:p w14:paraId="11D14529" w14:textId="6502E746" w:rsidR="00495804" w:rsidRPr="00A0342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A03424">
              <w:rPr>
                <w:rFonts w:ascii="Arial" w:hAnsi="Arial" w:cs="Arial"/>
                <w:sz w:val="12"/>
                <w:szCs w:val="12"/>
              </w:rPr>
              <w:t>SHIPWRECK COAST</w:t>
            </w:r>
          </w:p>
        </w:tc>
        <w:tc>
          <w:tcPr>
            <w:tcW w:w="567" w:type="dxa"/>
            <w:tcBorders>
              <w:top w:val="nil"/>
              <w:left w:val="nil"/>
              <w:bottom w:val="nil"/>
              <w:right w:val="nil"/>
            </w:tcBorders>
            <w:shd w:val="clear" w:color="auto" w:fill="FFFFFF"/>
            <w:tcMar>
              <w:top w:w="0" w:type="dxa"/>
              <w:left w:w="0" w:type="dxa"/>
              <w:bottom w:w="0" w:type="dxa"/>
              <w:right w:w="0" w:type="dxa"/>
            </w:tcMar>
            <w:vAlign w:val="center"/>
          </w:tcPr>
          <w:p w14:paraId="2456F643" w14:textId="67095F64"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50</w:t>
            </w:r>
          </w:p>
        </w:tc>
        <w:tc>
          <w:tcPr>
            <w:tcW w:w="850" w:type="dxa"/>
            <w:tcBorders>
              <w:top w:val="nil"/>
              <w:left w:val="nil"/>
              <w:bottom w:val="nil"/>
              <w:right w:val="nil"/>
            </w:tcBorders>
            <w:shd w:val="clear" w:color="auto" w:fill="FFFFFF"/>
            <w:tcMar>
              <w:top w:w="0" w:type="dxa"/>
              <w:left w:w="0" w:type="dxa"/>
              <w:bottom w:w="0" w:type="dxa"/>
              <w:right w:w="0" w:type="dxa"/>
            </w:tcMar>
            <w:vAlign w:val="center"/>
          </w:tcPr>
          <w:p w14:paraId="37321CF1" w14:textId="48A37618"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80</w:t>
            </w:r>
          </w:p>
        </w:tc>
        <w:tc>
          <w:tcPr>
            <w:tcW w:w="709" w:type="dxa"/>
            <w:tcBorders>
              <w:top w:val="nil"/>
              <w:left w:val="nil"/>
              <w:bottom w:val="nil"/>
              <w:right w:val="nil"/>
            </w:tcBorders>
            <w:shd w:val="clear" w:color="auto" w:fill="FFFFFF"/>
            <w:tcMar>
              <w:top w:w="0" w:type="dxa"/>
              <w:left w:w="0" w:type="dxa"/>
              <w:bottom w:w="0" w:type="dxa"/>
              <w:right w:w="0" w:type="dxa"/>
            </w:tcMar>
            <w:vAlign w:val="center"/>
          </w:tcPr>
          <w:p w14:paraId="188D10A9" w14:textId="226EC4C3"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130</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76C4E554" w14:textId="3DD3D76D"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97.2</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7A9EC1B8" w14:textId="234D8189"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90.4</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377AB9F0" w14:textId="15A5BEAF"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83.6</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7A3BFD08" w14:textId="1290F5C0"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96.0</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6A671BBB" w14:textId="5E3086BD"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96.6</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109FD0A5" w14:textId="57566A27"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97.9</w:t>
            </w:r>
          </w:p>
        </w:tc>
        <w:tc>
          <w:tcPr>
            <w:tcW w:w="1380" w:type="dxa"/>
            <w:tcBorders>
              <w:top w:val="nil"/>
              <w:left w:val="nil"/>
              <w:bottom w:val="nil"/>
              <w:right w:val="nil"/>
            </w:tcBorders>
            <w:shd w:val="clear" w:color="auto" w:fill="92D050"/>
            <w:tcMar>
              <w:top w:w="0" w:type="dxa"/>
              <w:left w:w="0" w:type="dxa"/>
              <w:bottom w:w="0" w:type="dxa"/>
              <w:right w:w="0" w:type="dxa"/>
            </w:tcMar>
          </w:tcPr>
          <w:p w14:paraId="5E13F925" w14:textId="389F1E97" w:rsidR="00495804" w:rsidRPr="00A0342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BA47DB">
              <w:rPr>
                <w:rFonts w:ascii="Arial" w:hAnsi="Arial" w:cs="Arial"/>
                <w:sz w:val="14"/>
                <w:szCs w:val="14"/>
              </w:rPr>
              <w:t>Above Threshold</w:t>
            </w:r>
          </w:p>
        </w:tc>
        <w:tc>
          <w:tcPr>
            <w:tcW w:w="836" w:type="dxa"/>
            <w:tcBorders>
              <w:top w:val="nil"/>
              <w:left w:val="nil"/>
              <w:bottom w:val="nil"/>
              <w:right w:val="nil"/>
            </w:tcBorders>
            <w:shd w:val="clear" w:color="auto" w:fill="FFFFFF"/>
            <w:tcMar>
              <w:top w:w="0" w:type="dxa"/>
              <w:left w:w="0" w:type="dxa"/>
              <w:bottom w:w="0" w:type="dxa"/>
              <w:right w:w="0" w:type="dxa"/>
            </w:tcMar>
            <w:vAlign w:val="center"/>
          </w:tcPr>
          <w:p w14:paraId="3F49EAEA" w14:textId="45088BBA"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hAnsi="Arial" w:cs="Arial"/>
                <w:color w:val="000000"/>
                <w:sz w:val="14"/>
                <w:szCs w:val="14"/>
              </w:rPr>
              <w:t>21</w:t>
            </w:r>
          </w:p>
        </w:tc>
        <w:tc>
          <w:tcPr>
            <w:tcW w:w="851" w:type="dxa"/>
            <w:tcBorders>
              <w:top w:val="nil"/>
              <w:left w:val="nil"/>
              <w:bottom w:val="nil"/>
              <w:right w:val="nil"/>
            </w:tcBorders>
            <w:shd w:val="clear" w:color="auto" w:fill="FFFFFF"/>
            <w:tcMar>
              <w:top w:w="0" w:type="dxa"/>
              <w:left w:w="0" w:type="dxa"/>
              <w:bottom w:w="0" w:type="dxa"/>
              <w:right w:w="0" w:type="dxa"/>
            </w:tcMar>
            <w:vAlign w:val="center"/>
          </w:tcPr>
          <w:p w14:paraId="11C5F11F" w14:textId="4936E8DC"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1</w:t>
            </w:r>
          </w:p>
        </w:tc>
      </w:tr>
      <w:tr w:rsidR="00495804" w14:paraId="6AB55E06" w14:textId="77777777" w:rsidTr="00C21865">
        <w:trPr>
          <w:jc w:val="center"/>
        </w:trPr>
        <w:tc>
          <w:tcPr>
            <w:tcW w:w="1427" w:type="dxa"/>
            <w:tcBorders>
              <w:top w:val="nil"/>
              <w:left w:val="nil"/>
              <w:bottom w:val="single" w:sz="12" w:space="0" w:color="666666"/>
              <w:right w:val="nil"/>
            </w:tcBorders>
            <w:shd w:val="clear" w:color="auto" w:fill="FFFFFF"/>
            <w:tcMar>
              <w:top w:w="0" w:type="dxa"/>
              <w:left w:w="0" w:type="dxa"/>
              <w:bottom w:w="0" w:type="dxa"/>
              <w:right w:w="0" w:type="dxa"/>
            </w:tcMar>
          </w:tcPr>
          <w:p w14:paraId="6AAC4C05" w14:textId="385C2B13" w:rsidR="00495804" w:rsidRPr="00A0342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A03424">
              <w:rPr>
                <w:rFonts w:ascii="Arial" w:hAnsi="Arial" w:cs="Arial"/>
                <w:sz w:val="12"/>
                <w:szCs w:val="12"/>
              </w:rPr>
              <w:t>SURFCOAST</w:t>
            </w:r>
          </w:p>
        </w:tc>
        <w:tc>
          <w:tcPr>
            <w:tcW w:w="567"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6EED3F8B" w14:textId="2E41ECAC"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4"/>
                <w:szCs w:val="14"/>
              </w:rPr>
            </w:pPr>
            <w:r w:rsidRPr="00495804">
              <w:rPr>
                <w:rFonts w:ascii="Arial" w:hAnsi="Arial" w:cs="Arial"/>
                <w:color w:val="000000"/>
                <w:sz w:val="14"/>
                <w:szCs w:val="14"/>
              </w:rPr>
              <w:t>40</w:t>
            </w:r>
          </w:p>
        </w:tc>
        <w:tc>
          <w:tcPr>
            <w:tcW w:w="850"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1EABAEA2" w14:textId="448971B4"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4"/>
                <w:szCs w:val="14"/>
              </w:rPr>
            </w:pPr>
            <w:r w:rsidRPr="00495804">
              <w:rPr>
                <w:rFonts w:ascii="Arial" w:hAnsi="Arial" w:cs="Arial"/>
                <w:color w:val="000000"/>
                <w:sz w:val="14"/>
                <w:szCs w:val="14"/>
              </w:rPr>
              <w:t>60</w:t>
            </w:r>
          </w:p>
        </w:tc>
        <w:tc>
          <w:tcPr>
            <w:tcW w:w="709"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3B574F80" w14:textId="7A6C7B23"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4"/>
                <w:szCs w:val="14"/>
              </w:rPr>
            </w:pPr>
            <w:r w:rsidRPr="00495804">
              <w:rPr>
                <w:rFonts w:ascii="Arial" w:hAnsi="Arial" w:cs="Arial"/>
                <w:color w:val="000000"/>
                <w:sz w:val="14"/>
                <w:szCs w:val="14"/>
              </w:rPr>
              <w:t>70</w:t>
            </w:r>
          </w:p>
        </w:tc>
        <w:tc>
          <w:tcPr>
            <w:tcW w:w="567" w:type="dxa"/>
            <w:tcBorders>
              <w:top w:val="nil"/>
              <w:left w:val="nil"/>
              <w:bottom w:val="single" w:sz="12" w:space="0" w:color="666666"/>
              <w:right w:val="nil"/>
            </w:tcBorders>
            <w:shd w:val="clear" w:color="auto" w:fill="FFFF00"/>
            <w:tcMar>
              <w:top w:w="0" w:type="dxa"/>
              <w:left w:w="0" w:type="dxa"/>
              <w:bottom w:w="0" w:type="dxa"/>
              <w:right w:w="0" w:type="dxa"/>
            </w:tcMar>
            <w:vAlign w:val="center"/>
          </w:tcPr>
          <w:p w14:paraId="1F91A264" w14:textId="1D798ABB"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4"/>
                <w:szCs w:val="14"/>
              </w:rPr>
            </w:pPr>
            <w:r w:rsidRPr="00495804">
              <w:rPr>
                <w:rFonts w:ascii="Arial" w:hAnsi="Arial" w:cs="Arial"/>
                <w:color w:val="000000"/>
                <w:sz w:val="14"/>
                <w:szCs w:val="14"/>
              </w:rPr>
              <w:t>51.7</w:t>
            </w:r>
          </w:p>
        </w:tc>
        <w:tc>
          <w:tcPr>
            <w:tcW w:w="567" w:type="dxa"/>
            <w:tcBorders>
              <w:top w:val="nil"/>
              <w:left w:val="nil"/>
              <w:bottom w:val="single" w:sz="12" w:space="0" w:color="666666"/>
              <w:right w:val="nil"/>
            </w:tcBorders>
            <w:shd w:val="clear" w:color="auto" w:fill="FFFF00"/>
            <w:tcMar>
              <w:top w:w="0" w:type="dxa"/>
              <w:left w:w="0" w:type="dxa"/>
              <w:bottom w:w="0" w:type="dxa"/>
              <w:right w:w="0" w:type="dxa"/>
            </w:tcMar>
            <w:vAlign w:val="center"/>
          </w:tcPr>
          <w:p w14:paraId="310F9558" w14:textId="591A8369"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4"/>
                <w:szCs w:val="14"/>
              </w:rPr>
            </w:pPr>
            <w:r w:rsidRPr="00495804">
              <w:rPr>
                <w:rFonts w:ascii="Arial" w:hAnsi="Arial" w:cs="Arial"/>
                <w:color w:val="000000"/>
                <w:sz w:val="14"/>
                <w:szCs w:val="14"/>
              </w:rPr>
              <w:t>54.2</w:t>
            </w:r>
          </w:p>
        </w:tc>
        <w:tc>
          <w:tcPr>
            <w:tcW w:w="567" w:type="dxa"/>
            <w:tcBorders>
              <w:top w:val="nil"/>
              <w:left w:val="nil"/>
              <w:bottom w:val="single" w:sz="12" w:space="0" w:color="666666"/>
              <w:right w:val="nil"/>
            </w:tcBorders>
            <w:shd w:val="clear" w:color="auto" w:fill="FFFF00"/>
            <w:tcMar>
              <w:top w:w="0" w:type="dxa"/>
              <w:left w:w="0" w:type="dxa"/>
              <w:bottom w:w="0" w:type="dxa"/>
              <w:right w:w="0" w:type="dxa"/>
            </w:tcMar>
            <w:vAlign w:val="center"/>
          </w:tcPr>
          <w:p w14:paraId="3DE12198" w14:textId="7AE9924E"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4"/>
                <w:szCs w:val="14"/>
              </w:rPr>
            </w:pPr>
            <w:r w:rsidRPr="00495804">
              <w:rPr>
                <w:rFonts w:ascii="Arial" w:hAnsi="Arial" w:cs="Arial"/>
                <w:color w:val="000000"/>
                <w:sz w:val="14"/>
                <w:szCs w:val="14"/>
              </w:rPr>
              <w:t>55.4</w:t>
            </w:r>
          </w:p>
        </w:tc>
        <w:tc>
          <w:tcPr>
            <w:tcW w:w="567" w:type="dxa"/>
            <w:tcBorders>
              <w:top w:val="nil"/>
              <w:left w:val="nil"/>
              <w:bottom w:val="single" w:sz="12" w:space="0" w:color="666666"/>
              <w:right w:val="nil"/>
            </w:tcBorders>
            <w:shd w:val="clear" w:color="auto" w:fill="FFFF00"/>
            <w:tcMar>
              <w:top w:w="0" w:type="dxa"/>
              <w:left w:w="0" w:type="dxa"/>
              <w:bottom w:w="0" w:type="dxa"/>
              <w:right w:w="0" w:type="dxa"/>
            </w:tcMar>
            <w:vAlign w:val="center"/>
          </w:tcPr>
          <w:p w14:paraId="00D288C8" w14:textId="7F35DCFB"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4"/>
                <w:szCs w:val="14"/>
              </w:rPr>
            </w:pPr>
            <w:r w:rsidRPr="00495804">
              <w:rPr>
                <w:rFonts w:ascii="Arial" w:hAnsi="Arial" w:cs="Arial"/>
                <w:color w:val="000000"/>
                <w:sz w:val="14"/>
                <w:szCs w:val="14"/>
              </w:rPr>
              <w:t>54.7</w:t>
            </w:r>
          </w:p>
        </w:tc>
        <w:tc>
          <w:tcPr>
            <w:tcW w:w="567" w:type="dxa"/>
            <w:tcBorders>
              <w:top w:val="nil"/>
              <w:left w:val="nil"/>
              <w:bottom w:val="single" w:sz="12" w:space="0" w:color="666666"/>
              <w:right w:val="nil"/>
            </w:tcBorders>
            <w:shd w:val="clear" w:color="auto" w:fill="92D050"/>
            <w:tcMar>
              <w:top w:w="0" w:type="dxa"/>
              <w:left w:w="0" w:type="dxa"/>
              <w:bottom w:w="0" w:type="dxa"/>
              <w:right w:w="0" w:type="dxa"/>
            </w:tcMar>
            <w:vAlign w:val="center"/>
          </w:tcPr>
          <w:p w14:paraId="27D61BDA" w14:textId="46C200E3"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4"/>
                <w:szCs w:val="14"/>
              </w:rPr>
            </w:pPr>
            <w:r w:rsidRPr="00495804">
              <w:rPr>
                <w:rFonts w:ascii="Arial" w:hAnsi="Arial" w:cs="Arial"/>
                <w:color w:val="000000"/>
                <w:sz w:val="14"/>
                <w:szCs w:val="14"/>
              </w:rPr>
              <w:t>60.3</w:t>
            </w:r>
          </w:p>
        </w:tc>
        <w:tc>
          <w:tcPr>
            <w:tcW w:w="567" w:type="dxa"/>
            <w:tcBorders>
              <w:top w:val="nil"/>
              <w:left w:val="nil"/>
              <w:bottom w:val="single" w:sz="12" w:space="0" w:color="666666"/>
              <w:right w:val="nil"/>
            </w:tcBorders>
            <w:shd w:val="clear" w:color="auto" w:fill="92D050"/>
            <w:tcMar>
              <w:top w:w="0" w:type="dxa"/>
              <w:left w:w="0" w:type="dxa"/>
              <w:bottom w:w="0" w:type="dxa"/>
              <w:right w:w="0" w:type="dxa"/>
            </w:tcMar>
            <w:vAlign w:val="center"/>
          </w:tcPr>
          <w:p w14:paraId="5BF740B4" w14:textId="37FACCCB"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4"/>
                <w:szCs w:val="14"/>
              </w:rPr>
            </w:pPr>
            <w:r w:rsidRPr="00495804">
              <w:rPr>
                <w:rFonts w:ascii="Arial" w:hAnsi="Arial" w:cs="Arial"/>
                <w:color w:val="000000"/>
                <w:sz w:val="14"/>
                <w:szCs w:val="14"/>
              </w:rPr>
              <w:t>61.5</w:t>
            </w:r>
          </w:p>
        </w:tc>
        <w:tc>
          <w:tcPr>
            <w:tcW w:w="1380" w:type="dxa"/>
            <w:tcBorders>
              <w:top w:val="nil"/>
              <w:left w:val="nil"/>
              <w:bottom w:val="single" w:sz="12" w:space="0" w:color="666666"/>
              <w:right w:val="nil"/>
            </w:tcBorders>
            <w:shd w:val="clear" w:color="auto" w:fill="92D050"/>
            <w:tcMar>
              <w:top w:w="0" w:type="dxa"/>
              <w:left w:w="0" w:type="dxa"/>
              <w:bottom w:w="0" w:type="dxa"/>
              <w:right w:w="0" w:type="dxa"/>
            </w:tcMar>
          </w:tcPr>
          <w:p w14:paraId="377A1BCF" w14:textId="07CEA5C9" w:rsidR="00495804" w:rsidRPr="00A0342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4"/>
                <w:szCs w:val="14"/>
              </w:rPr>
            </w:pPr>
            <w:r w:rsidRPr="00A03424">
              <w:rPr>
                <w:rFonts w:ascii="Arial" w:hAnsi="Arial" w:cs="Arial"/>
                <w:sz w:val="14"/>
                <w:szCs w:val="14"/>
              </w:rPr>
              <w:t>Above Threshold</w:t>
            </w:r>
          </w:p>
        </w:tc>
        <w:tc>
          <w:tcPr>
            <w:tcW w:w="836"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6289B142" w14:textId="67108A4D"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4"/>
                <w:szCs w:val="14"/>
              </w:rPr>
            </w:pPr>
            <w:r w:rsidRPr="00495804">
              <w:rPr>
                <w:rFonts w:ascii="Arial" w:hAnsi="Arial" w:cs="Arial"/>
                <w:color w:val="000000"/>
                <w:sz w:val="14"/>
                <w:szCs w:val="14"/>
              </w:rPr>
              <w:t>2</w:t>
            </w:r>
          </w:p>
        </w:tc>
        <w:tc>
          <w:tcPr>
            <w:tcW w:w="851"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576221BE" w14:textId="2BBA75AA" w:rsidR="00495804" w:rsidRPr="00495804" w:rsidRDefault="00495804" w:rsidP="00495804">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4"/>
                <w:szCs w:val="14"/>
              </w:rPr>
            </w:pPr>
            <w:r w:rsidRPr="00495804">
              <w:rPr>
                <w:rFonts w:ascii="Arial" w:hAnsi="Arial" w:cs="Arial"/>
                <w:color w:val="000000"/>
                <w:sz w:val="14"/>
                <w:szCs w:val="14"/>
              </w:rPr>
              <w:t>1</w:t>
            </w:r>
          </w:p>
        </w:tc>
      </w:tr>
    </w:tbl>
    <w:p w14:paraId="0C4506EB" w14:textId="77777777" w:rsidR="00416C47" w:rsidRDefault="00416C47"/>
    <w:p w14:paraId="309AA93E" w14:textId="2788319D" w:rsidR="00FB0A3F" w:rsidRDefault="00000000">
      <w:pPr>
        <w:pStyle w:val="TableCaption"/>
      </w:pPr>
      <w:bookmarkStart w:id="127" w:name="_Toc149571230"/>
      <w:bookmarkStart w:id="128" w:name="_Toc192762273"/>
      <w:r>
        <w:t xml:space="preserve">Table </w:t>
      </w:r>
      <w:r w:rsidR="00495804">
        <w:t>5</w:t>
      </w:r>
      <w:r>
        <w:t xml:space="preserve">: </w:t>
      </w:r>
      <w:r w:rsidR="00BF48B3">
        <w:t>Draft Harvest Strategy</w:t>
      </w:r>
      <w:r>
        <w:t xml:space="preserve"> results </w:t>
      </w:r>
      <w:r w:rsidR="00416C47">
        <w:t xml:space="preserve">(standardised reference points) </w:t>
      </w:r>
      <w:r>
        <w:t>for Central Zone SMUs with suggested target catch ranges.</w:t>
      </w:r>
      <w:bookmarkEnd w:id="127"/>
      <w:bookmarkEnd w:id="128"/>
    </w:p>
    <w:tbl>
      <w:tblPr>
        <w:tblW w:w="10767" w:type="dxa"/>
        <w:jc w:val="center"/>
        <w:tblLayout w:type="fixed"/>
        <w:tblLook w:val="04A0" w:firstRow="1" w:lastRow="0" w:firstColumn="1" w:lastColumn="0" w:noHBand="0" w:noVBand="1"/>
      </w:tblPr>
      <w:tblGrid>
        <w:gridCol w:w="1418"/>
        <w:gridCol w:w="709"/>
        <w:gridCol w:w="850"/>
        <w:gridCol w:w="969"/>
        <w:gridCol w:w="992"/>
        <w:gridCol w:w="934"/>
        <w:gridCol w:w="767"/>
        <w:gridCol w:w="874"/>
        <w:gridCol w:w="1216"/>
        <w:gridCol w:w="1046"/>
        <w:gridCol w:w="992"/>
      </w:tblGrid>
      <w:tr w:rsidR="00FB0A3F" w14:paraId="339A2018" w14:textId="77777777" w:rsidTr="003F5544">
        <w:trPr>
          <w:tblHeader/>
          <w:jc w:val="center"/>
        </w:trPr>
        <w:tc>
          <w:tcPr>
            <w:tcW w:w="1418"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385B6DDD" w14:textId="77777777" w:rsidR="00FB0A3F"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eastAsia="Arial" w:hAnsi="Arial" w:cs="Arial"/>
                <w:color w:val="000000"/>
                <w:sz w:val="14"/>
                <w:szCs w:val="14"/>
              </w:rPr>
              <w:t>SMU</w:t>
            </w:r>
          </w:p>
        </w:tc>
        <w:tc>
          <w:tcPr>
            <w:tcW w:w="709"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269295EC" w14:textId="77777777" w:rsidR="00FB0A3F"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eastAsia="Arial" w:hAnsi="Arial" w:cs="Arial"/>
                <w:color w:val="000000"/>
                <w:sz w:val="14"/>
                <w:szCs w:val="14"/>
              </w:rPr>
              <w:t>4yr gradient</w:t>
            </w:r>
          </w:p>
        </w:tc>
        <w:tc>
          <w:tcPr>
            <w:tcW w:w="850"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608E4205" w14:textId="77777777" w:rsidR="00FB0A3F"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eastAsia="Arial" w:hAnsi="Arial" w:cs="Arial"/>
                <w:color w:val="000000"/>
                <w:sz w:val="14"/>
                <w:szCs w:val="14"/>
              </w:rPr>
              <w:t>Primary Indicator</w:t>
            </w:r>
          </w:p>
        </w:tc>
        <w:tc>
          <w:tcPr>
            <w:tcW w:w="969"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4C879800" w14:textId="77777777" w:rsidR="00FB0A3F"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eastAsia="Arial" w:hAnsi="Arial" w:cs="Arial"/>
                <w:color w:val="000000"/>
                <w:sz w:val="14"/>
                <w:szCs w:val="14"/>
              </w:rPr>
              <w:t>2yr ratio</w:t>
            </w:r>
            <w:proofErr w:type="gramStart"/>
            <w:r>
              <w:rPr>
                <w:rFonts w:ascii="Arial" w:eastAsia="Arial" w:hAnsi="Arial" w:cs="Arial"/>
                <w:color w:val="000000"/>
                <w:sz w:val="14"/>
                <w:szCs w:val="14"/>
              </w:rPr>
              <w:t xml:space="preserve">   (</w:t>
            </w:r>
            <w:proofErr w:type="gramEnd"/>
            <w:r>
              <w:rPr>
                <w:rFonts w:ascii="Arial" w:eastAsia="Arial" w:hAnsi="Arial" w:cs="Arial"/>
                <w:color w:val="000000"/>
                <w:sz w:val="14"/>
                <w:szCs w:val="14"/>
              </w:rPr>
              <w:t>% change)</w:t>
            </w:r>
          </w:p>
        </w:tc>
        <w:tc>
          <w:tcPr>
            <w:tcW w:w="992"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08DF1E35" w14:textId="77777777" w:rsidR="00FB0A3F"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eastAsia="Arial" w:hAnsi="Arial" w:cs="Arial"/>
                <w:color w:val="000000"/>
                <w:sz w:val="14"/>
                <w:szCs w:val="14"/>
              </w:rPr>
              <w:t>Secondary Indicator</w:t>
            </w:r>
          </w:p>
        </w:tc>
        <w:tc>
          <w:tcPr>
            <w:tcW w:w="934"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72968170" w14:textId="77777777" w:rsidR="00FB0A3F"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eastAsia="Arial" w:hAnsi="Arial" w:cs="Arial"/>
                <w:color w:val="000000"/>
                <w:sz w:val="14"/>
                <w:szCs w:val="14"/>
              </w:rPr>
              <w:t>Primary Category</w:t>
            </w:r>
          </w:p>
        </w:tc>
        <w:tc>
          <w:tcPr>
            <w:tcW w:w="767"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12F089A5" w14:textId="77777777" w:rsidR="00FB0A3F"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eastAsia="Arial" w:hAnsi="Arial" w:cs="Arial"/>
                <w:color w:val="000000"/>
                <w:sz w:val="14"/>
                <w:szCs w:val="14"/>
              </w:rPr>
              <w:t xml:space="preserve">Tertiary Indicator  </w:t>
            </w:r>
          </w:p>
        </w:tc>
        <w:tc>
          <w:tcPr>
            <w:tcW w:w="874"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30DD3E68" w14:textId="77777777" w:rsidR="00FB0A3F"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eastAsia="Arial" w:hAnsi="Arial" w:cs="Arial"/>
                <w:color w:val="000000"/>
                <w:sz w:val="14"/>
                <w:szCs w:val="14"/>
              </w:rPr>
              <w:t>Final Category</w:t>
            </w:r>
          </w:p>
        </w:tc>
        <w:tc>
          <w:tcPr>
            <w:tcW w:w="1216"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32AFEFDA" w14:textId="76BC2C65" w:rsidR="00FB0A3F"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eastAsia="Arial" w:hAnsi="Arial" w:cs="Arial"/>
                <w:color w:val="000000"/>
                <w:sz w:val="14"/>
                <w:szCs w:val="14"/>
              </w:rPr>
              <w:t>202</w:t>
            </w:r>
            <w:r w:rsidR="003F5544">
              <w:rPr>
                <w:rFonts w:ascii="Arial" w:eastAsia="Arial" w:hAnsi="Arial" w:cs="Arial"/>
                <w:color w:val="000000"/>
                <w:sz w:val="14"/>
                <w:szCs w:val="14"/>
              </w:rPr>
              <w:t>4</w:t>
            </w:r>
            <w:r>
              <w:rPr>
                <w:rFonts w:ascii="Arial" w:eastAsia="Arial" w:hAnsi="Arial" w:cs="Arial"/>
                <w:color w:val="000000"/>
                <w:sz w:val="14"/>
                <w:szCs w:val="14"/>
              </w:rPr>
              <w:t>/2</w:t>
            </w:r>
            <w:r w:rsidR="003F5544">
              <w:rPr>
                <w:rFonts w:ascii="Arial" w:eastAsia="Arial" w:hAnsi="Arial" w:cs="Arial"/>
                <w:color w:val="000000"/>
                <w:sz w:val="14"/>
                <w:szCs w:val="14"/>
              </w:rPr>
              <w:t>5</w:t>
            </w:r>
            <w:r>
              <w:rPr>
                <w:rFonts w:ascii="Arial" w:eastAsia="Arial" w:hAnsi="Arial" w:cs="Arial"/>
                <w:color w:val="000000"/>
                <w:sz w:val="14"/>
                <w:szCs w:val="14"/>
              </w:rPr>
              <w:t xml:space="preserve"> Target Catch (OT, t)</w:t>
            </w:r>
          </w:p>
        </w:tc>
        <w:tc>
          <w:tcPr>
            <w:tcW w:w="1046"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22915065" w14:textId="77777777" w:rsidR="00FB0A3F"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eastAsia="Arial" w:hAnsi="Arial" w:cs="Arial"/>
                <w:color w:val="000000"/>
                <w:sz w:val="14"/>
                <w:szCs w:val="14"/>
              </w:rPr>
              <w:t>Total catch, Lower (t)</w:t>
            </w:r>
          </w:p>
        </w:tc>
        <w:tc>
          <w:tcPr>
            <w:tcW w:w="992"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3BC5F022" w14:textId="77777777" w:rsidR="00FB0A3F" w:rsidRDefault="00000000">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eastAsia="Arial" w:hAnsi="Arial" w:cs="Arial"/>
                <w:color w:val="000000"/>
                <w:sz w:val="14"/>
                <w:szCs w:val="14"/>
              </w:rPr>
              <w:t>Total catch, Upper (t)</w:t>
            </w:r>
          </w:p>
        </w:tc>
      </w:tr>
      <w:tr w:rsidR="00192026" w14:paraId="1D1F91C2" w14:textId="77777777" w:rsidTr="003F5544">
        <w:trPr>
          <w:jc w:val="center"/>
        </w:trPr>
        <w:tc>
          <w:tcPr>
            <w:tcW w:w="1418"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3ACE0718" w14:textId="4C5DB842" w:rsidR="00192026" w:rsidRPr="00A03424"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2"/>
                <w:szCs w:val="12"/>
              </w:rPr>
            </w:pPr>
            <w:r w:rsidRPr="00A03424">
              <w:rPr>
                <w:rFonts w:ascii="Arial" w:hAnsi="Arial" w:cs="Arial"/>
                <w:color w:val="000000"/>
                <w:sz w:val="12"/>
                <w:szCs w:val="12"/>
              </w:rPr>
              <w:t>BACK BEACHES</w:t>
            </w:r>
          </w:p>
        </w:tc>
        <w:tc>
          <w:tcPr>
            <w:tcW w:w="709"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0CF2FD69" w14:textId="1C302805"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 xml:space="preserve"> 5.30</w:t>
            </w:r>
          </w:p>
        </w:tc>
        <w:tc>
          <w:tcPr>
            <w:tcW w:w="850"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60F068E1" w14:textId="7633349A"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Increasing</w:t>
            </w:r>
          </w:p>
        </w:tc>
        <w:tc>
          <w:tcPr>
            <w:tcW w:w="969"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01F46160" w14:textId="3B390A7B"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 xml:space="preserve"> 0.3</w:t>
            </w:r>
          </w:p>
        </w:tc>
        <w:tc>
          <w:tcPr>
            <w:tcW w:w="992"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174846FE" w14:textId="2C4A8900"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934" w:type="dxa"/>
            <w:tcBorders>
              <w:top w:val="single" w:sz="12" w:space="0" w:color="666666"/>
              <w:left w:val="nil"/>
              <w:bottom w:val="nil"/>
              <w:right w:val="nil"/>
            </w:tcBorders>
            <w:shd w:val="clear" w:color="auto" w:fill="92D050"/>
            <w:tcMar>
              <w:top w:w="0" w:type="dxa"/>
              <w:left w:w="0" w:type="dxa"/>
              <w:bottom w:w="0" w:type="dxa"/>
              <w:right w:w="0" w:type="dxa"/>
            </w:tcMar>
            <w:vAlign w:val="center"/>
          </w:tcPr>
          <w:p w14:paraId="4AD82AB5" w14:textId="58FDEF34"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Increasing</w:t>
            </w:r>
          </w:p>
        </w:tc>
        <w:tc>
          <w:tcPr>
            <w:tcW w:w="767"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61EB4794" w14:textId="77777777" w:rsid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eastAsia="Arial" w:hAnsi="Arial" w:cs="Arial"/>
                <w:color w:val="000000"/>
                <w:sz w:val="14"/>
                <w:szCs w:val="14"/>
              </w:rPr>
              <w:t>NA</w:t>
            </w:r>
          </w:p>
        </w:tc>
        <w:tc>
          <w:tcPr>
            <w:tcW w:w="874" w:type="dxa"/>
            <w:tcBorders>
              <w:top w:val="single" w:sz="12" w:space="0" w:color="666666"/>
              <w:left w:val="nil"/>
              <w:bottom w:val="nil"/>
              <w:right w:val="nil"/>
            </w:tcBorders>
            <w:shd w:val="clear" w:color="auto" w:fill="92D050"/>
            <w:tcMar>
              <w:top w:w="0" w:type="dxa"/>
              <w:left w:w="0" w:type="dxa"/>
              <w:bottom w:w="0" w:type="dxa"/>
              <w:right w:w="0" w:type="dxa"/>
            </w:tcMar>
            <w:vAlign w:val="center"/>
          </w:tcPr>
          <w:p w14:paraId="1A25F333" w14:textId="12142FF3" w:rsidR="00192026" w:rsidRPr="00A03424"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Increasing</w:t>
            </w:r>
          </w:p>
        </w:tc>
        <w:tc>
          <w:tcPr>
            <w:tcW w:w="1216" w:type="dxa"/>
            <w:tcBorders>
              <w:top w:val="single" w:sz="12" w:space="0" w:color="666666"/>
              <w:left w:val="nil"/>
              <w:bottom w:val="nil"/>
              <w:right w:val="nil"/>
            </w:tcBorders>
            <w:shd w:val="clear" w:color="auto" w:fill="FFFFFF"/>
            <w:tcMar>
              <w:top w:w="0" w:type="dxa"/>
              <w:left w:w="0" w:type="dxa"/>
              <w:bottom w:w="0" w:type="dxa"/>
              <w:right w:w="0" w:type="dxa"/>
            </w:tcMar>
            <w:vAlign w:val="bottom"/>
          </w:tcPr>
          <w:p w14:paraId="3CEFBDB9" w14:textId="2287693D"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41.5</w:t>
            </w:r>
          </w:p>
        </w:tc>
        <w:tc>
          <w:tcPr>
            <w:tcW w:w="1046" w:type="dxa"/>
            <w:tcBorders>
              <w:top w:val="single" w:sz="12" w:space="0" w:color="666666"/>
              <w:left w:val="nil"/>
              <w:bottom w:val="nil"/>
              <w:right w:val="nil"/>
            </w:tcBorders>
            <w:shd w:val="clear" w:color="auto" w:fill="FFFFFF"/>
            <w:tcMar>
              <w:top w:w="0" w:type="dxa"/>
              <w:left w:w="0" w:type="dxa"/>
              <w:bottom w:w="0" w:type="dxa"/>
              <w:right w:w="0" w:type="dxa"/>
            </w:tcMar>
          </w:tcPr>
          <w:p w14:paraId="544E4603" w14:textId="66968418"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color w:val="000000"/>
                <w:sz w:val="14"/>
                <w:szCs w:val="14"/>
              </w:rPr>
            </w:pPr>
            <w:r w:rsidRPr="00192026">
              <w:rPr>
                <w:rFonts w:ascii="Arial" w:hAnsi="Arial" w:cs="Arial"/>
                <w:color w:val="000000"/>
                <w:sz w:val="14"/>
                <w:szCs w:val="14"/>
              </w:rPr>
              <w:t>41.5, 43.6</w:t>
            </w:r>
          </w:p>
        </w:tc>
        <w:tc>
          <w:tcPr>
            <w:tcW w:w="992" w:type="dxa"/>
            <w:tcBorders>
              <w:top w:val="single" w:sz="12" w:space="0" w:color="666666"/>
              <w:left w:val="nil"/>
              <w:bottom w:val="nil"/>
              <w:right w:val="nil"/>
            </w:tcBorders>
            <w:shd w:val="clear" w:color="auto" w:fill="FFFFFF"/>
            <w:tcMar>
              <w:top w:w="0" w:type="dxa"/>
              <w:left w:w="0" w:type="dxa"/>
              <w:bottom w:w="0" w:type="dxa"/>
              <w:right w:w="0" w:type="dxa"/>
            </w:tcMar>
          </w:tcPr>
          <w:p w14:paraId="59E0B8D4" w14:textId="08E88AC8"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color w:val="000000"/>
                <w:sz w:val="14"/>
                <w:szCs w:val="14"/>
              </w:rPr>
            </w:pPr>
            <w:r w:rsidRPr="00192026">
              <w:rPr>
                <w:rFonts w:ascii="Arial" w:hAnsi="Arial" w:cs="Arial"/>
                <w:color w:val="000000"/>
                <w:sz w:val="14"/>
                <w:szCs w:val="14"/>
              </w:rPr>
              <w:t>47.7, 51.9</w:t>
            </w:r>
          </w:p>
        </w:tc>
      </w:tr>
      <w:tr w:rsidR="00192026" w14:paraId="2915015A" w14:textId="77777777" w:rsidTr="003F5544">
        <w:trPr>
          <w:jc w:val="center"/>
        </w:trPr>
        <w:tc>
          <w:tcPr>
            <w:tcW w:w="1418" w:type="dxa"/>
            <w:tcBorders>
              <w:top w:val="nil"/>
              <w:left w:val="nil"/>
              <w:bottom w:val="nil"/>
              <w:right w:val="nil"/>
            </w:tcBorders>
            <w:shd w:val="clear" w:color="auto" w:fill="FFFFFF"/>
            <w:tcMar>
              <w:top w:w="0" w:type="dxa"/>
              <w:left w:w="0" w:type="dxa"/>
              <w:bottom w:w="0" w:type="dxa"/>
              <w:right w:w="0" w:type="dxa"/>
            </w:tcMar>
            <w:vAlign w:val="center"/>
          </w:tcPr>
          <w:p w14:paraId="5F2772CD" w14:textId="5BD19C35" w:rsidR="00192026" w:rsidRPr="00A03424"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2"/>
                <w:szCs w:val="12"/>
              </w:rPr>
            </w:pPr>
            <w:r w:rsidRPr="00A03424">
              <w:rPr>
                <w:rFonts w:ascii="Arial" w:hAnsi="Arial" w:cs="Arial"/>
                <w:color w:val="000000"/>
                <w:sz w:val="12"/>
                <w:szCs w:val="12"/>
              </w:rPr>
              <w:t>CAPE LIPTRAP</w:t>
            </w:r>
          </w:p>
        </w:tc>
        <w:tc>
          <w:tcPr>
            <w:tcW w:w="709" w:type="dxa"/>
            <w:tcBorders>
              <w:top w:val="nil"/>
              <w:left w:val="nil"/>
              <w:bottom w:val="nil"/>
              <w:right w:val="nil"/>
            </w:tcBorders>
            <w:shd w:val="clear" w:color="auto" w:fill="FFFFFF"/>
            <w:tcMar>
              <w:top w:w="0" w:type="dxa"/>
              <w:left w:w="0" w:type="dxa"/>
              <w:bottom w:w="0" w:type="dxa"/>
              <w:right w:w="0" w:type="dxa"/>
            </w:tcMar>
            <w:vAlign w:val="center"/>
          </w:tcPr>
          <w:p w14:paraId="076C0C93" w14:textId="2C5B2C87"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 xml:space="preserve"> 1.46</w:t>
            </w:r>
          </w:p>
        </w:tc>
        <w:tc>
          <w:tcPr>
            <w:tcW w:w="850" w:type="dxa"/>
            <w:tcBorders>
              <w:top w:val="nil"/>
              <w:left w:val="nil"/>
              <w:bottom w:val="nil"/>
              <w:right w:val="nil"/>
            </w:tcBorders>
            <w:shd w:val="clear" w:color="auto" w:fill="FFFFFF"/>
            <w:tcMar>
              <w:top w:w="0" w:type="dxa"/>
              <w:left w:w="0" w:type="dxa"/>
              <w:bottom w:w="0" w:type="dxa"/>
              <w:right w:w="0" w:type="dxa"/>
            </w:tcMar>
            <w:vAlign w:val="center"/>
          </w:tcPr>
          <w:p w14:paraId="572B1EAB" w14:textId="55E363C8"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969" w:type="dxa"/>
            <w:tcBorders>
              <w:top w:val="nil"/>
              <w:left w:val="nil"/>
              <w:bottom w:val="nil"/>
              <w:right w:val="nil"/>
            </w:tcBorders>
            <w:shd w:val="clear" w:color="auto" w:fill="FFFFFF"/>
            <w:tcMar>
              <w:top w:w="0" w:type="dxa"/>
              <w:left w:w="0" w:type="dxa"/>
              <w:bottom w:w="0" w:type="dxa"/>
              <w:right w:w="0" w:type="dxa"/>
            </w:tcMar>
            <w:vAlign w:val="center"/>
          </w:tcPr>
          <w:p w14:paraId="2C4479F6" w14:textId="034E69BC"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-0.4</w:t>
            </w:r>
          </w:p>
        </w:tc>
        <w:tc>
          <w:tcPr>
            <w:tcW w:w="992" w:type="dxa"/>
            <w:tcBorders>
              <w:top w:val="nil"/>
              <w:left w:val="nil"/>
              <w:bottom w:val="nil"/>
              <w:right w:val="nil"/>
            </w:tcBorders>
            <w:shd w:val="clear" w:color="auto" w:fill="FFFFFF"/>
            <w:tcMar>
              <w:top w:w="0" w:type="dxa"/>
              <w:left w:w="0" w:type="dxa"/>
              <w:bottom w:w="0" w:type="dxa"/>
              <w:right w:w="0" w:type="dxa"/>
            </w:tcMar>
            <w:vAlign w:val="center"/>
          </w:tcPr>
          <w:p w14:paraId="5A07A529" w14:textId="5A337422"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934" w:type="dxa"/>
            <w:tcBorders>
              <w:top w:val="nil"/>
              <w:left w:val="nil"/>
              <w:bottom w:val="nil"/>
              <w:right w:val="nil"/>
            </w:tcBorders>
            <w:shd w:val="clear" w:color="auto" w:fill="FFFF00"/>
            <w:tcMar>
              <w:top w:w="0" w:type="dxa"/>
              <w:left w:w="0" w:type="dxa"/>
              <w:bottom w:w="0" w:type="dxa"/>
              <w:right w:w="0" w:type="dxa"/>
            </w:tcMar>
            <w:vAlign w:val="center"/>
          </w:tcPr>
          <w:p w14:paraId="72580B14" w14:textId="771BD59F"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767" w:type="dxa"/>
            <w:tcBorders>
              <w:top w:val="nil"/>
              <w:left w:val="nil"/>
              <w:bottom w:val="nil"/>
              <w:right w:val="nil"/>
            </w:tcBorders>
            <w:shd w:val="clear" w:color="auto" w:fill="FFFFFF"/>
            <w:tcMar>
              <w:top w:w="0" w:type="dxa"/>
              <w:left w:w="0" w:type="dxa"/>
              <w:bottom w:w="0" w:type="dxa"/>
              <w:right w:w="0" w:type="dxa"/>
            </w:tcMar>
            <w:vAlign w:val="center"/>
          </w:tcPr>
          <w:p w14:paraId="36AE01C4" w14:textId="77777777" w:rsid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eastAsia="Arial" w:hAnsi="Arial" w:cs="Arial"/>
                <w:color w:val="000000"/>
                <w:sz w:val="14"/>
                <w:szCs w:val="14"/>
              </w:rPr>
              <w:t>NA</w:t>
            </w:r>
          </w:p>
        </w:tc>
        <w:tc>
          <w:tcPr>
            <w:tcW w:w="874" w:type="dxa"/>
            <w:tcBorders>
              <w:top w:val="nil"/>
              <w:left w:val="nil"/>
              <w:bottom w:val="nil"/>
              <w:right w:val="nil"/>
            </w:tcBorders>
            <w:shd w:val="clear" w:color="auto" w:fill="FFFF00"/>
            <w:tcMar>
              <w:top w:w="0" w:type="dxa"/>
              <w:left w:w="0" w:type="dxa"/>
              <w:bottom w:w="0" w:type="dxa"/>
              <w:right w:w="0" w:type="dxa"/>
            </w:tcMar>
            <w:vAlign w:val="center"/>
          </w:tcPr>
          <w:p w14:paraId="4C868DA6" w14:textId="7192F9FF" w:rsidR="00192026" w:rsidRPr="00A03424"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1216" w:type="dxa"/>
            <w:tcBorders>
              <w:top w:val="nil"/>
              <w:left w:val="nil"/>
              <w:bottom w:val="nil"/>
              <w:right w:val="nil"/>
            </w:tcBorders>
            <w:shd w:val="clear" w:color="auto" w:fill="FFFFFF"/>
            <w:tcMar>
              <w:top w:w="0" w:type="dxa"/>
              <w:left w:w="0" w:type="dxa"/>
              <w:bottom w:w="0" w:type="dxa"/>
              <w:right w:w="0" w:type="dxa"/>
            </w:tcMar>
            <w:vAlign w:val="center"/>
          </w:tcPr>
          <w:p w14:paraId="60F50427" w14:textId="1F4A230E"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9.4</w:t>
            </w:r>
          </w:p>
        </w:tc>
        <w:tc>
          <w:tcPr>
            <w:tcW w:w="1046" w:type="dxa"/>
            <w:tcBorders>
              <w:top w:val="nil"/>
              <w:left w:val="nil"/>
              <w:bottom w:val="nil"/>
              <w:right w:val="nil"/>
            </w:tcBorders>
            <w:shd w:val="clear" w:color="auto" w:fill="FFFFFF"/>
            <w:tcMar>
              <w:top w:w="0" w:type="dxa"/>
              <w:left w:w="0" w:type="dxa"/>
              <w:bottom w:w="0" w:type="dxa"/>
              <w:right w:w="0" w:type="dxa"/>
            </w:tcMar>
          </w:tcPr>
          <w:p w14:paraId="32AD26C2" w14:textId="6F68D8DA"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color w:val="000000"/>
                <w:sz w:val="14"/>
                <w:szCs w:val="14"/>
              </w:rPr>
            </w:pPr>
            <w:r w:rsidRPr="00192026">
              <w:rPr>
                <w:rFonts w:ascii="Arial" w:hAnsi="Arial" w:cs="Arial"/>
                <w:color w:val="000000"/>
                <w:sz w:val="14"/>
                <w:szCs w:val="14"/>
              </w:rPr>
              <w:t>8.9</w:t>
            </w:r>
          </w:p>
        </w:tc>
        <w:tc>
          <w:tcPr>
            <w:tcW w:w="992" w:type="dxa"/>
            <w:tcBorders>
              <w:top w:val="nil"/>
              <w:left w:val="nil"/>
              <w:bottom w:val="nil"/>
              <w:right w:val="nil"/>
            </w:tcBorders>
            <w:shd w:val="clear" w:color="auto" w:fill="FFFFFF"/>
            <w:tcMar>
              <w:top w:w="0" w:type="dxa"/>
              <w:left w:w="0" w:type="dxa"/>
              <w:bottom w:w="0" w:type="dxa"/>
              <w:right w:w="0" w:type="dxa"/>
            </w:tcMar>
          </w:tcPr>
          <w:p w14:paraId="37B4AB1B" w14:textId="48A5AB68"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color w:val="000000"/>
                <w:sz w:val="14"/>
                <w:szCs w:val="14"/>
              </w:rPr>
            </w:pPr>
            <w:r w:rsidRPr="00192026">
              <w:rPr>
                <w:rFonts w:ascii="Arial" w:hAnsi="Arial" w:cs="Arial"/>
                <w:color w:val="000000"/>
                <w:sz w:val="14"/>
                <w:szCs w:val="14"/>
              </w:rPr>
              <w:t>9.9</w:t>
            </w:r>
          </w:p>
        </w:tc>
      </w:tr>
      <w:tr w:rsidR="00192026" w14:paraId="68BF4725" w14:textId="77777777" w:rsidTr="003F5544">
        <w:trPr>
          <w:jc w:val="center"/>
        </w:trPr>
        <w:tc>
          <w:tcPr>
            <w:tcW w:w="1418" w:type="dxa"/>
            <w:tcBorders>
              <w:top w:val="nil"/>
              <w:left w:val="nil"/>
              <w:bottom w:val="nil"/>
              <w:right w:val="nil"/>
            </w:tcBorders>
            <w:shd w:val="clear" w:color="auto" w:fill="FFFFFF"/>
            <w:tcMar>
              <w:top w:w="0" w:type="dxa"/>
              <w:left w:w="0" w:type="dxa"/>
              <w:bottom w:w="0" w:type="dxa"/>
              <w:right w:w="0" w:type="dxa"/>
            </w:tcMar>
            <w:vAlign w:val="center"/>
          </w:tcPr>
          <w:p w14:paraId="25E1ABAB" w14:textId="5BA734F0" w:rsidR="00192026" w:rsidRPr="00A03424"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2"/>
                <w:szCs w:val="12"/>
              </w:rPr>
            </w:pPr>
            <w:r w:rsidRPr="00A03424">
              <w:rPr>
                <w:rFonts w:ascii="Arial" w:hAnsi="Arial" w:cs="Arial"/>
                <w:color w:val="000000"/>
                <w:sz w:val="12"/>
                <w:szCs w:val="12"/>
              </w:rPr>
              <w:t>CAPE OTWAY</w:t>
            </w:r>
          </w:p>
        </w:tc>
        <w:tc>
          <w:tcPr>
            <w:tcW w:w="709" w:type="dxa"/>
            <w:tcBorders>
              <w:top w:val="nil"/>
              <w:left w:val="nil"/>
              <w:bottom w:val="nil"/>
              <w:right w:val="nil"/>
            </w:tcBorders>
            <w:shd w:val="clear" w:color="auto" w:fill="FFFFFF"/>
            <w:tcMar>
              <w:top w:w="0" w:type="dxa"/>
              <w:left w:w="0" w:type="dxa"/>
              <w:bottom w:w="0" w:type="dxa"/>
              <w:right w:w="0" w:type="dxa"/>
            </w:tcMar>
            <w:vAlign w:val="center"/>
          </w:tcPr>
          <w:p w14:paraId="5D838E05" w14:textId="6BF1458A"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-0.15</w:t>
            </w:r>
          </w:p>
        </w:tc>
        <w:tc>
          <w:tcPr>
            <w:tcW w:w="850" w:type="dxa"/>
            <w:tcBorders>
              <w:top w:val="nil"/>
              <w:left w:val="nil"/>
              <w:bottom w:val="nil"/>
              <w:right w:val="nil"/>
            </w:tcBorders>
            <w:shd w:val="clear" w:color="auto" w:fill="FFFFFF"/>
            <w:tcMar>
              <w:top w:w="0" w:type="dxa"/>
              <w:left w:w="0" w:type="dxa"/>
              <w:bottom w:w="0" w:type="dxa"/>
              <w:right w:w="0" w:type="dxa"/>
            </w:tcMar>
            <w:vAlign w:val="center"/>
          </w:tcPr>
          <w:p w14:paraId="1AEC39EC" w14:textId="4FFAA0F8"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969" w:type="dxa"/>
            <w:tcBorders>
              <w:top w:val="nil"/>
              <w:left w:val="nil"/>
              <w:bottom w:val="nil"/>
              <w:right w:val="nil"/>
            </w:tcBorders>
            <w:shd w:val="clear" w:color="auto" w:fill="FFFFFF"/>
            <w:tcMar>
              <w:top w:w="0" w:type="dxa"/>
              <w:left w:w="0" w:type="dxa"/>
              <w:bottom w:w="0" w:type="dxa"/>
              <w:right w:w="0" w:type="dxa"/>
            </w:tcMar>
            <w:vAlign w:val="center"/>
          </w:tcPr>
          <w:p w14:paraId="7376DFFC" w14:textId="1BEF026C"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 xml:space="preserve"> 3.8</w:t>
            </w:r>
          </w:p>
        </w:tc>
        <w:tc>
          <w:tcPr>
            <w:tcW w:w="992" w:type="dxa"/>
            <w:tcBorders>
              <w:top w:val="nil"/>
              <w:left w:val="nil"/>
              <w:bottom w:val="nil"/>
              <w:right w:val="nil"/>
            </w:tcBorders>
            <w:shd w:val="clear" w:color="auto" w:fill="FFFFFF"/>
            <w:tcMar>
              <w:top w:w="0" w:type="dxa"/>
              <w:left w:w="0" w:type="dxa"/>
              <w:bottom w:w="0" w:type="dxa"/>
              <w:right w:w="0" w:type="dxa"/>
            </w:tcMar>
            <w:vAlign w:val="center"/>
          </w:tcPr>
          <w:p w14:paraId="327BAACD" w14:textId="21A20948"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934" w:type="dxa"/>
            <w:tcBorders>
              <w:top w:val="nil"/>
              <w:left w:val="nil"/>
              <w:bottom w:val="nil"/>
              <w:right w:val="nil"/>
            </w:tcBorders>
            <w:shd w:val="clear" w:color="auto" w:fill="FFFF00"/>
            <w:tcMar>
              <w:top w:w="0" w:type="dxa"/>
              <w:left w:w="0" w:type="dxa"/>
              <w:bottom w:w="0" w:type="dxa"/>
              <w:right w:w="0" w:type="dxa"/>
            </w:tcMar>
            <w:vAlign w:val="center"/>
          </w:tcPr>
          <w:p w14:paraId="4D5455CF" w14:textId="2EE8B4B9"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767" w:type="dxa"/>
            <w:tcBorders>
              <w:top w:val="nil"/>
              <w:left w:val="nil"/>
              <w:bottom w:val="nil"/>
              <w:right w:val="nil"/>
            </w:tcBorders>
            <w:shd w:val="clear" w:color="auto" w:fill="FFFFFF"/>
            <w:tcMar>
              <w:top w:w="0" w:type="dxa"/>
              <w:left w:w="0" w:type="dxa"/>
              <w:bottom w:w="0" w:type="dxa"/>
              <w:right w:w="0" w:type="dxa"/>
            </w:tcMar>
            <w:vAlign w:val="center"/>
          </w:tcPr>
          <w:p w14:paraId="376CD026" w14:textId="77777777" w:rsid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eastAsia="Arial" w:hAnsi="Arial" w:cs="Arial"/>
                <w:color w:val="000000"/>
                <w:sz w:val="14"/>
                <w:szCs w:val="14"/>
              </w:rPr>
              <w:t>NA</w:t>
            </w:r>
          </w:p>
        </w:tc>
        <w:tc>
          <w:tcPr>
            <w:tcW w:w="874" w:type="dxa"/>
            <w:tcBorders>
              <w:top w:val="nil"/>
              <w:left w:val="nil"/>
              <w:bottom w:val="nil"/>
              <w:right w:val="nil"/>
            </w:tcBorders>
            <w:shd w:val="clear" w:color="auto" w:fill="FFFF00"/>
            <w:tcMar>
              <w:top w:w="0" w:type="dxa"/>
              <w:left w:w="0" w:type="dxa"/>
              <w:bottom w:w="0" w:type="dxa"/>
              <w:right w:w="0" w:type="dxa"/>
            </w:tcMar>
            <w:vAlign w:val="center"/>
          </w:tcPr>
          <w:p w14:paraId="647A157F" w14:textId="0973E68C" w:rsidR="00192026" w:rsidRPr="00A03424"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1216" w:type="dxa"/>
            <w:tcBorders>
              <w:top w:val="nil"/>
              <w:left w:val="nil"/>
              <w:bottom w:val="nil"/>
              <w:right w:val="nil"/>
            </w:tcBorders>
            <w:shd w:val="clear" w:color="auto" w:fill="FFFFFF"/>
            <w:tcMar>
              <w:top w:w="0" w:type="dxa"/>
              <w:left w:w="0" w:type="dxa"/>
              <w:bottom w:w="0" w:type="dxa"/>
              <w:right w:w="0" w:type="dxa"/>
            </w:tcMar>
            <w:vAlign w:val="center"/>
          </w:tcPr>
          <w:p w14:paraId="3A97A538" w14:textId="343D96E7"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49</w:t>
            </w:r>
            <w:r>
              <w:rPr>
                <w:rFonts w:ascii="Arial" w:hAnsi="Arial" w:cs="Arial"/>
                <w:color w:val="000000"/>
                <w:sz w:val="14"/>
                <w:szCs w:val="14"/>
              </w:rPr>
              <w:t>.0</w:t>
            </w:r>
          </w:p>
        </w:tc>
        <w:tc>
          <w:tcPr>
            <w:tcW w:w="1046" w:type="dxa"/>
            <w:tcBorders>
              <w:top w:val="nil"/>
              <w:left w:val="nil"/>
              <w:bottom w:val="nil"/>
              <w:right w:val="nil"/>
            </w:tcBorders>
            <w:shd w:val="clear" w:color="auto" w:fill="FFFFFF"/>
            <w:tcMar>
              <w:top w:w="0" w:type="dxa"/>
              <w:left w:w="0" w:type="dxa"/>
              <w:bottom w:w="0" w:type="dxa"/>
              <w:right w:w="0" w:type="dxa"/>
            </w:tcMar>
          </w:tcPr>
          <w:p w14:paraId="66AA2763" w14:textId="1DCBFE56"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color w:val="000000"/>
                <w:sz w:val="14"/>
                <w:szCs w:val="14"/>
              </w:rPr>
            </w:pPr>
            <w:r w:rsidRPr="00192026">
              <w:rPr>
                <w:rFonts w:ascii="Arial" w:hAnsi="Arial" w:cs="Arial"/>
                <w:color w:val="000000"/>
                <w:sz w:val="14"/>
                <w:szCs w:val="14"/>
              </w:rPr>
              <w:t>46.6</w:t>
            </w:r>
          </w:p>
        </w:tc>
        <w:tc>
          <w:tcPr>
            <w:tcW w:w="992" w:type="dxa"/>
            <w:tcBorders>
              <w:top w:val="nil"/>
              <w:left w:val="nil"/>
              <w:bottom w:val="nil"/>
              <w:right w:val="nil"/>
            </w:tcBorders>
            <w:shd w:val="clear" w:color="auto" w:fill="FFFFFF"/>
            <w:tcMar>
              <w:top w:w="0" w:type="dxa"/>
              <w:left w:w="0" w:type="dxa"/>
              <w:bottom w:w="0" w:type="dxa"/>
              <w:right w:w="0" w:type="dxa"/>
            </w:tcMar>
          </w:tcPr>
          <w:p w14:paraId="28B5FD33" w14:textId="461CBA54"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color w:val="000000"/>
                <w:sz w:val="14"/>
                <w:szCs w:val="14"/>
              </w:rPr>
            </w:pPr>
            <w:r w:rsidRPr="00192026">
              <w:rPr>
                <w:rFonts w:ascii="Arial" w:hAnsi="Arial" w:cs="Arial"/>
                <w:color w:val="000000"/>
                <w:sz w:val="14"/>
                <w:szCs w:val="14"/>
              </w:rPr>
              <w:t>51.5</w:t>
            </w:r>
          </w:p>
        </w:tc>
      </w:tr>
      <w:tr w:rsidR="00192026" w14:paraId="51F32E8F" w14:textId="77777777" w:rsidTr="003F5544">
        <w:trPr>
          <w:jc w:val="center"/>
        </w:trPr>
        <w:tc>
          <w:tcPr>
            <w:tcW w:w="1418" w:type="dxa"/>
            <w:tcBorders>
              <w:top w:val="nil"/>
              <w:left w:val="nil"/>
              <w:bottom w:val="nil"/>
              <w:right w:val="nil"/>
            </w:tcBorders>
            <w:shd w:val="clear" w:color="auto" w:fill="FFFFFF"/>
            <w:tcMar>
              <w:top w:w="0" w:type="dxa"/>
              <w:left w:w="0" w:type="dxa"/>
              <w:bottom w:w="0" w:type="dxa"/>
              <w:right w:w="0" w:type="dxa"/>
            </w:tcMar>
            <w:vAlign w:val="center"/>
          </w:tcPr>
          <w:p w14:paraId="0D194A6F" w14:textId="269F54E0" w:rsidR="00192026" w:rsidRPr="00A03424"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2"/>
                <w:szCs w:val="12"/>
              </w:rPr>
            </w:pPr>
            <w:r w:rsidRPr="00A03424">
              <w:rPr>
                <w:rFonts w:ascii="Arial" w:hAnsi="Arial" w:cs="Arial"/>
                <w:color w:val="000000"/>
                <w:sz w:val="12"/>
                <w:szCs w:val="12"/>
              </w:rPr>
              <w:t>CLIFFY GROUP</w:t>
            </w:r>
          </w:p>
        </w:tc>
        <w:tc>
          <w:tcPr>
            <w:tcW w:w="709" w:type="dxa"/>
            <w:tcBorders>
              <w:top w:val="nil"/>
              <w:left w:val="nil"/>
              <w:bottom w:val="nil"/>
              <w:right w:val="nil"/>
            </w:tcBorders>
            <w:shd w:val="clear" w:color="auto" w:fill="FFFFFF"/>
            <w:tcMar>
              <w:top w:w="0" w:type="dxa"/>
              <w:left w:w="0" w:type="dxa"/>
              <w:bottom w:w="0" w:type="dxa"/>
              <w:right w:w="0" w:type="dxa"/>
            </w:tcMar>
            <w:vAlign w:val="center"/>
          </w:tcPr>
          <w:p w14:paraId="1E493EB2" w14:textId="6B264551"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 xml:space="preserve"> 3.98</w:t>
            </w:r>
          </w:p>
        </w:tc>
        <w:tc>
          <w:tcPr>
            <w:tcW w:w="850" w:type="dxa"/>
            <w:tcBorders>
              <w:top w:val="nil"/>
              <w:left w:val="nil"/>
              <w:bottom w:val="nil"/>
              <w:right w:val="nil"/>
            </w:tcBorders>
            <w:shd w:val="clear" w:color="auto" w:fill="FFFFFF"/>
            <w:tcMar>
              <w:top w:w="0" w:type="dxa"/>
              <w:left w:w="0" w:type="dxa"/>
              <w:bottom w:w="0" w:type="dxa"/>
              <w:right w:w="0" w:type="dxa"/>
            </w:tcMar>
            <w:vAlign w:val="center"/>
          </w:tcPr>
          <w:p w14:paraId="7AF6F93E" w14:textId="06D2ABBA"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969" w:type="dxa"/>
            <w:tcBorders>
              <w:top w:val="nil"/>
              <w:left w:val="nil"/>
              <w:bottom w:val="nil"/>
              <w:right w:val="nil"/>
            </w:tcBorders>
            <w:shd w:val="clear" w:color="auto" w:fill="FFFFFF"/>
            <w:tcMar>
              <w:top w:w="0" w:type="dxa"/>
              <w:left w:w="0" w:type="dxa"/>
              <w:bottom w:w="0" w:type="dxa"/>
              <w:right w:w="0" w:type="dxa"/>
            </w:tcMar>
            <w:vAlign w:val="center"/>
          </w:tcPr>
          <w:p w14:paraId="6FC4C3C5" w14:textId="75A47AC8"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 xml:space="preserve"> 1.5</w:t>
            </w:r>
          </w:p>
        </w:tc>
        <w:tc>
          <w:tcPr>
            <w:tcW w:w="992" w:type="dxa"/>
            <w:tcBorders>
              <w:top w:val="nil"/>
              <w:left w:val="nil"/>
              <w:bottom w:val="nil"/>
              <w:right w:val="nil"/>
            </w:tcBorders>
            <w:shd w:val="clear" w:color="auto" w:fill="FFFFFF"/>
            <w:tcMar>
              <w:top w:w="0" w:type="dxa"/>
              <w:left w:w="0" w:type="dxa"/>
              <w:bottom w:w="0" w:type="dxa"/>
              <w:right w:w="0" w:type="dxa"/>
            </w:tcMar>
            <w:vAlign w:val="center"/>
          </w:tcPr>
          <w:p w14:paraId="6A974D55" w14:textId="2A4EA86F"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934" w:type="dxa"/>
            <w:tcBorders>
              <w:top w:val="nil"/>
              <w:left w:val="nil"/>
              <w:bottom w:val="nil"/>
              <w:right w:val="nil"/>
            </w:tcBorders>
            <w:shd w:val="clear" w:color="auto" w:fill="FFFF00"/>
            <w:tcMar>
              <w:top w:w="0" w:type="dxa"/>
              <w:left w:w="0" w:type="dxa"/>
              <w:bottom w:w="0" w:type="dxa"/>
              <w:right w:w="0" w:type="dxa"/>
            </w:tcMar>
            <w:vAlign w:val="center"/>
          </w:tcPr>
          <w:p w14:paraId="497E9DF4" w14:textId="76A7B4AD"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767" w:type="dxa"/>
            <w:tcBorders>
              <w:top w:val="nil"/>
              <w:left w:val="nil"/>
              <w:bottom w:val="nil"/>
              <w:right w:val="nil"/>
            </w:tcBorders>
            <w:shd w:val="clear" w:color="auto" w:fill="FFFFFF"/>
            <w:tcMar>
              <w:top w:w="0" w:type="dxa"/>
              <w:left w:w="0" w:type="dxa"/>
              <w:bottom w:w="0" w:type="dxa"/>
              <w:right w:w="0" w:type="dxa"/>
            </w:tcMar>
            <w:vAlign w:val="center"/>
          </w:tcPr>
          <w:p w14:paraId="197E7EF2" w14:textId="77777777" w:rsid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eastAsia="Arial" w:hAnsi="Arial" w:cs="Arial"/>
                <w:color w:val="000000"/>
                <w:sz w:val="14"/>
                <w:szCs w:val="14"/>
              </w:rPr>
              <w:t>NA</w:t>
            </w:r>
          </w:p>
        </w:tc>
        <w:tc>
          <w:tcPr>
            <w:tcW w:w="874" w:type="dxa"/>
            <w:tcBorders>
              <w:top w:val="nil"/>
              <w:left w:val="nil"/>
              <w:bottom w:val="nil"/>
              <w:right w:val="nil"/>
            </w:tcBorders>
            <w:shd w:val="clear" w:color="auto" w:fill="FFFF00"/>
            <w:tcMar>
              <w:top w:w="0" w:type="dxa"/>
              <w:left w:w="0" w:type="dxa"/>
              <w:bottom w:w="0" w:type="dxa"/>
              <w:right w:w="0" w:type="dxa"/>
            </w:tcMar>
            <w:vAlign w:val="center"/>
          </w:tcPr>
          <w:p w14:paraId="24D8D392" w14:textId="0CAFA427" w:rsidR="00192026" w:rsidRPr="00A03424"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1216" w:type="dxa"/>
            <w:tcBorders>
              <w:top w:val="nil"/>
              <w:left w:val="nil"/>
              <w:bottom w:val="nil"/>
              <w:right w:val="nil"/>
            </w:tcBorders>
            <w:shd w:val="clear" w:color="auto" w:fill="FFFFFF"/>
            <w:tcMar>
              <w:top w:w="0" w:type="dxa"/>
              <w:left w:w="0" w:type="dxa"/>
              <w:bottom w:w="0" w:type="dxa"/>
              <w:right w:w="0" w:type="dxa"/>
            </w:tcMar>
            <w:vAlign w:val="center"/>
          </w:tcPr>
          <w:p w14:paraId="2D3950B9" w14:textId="7B4C0B16"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4.7</w:t>
            </w:r>
          </w:p>
        </w:tc>
        <w:tc>
          <w:tcPr>
            <w:tcW w:w="1046" w:type="dxa"/>
            <w:tcBorders>
              <w:top w:val="nil"/>
              <w:left w:val="nil"/>
              <w:bottom w:val="nil"/>
              <w:right w:val="nil"/>
            </w:tcBorders>
            <w:shd w:val="clear" w:color="auto" w:fill="FFFFFF"/>
            <w:tcMar>
              <w:top w:w="0" w:type="dxa"/>
              <w:left w:w="0" w:type="dxa"/>
              <w:bottom w:w="0" w:type="dxa"/>
              <w:right w:w="0" w:type="dxa"/>
            </w:tcMar>
          </w:tcPr>
          <w:p w14:paraId="0ADA8408" w14:textId="41B89027"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color w:val="000000"/>
                <w:sz w:val="14"/>
                <w:szCs w:val="14"/>
              </w:rPr>
            </w:pPr>
            <w:r w:rsidRPr="00192026">
              <w:rPr>
                <w:rFonts w:ascii="Arial" w:hAnsi="Arial" w:cs="Arial"/>
                <w:color w:val="000000"/>
                <w:sz w:val="14"/>
                <w:szCs w:val="14"/>
              </w:rPr>
              <w:t>4.5</w:t>
            </w:r>
          </w:p>
        </w:tc>
        <w:tc>
          <w:tcPr>
            <w:tcW w:w="992" w:type="dxa"/>
            <w:tcBorders>
              <w:top w:val="nil"/>
              <w:left w:val="nil"/>
              <w:bottom w:val="nil"/>
              <w:right w:val="nil"/>
            </w:tcBorders>
            <w:shd w:val="clear" w:color="auto" w:fill="FFFFFF"/>
            <w:tcMar>
              <w:top w:w="0" w:type="dxa"/>
              <w:left w:w="0" w:type="dxa"/>
              <w:bottom w:w="0" w:type="dxa"/>
              <w:right w:w="0" w:type="dxa"/>
            </w:tcMar>
          </w:tcPr>
          <w:p w14:paraId="7C07CA92" w14:textId="0476ED27"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color w:val="000000"/>
                <w:sz w:val="14"/>
                <w:szCs w:val="14"/>
              </w:rPr>
            </w:pPr>
            <w:r w:rsidRPr="00192026">
              <w:rPr>
                <w:rFonts w:ascii="Arial" w:hAnsi="Arial" w:cs="Arial"/>
                <w:color w:val="000000"/>
                <w:sz w:val="14"/>
                <w:szCs w:val="14"/>
              </w:rPr>
              <w:t>4.9</w:t>
            </w:r>
          </w:p>
        </w:tc>
      </w:tr>
      <w:tr w:rsidR="00192026" w14:paraId="0EB4331A" w14:textId="77777777" w:rsidTr="003F5544">
        <w:trPr>
          <w:jc w:val="center"/>
        </w:trPr>
        <w:tc>
          <w:tcPr>
            <w:tcW w:w="1418" w:type="dxa"/>
            <w:tcBorders>
              <w:top w:val="nil"/>
              <w:left w:val="nil"/>
              <w:bottom w:val="nil"/>
              <w:right w:val="nil"/>
            </w:tcBorders>
            <w:shd w:val="clear" w:color="auto" w:fill="FFFFFF"/>
            <w:tcMar>
              <w:top w:w="0" w:type="dxa"/>
              <w:left w:w="0" w:type="dxa"/>
              <w:bottom w:w="0" w:type="dxa"/>
              <w:right w:w="0" w:type="dxa"/>
            </w:tcMar>
            <w:vAlign w:val="center"/>
          </w:tcPr>
          <w:p w14:paraId="794E16F6" w14:textId="0FD1DC93" w:rsidR="00192026" w:rsidRPr="00A03424"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2"/>
                <w:szCs w:val="12"/>
              </w:rPr>
            </w:pPr>
            <w:r w:rsidRPr="00A03424">
              <w:rPr>
                <w:rFonts w:ascii="Arial" w:hAnsi="Arial" w:cs="Arial"/>
                <w:color w:val="000000"/>
                <w:sz w:val="12"/>
                <w:szCs w:val="12"/>
              </w:rPr>
              <w:t>FLINDERS</w:t>
            </w:r>
          </w:p>
        </w:tc>
        <w:tc>
          <w:tcPr>
            <w:tcW w:w="709" w:type="dxa"/>
            <w:tcBorders>
              <w:top w:val="nil"/>
              <w:left w:val="nil"/>
              <w:bottom w:val="nil"/>
              <w:right w:val="nil"/>
            </w:tcBorders>
            <w:shd w:val="clear" w:color="auto" w:fill="FFFFFF"/>
            <w:tcMar>
              <w:top w:w="0" w:type="dxa"/>
              <w:left w:w="0" w:type="dxa"/>
              <w:bottom w:w="0" w:type="dxa"/>
              <w:right w:w="0" w:type="dxa"/>
            </w:tcMar>
            <w:vAlign w:val="center"/>
          </w:tcPr>
          <w:p w14:paraId="43D3D49A" w14:textId="05898A8B"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 xml:space="preserve"> 6.89</w:t>
            </w:r>
          </w:p>
        </w:tc>
        <w:tc>
          <w:tcPr>
            <w:tcW w:w="850" w:type="dxa"/>
            <w:tcBorders>
              <w:top w:val="nil"/>
              <w:left w:val="nil"/>
              <w:bottom w:val="nil"/>
              <w:right w:val="nil"/>
            </w:tcBorders>
            <w:shd w:val="clear" w:color="auto" w:fill="FFFFFF"/>
            <w:tcMar>
              <w:top w:w="0" w:type="dxa"/>
              <w:left w:w="0" w:type="dxa"/>
              <w:bottom w:w="0" w:type="dxa"/>
              <w:right w:w="0" w:type="dxa"/>
            </w:tcMar>
            <w:vAlign w:val="center"/>
          </w:tcPr>
          <w:p w14:paraId="308FEDE4" w14:textId="4BFB939A"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Increasing</w:t>
            </w:r>
          </w:p>
        </w:tc>
        <w:tc>
          <w:tcPr>
            <w:tcW w:w="969" w:type="dxa"/>
            <w:tcBorders>
              <w:top w:val="nil"/>
              <w:left w:val="nil"/>
              <w:bottom w:val="nil"/>
              <w:right w:val="nil"/>
            </w:tcBorders>
            <w:shd w:val="clear" w:color="auto" w:fill="FFFFFF"/>
            <w:tcMar>
              <w:top w:w="0" w:type="dxa"/>
              <w:left w:w="0" w:type="dxa"/>
              <w:bottom w:w="0" w:type="dxa"/>
              <w:right w:w="0" w:type="dxa"/>
            </w:tcMar>
            <w:vAlign w:val="center"/>
          </w:tcPr>
          <w:p w14:paraId="1CA6046B" w14:textId="5C1D6414"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 xml:space="preserve"> 5.8</w:t>
            </w:r>
          </w:p>
        </w:tc>
        <w:tc>
          <w:tcPr>
            <w:tcW w:w="992" w:type="dxa"/>
            <w:tcBorders>
              <w:top w:val="nil"/>
              <w:left w:val="nil"/>
              <w:bottom w:val="nil"/>
              <w:right w:val="nil"/>
            </w:tcBorders>
            <w:shd w:val="clear" w:color="auto" w:fill="FFFFFF"/>
            <w:tcMar>
              <w:top w:w="0" w:type="dxa"/>
              <w:left w:w="0" w:type="dxa"/>
              <w:bottom w:w="0" w:type="dxa"/>
              <w:right w:w="0" w:type="dxa"/>
            </w:tcMar>
            <w:vAlign w:val="center"/>
          </w:tcPr>
          <w:p w14:paraId="28044661" w14:textId="705FA365"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Increasing</w:t>
            </w:r>
          </w:p>
        </w:tc>
        <w:tc>
          <w:tcPr>
            <w:tcW w:w="934" w:type="dxa"/>
            <w:tcBorders>
              <w:top w:val="nil"/>
              <w:left w:val="nil"/>
              <w:bottom w:val="nil"/>
              <w:right w:val="nil"/>
            </w:tcBorders>
            <w:shd w:val="clear" w:color="auto" w:fill="92D050"/>
            <w:tcMar>
              <w:top w:w="0" w:type="dxa"/>
              <w:left w:w="0" w:type="dxa"/>
              <w:bottom w:w="0" w:type="dxa"/>
              <w:right w:w="0" w:type="dxa"/>
            </w:tcMar>
            <w:vAlign w:val="center"/>
          </w:tcPr>
          <w:p w14:paraId="470CB1FB" w14:textId="1257D52B"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Increasing</w:t>
            </w:r>
          </w:p>
        </w:tc>
        <w:tc>
          <w:tcPr>
            <w:tcW w:w="767" w:type="dxa"/>
            <w:tcBorders>
              <w:top w:val="nil"/>
              <w:left w:val="nil"/>
              <w:bottom w:val="nil"/>
              <w:right w:val="nil"/>
            </w:tcBorders>
            <w:shd w:val="clear" w:color="auto" w:fill="FFFFFF"/>
            <w:tcMar>
              <w:top w:w="0" w:type="dxa"/>
              <w:left w:w="0" w:type="dxa"/>
              <w:bottom w:w="0" w:type="dxa"/>
              <w:right w:w="0" w:type="dxa"/>
            </w:tcMar>
            <w:vAlign w:val="center"/>
          </w:tcPr>
          <w:p w14:paraId="4D14D39B" w14:textId="77777777" w:rsid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eastAsia="Arial" w:hAnsi="Arial" w:cs="Arial"/>
                <w:color w:val="000000"/>
                <w:sz w:val="14"/>
                <w:szCs w:val="14"/>
              </w:rPr>
              <w:t>NA</w:t>
            </w:r>
          </w:p>
        </w:tc>
        <w:tc>
          <w:tcPr>
            <w:tcW w:w="874" w:type="dxa"/>
            <w:tcBorders>
              <w:top w:val="nil"/>
              <w:left w:val="nil"/>
              <w:bottom w:val="nil"/>
              <w:right w:val="nil"/>
            </w:tcBorders>
            <w:shd w:val="clear" w:color="auto" w:fill="92D050"/>
            <w:tcMar>
              <w:top w:w="0" w:type="dxa"/>
              <w:left w:w="0" w:type="dxa"/>
              <w:bottom w:w="0" w:type="dxa"/>
              <w:right w:w="0" w:type="dxa"/>
            </w:tcMar>
            <w:vAlign w:val="center"/>
          </w:tcPr>
          <w:p w14:paraId="3306D0F4" w14:textId="2D9FC436" w:rsidR="00192026" w:rsidRPr="00A03424"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Increasing</w:t>
            </w:r>
          </w:p>
        </w:tc>
        <w:tc>
          <w:tcPr>
            <w:tcW w:w="1216" w:type="dxa"/>
            <w:tcBorders>
              <w:top w:val="nil"/>
              <w:left w:val="nil"/>
              <w:bottom w:val="nil"/>
              <w:right w:val="nil"/>
            </w:tcBorders>
            <w:shd w:val="clear" w:color="auto" w:fill="FFFFFF"/>
            <w:tcMar>
              <w:top w:w="0" w:type="dxa"/>
              <w:left w:w="0" w:type="dxa"/>
              <w:bottom w:w="0" w:type="dxa"/>
              <w:right w:w="0" w:type="dxa"/>
            </w:tcMar>
            <w:vAlign w:val="center"/>
          </w:tcPr>
          <w:p w14:paraId="278AECD8" w14:textId="0463402C"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20.5</w:t>
            </w:r>
          </w:p>
        </w:tc>
        <w:tc>
          <w:tcPr>
            <w:tcW w:w="1046" w:type="dxa"/>
            <w:tcBorders>
              <w:top w:val="nil"/>
              <w:left w:val="nil"/>
              <w:bottom w:val="nil"/>
              <w:right w:val="nil"/>
            </w:tcBorders>
            <w:shd w:val="clear" w:color="auto" w:fill="FFFFFF"/>
            <w:tcMar>
              <w:top w:w="0" w:type="dxa"/>
              <w:left w:w="0" w:type="dxa"/>
              <w:bottom w:w="0" w:type="dxa"/>
              <w:right w:w="0" w:type="dxa"/>
            </w:tcMar>
          </w:tcPr>
          <w:p w14:paraId="17ACE9E5" w14:textId="50CF1747"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color w:val="000000"/>
                <w:sz w:val="14"/>
                <w:szCs w:val="14"/>
              </w:rPr>
            </w:pPr>
            <w:r w:rsidRPr="00192026">
              <w:rPr>
                <w:rFonts w:ascii="Arial" w:hAnsi="Arial" w:cs="Arial"/>
                <w:color w:val="000000"/>
                <w:sz w:val="14"/>
                <w:szCs w:val="14"/>
              </w:rPr>
              <w:t>20.5, 21.5</w:t>
            </w:r>
          </w:p>
        </w:tc>
        <w:tc>
          <w:tcPr>
            <w:tcW w:w="992" w:type="dxa"/>
            <w:tcBorders>
              <w:top w:val="nil"/>
              <w:left w:val="nil"/>
              <w:bottom w:val="nil"/>
              <w:right w:val="nil"/>
            </w:tcBorders>
            <w:shd w:val="clear" w:color="auto" w:fill="FFFFFF"/>
            <w:tcMar>
              <w:top w:w="0" w:type="dxa"/>
              <w:left w:w="0" w:type="dxa"/>
              <w:bottom w:w="0" w:type="dxa"/>
              <w:right w:w="0" w:type="dxa"/>
            </w:tcMar>
          </w:tcPr>
          <w:p w14:paraId="5F95BE59" w14:textId="728705B7"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color w:val="000000"/>
                <w:sz w:val="14"/>
                <w:szCs w:val="14"/>
              </w:rPr>
            </w:pPr>
            <w:r w:rsidRPr="00192026">
              <w:rPr>
                <w:rFonts w:ascii="Arial" w:hAnsi="Arial" w:cs="Arial"/>
                <w:color w:val="000000"/>
                <w:sz w:val="14"/>
                <w:szCs w:val="14"/>
              </w:rPr>
              <w:t>23.6, 25.6</w:t>
            </w:r>
          </w:p>
        </w:tc>
      </w:tr>
      <w:tr w:rsidR="00192026" w14:paraId="4F73638E" w14:textId="77777777" w:rsidTr="003F5544">
        <w:trPr>
          <w:jc w:val="center"/>
        </w:trPr>
        <w:tc>
          <w:tcPr>
            <w:tcW w:w="1418" w:type="dxa"/>
            <w:tcBorders>
              <w:top w:val="nil"/>
              <w:left w:val="nil"/>
              <w:bottom w:val="nil"/>
              <w:right w:val="nil"/>
            </w:tcBorders>
            <w:shd w:val="clear" w:color="auto" w:fill="FFFFFF"/>
            <w:tcMar>
              <w:top w:w="0" w:type="dxa"/>
              <w:left w:w="0" w:type="dxa"/>
              <w:bottom w:w="0" w:type="dxa"/>
              <w:right w:w="0" w:type="dxa"/>
            </w:tcMar>
            <w:vAlign w:val="center"/>
          </w:tcPr>
          <w:p w14:paraId="32192CF6" w14:textId="6CC6DB76" w:rsidR="00192026" w:rsidRPr="00A03424"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2"/>
                <w:szCs w:val="12"/>
              </w:rPr>
            </w:pPr>
            <w:r w:rsidRPr="00A03424">
              <w:rPr>
                <w:rFonts w:ascii="Arial" w:hAnsi="Arial" w:cs="Arial"/>
                <w:color w:val="000000"/>
                <w:sz w:val="12"/>
                <w:szCs w:val="12"/>
              </w:rPr>
              <w:t>KILCUNDA</w:t>
            </w:r>
          </w:p>
        </w:tc>
        <w:tc>
          <w:tcPr>
            <w:tcW w:w="709" w:type="dxa"/>
            <w:tcBorders>
              <w:top w:val="nil"/>
              <w:left w:val="nil"/>
              <w:bottom w:val="nil"/>
              <w:right w:val="nil"/>
            </w:tcBorders>
            <w:shd w:val="clear" w:color="auto" w:fill="FFFFFF"/>
            <w:tcMar>
              <w:top w:w="0" w:type="dxa"/>
              <w:left w:w="0" w:type="dxa"/>
              <w:bottom w:w="0" w:type="dxa"/>
              <w:right w:w="0" w:type="dxa"/>
            </w:tcMar>
            <w:vAlign w:val="center"/>
          </w:tcPr>
          <w:p w14:paraId="0ADE9BE8" w14:textId="754C8123"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-0.77</w:t>
            </w:r>
          </w:p>
        </w:tc>
        <w:tc>
          <w:tcPr>
            <w:tcW w:w="850" w:type="dxa"/>
            <w:tcBorders>
              <w:top w:val="nil"/>
              <w:left w:val="nil"/>
              <w:bottom w:val="nil"/>
              <w:right w:val="nil"/>
            </w:tcBorders>
            <w:shd w:val="clear" w:color="auto" w:fill="FFFFFF"/>
            <w:tcMar>
              <w:top w:w="0" w:type="dxa"/>
              <w:left w:w="0" w:type="dxa"/>
              <w:bottom w:w="0" w:type="dxa"/>
              <w:right w:w="0" w:type="dxa"/>
            </w:tcMar>
            <w:vAlign w:val="center"/>
          </w:tcPr>
          <w:p w14:paraId="190FD226" w14:textId="75CF20AB"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969" w:type="dxa"/>
            <w:tcBorders>
              <w:top w:val="nil"/>
              <w:left w:val="nil"/>
              <w:bottom w:val="nil"/>
              <w:right w:val="nil"/>
            </w:tcBorders>
            <w:shd w:val="clear" w:color="auto" w:fill="FFFFFF"/>
            <w:tcMar>
              <w:top w:w="0" w:type="dxa"/>
              <w:left w:w="0" w:type="dxa"/>
              <w:bottom w:w="0" w:type="dxa"/>
              <w:right w:w="0" w:type="dxa"/>
            </w:tcMar>
            <w:vAlign w:val="center"/>
          </w:tcPr>
          <w:p w14:paraId="0EFDBE7F" w14:textId="7DFC23A7"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-2.2</w:t>
            </w:r>
          </w:p>
        </w:tc>
        <w:tc>
          <w:tcPr>
            <w:tcW w:w="992" w:type="dxa"/>
            <w:tcBorders>
              <w:top w:val="nil"/>
              <w:left w:val="nil"/>
              <w:bottom w:val="nil"/>
              <w:right w:val="nil"/>
            </w:tcBorders>
            <w:shd w:val="clear" w:color="auto" w:fill="FFFFFF"/>
            <w:tcMar>
              <w:top w:w="0" w:type="dxa"/>
              <w:left w:w="0" w:type="dxa"/>
              <w:bottom w:w="0" w:type="dxa"/>
              <w:right w:w="0" w:type="dxa"/>
            </w:tcMar>
            <w:vAlign w:val="center"/>
          </w:tcPr>
          <w:p w14:paraId="3781B493" w14:textId="493E1684"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934" w:type="dxa"/>
            <w:tcBorders>
              <w:top w:val="nil"/>
              <w:left w:val="nil"/>
              <w:bottom w:val="nil"/>
              <w:right w:val="nil"/>
            </w:tcBorders>
            <w:shd w:val="clear" w:color="auto" w:fill="FFFF00"/>
            <w:tcMar>
              <w:top w:w="0" w:type="dxa"/>
              <w:left w:w="0" w:type="dxa"/>
              <w:bottom w:w="0" w:type="dxa"/>
              <w:right w:w="0" w:type="dxa"/>
            </w:tcMar>
            <w:vAlign w:val="center"/>
          </w:tcPr>
          <w:p w14:paraId="05F94C37" w14:textId="111C9295"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767" w:type="dxa"/>
            <w:tcBorders>
              <w:top w:val="nil"/>
              <w:left w:val="nil"/>
              <w:bottom w:val="nil"/>
              <w:right w:val="nil"/>
            </w:tcBorders>
            <w:shd w:val="clear" w:color="auto" w:fill="FFFFFF"/>
            <w:tcMar>
              <w:top w:w="0" w:type="dxa"/>
              <w:left w:w="0" w:type="dxa"/>
              <w:bottom w:w="0" w:type="dxa"/>
              <w:right w:w="0" w:type="dxa"/>
            </w:tcMar>
            <w:vAlign w:val="center"/>
          </w:tcPr>
          <w:p w14:paraId="47ED812B" w14:textId="77777777" w:rsid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eastAsia="Arial" w:hAnsi="Arial" w:cs="Arial"/>
                <w:color w:val="000000"/>
                <w:sz w:val="14"/>
                <w:szCs w:val="14"/>
              </w:rPr>
              <w:t>NA</w:t>
            </w:r>
          </w:p>
        </w:tc>
        <w:tc>
          <w:tcPr>
            <w:tcW w:w="874" w:type="dxa"/>
            <w:tcBorders>
              <w:top w:val="nil"/>
              <w:left w:val="nil"/>
              <w:bottom w:val="nil"/>
              <w:right w:val="nil"/>
            </w:tcBorders>
            <w:shd w:val="clear" w:color="auto" w:fill="FFFF00"/>
            <w:tcMar>
              <w:top w:w="0" w:type="dxa"/>
              <w:left w:w="0" w:type="dxa"/>
              <w:bottom w:w="0" w:type="dxa"/>
              <w:right w:w="0" w:type="dxa"/>
            </w:tcMar>
            <w:vAlign w:val="center"/>
          </w:tcPr>
          <w:p w14:paraId="7D812862" w14:textId="0F3A6FF7" w:rsidR="00192026" w:rsidRPr="00A03424"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1216" w:type="dxa"/>
            <w:tcBorders>
              <w:top w:val="nil"/>
              <w:left w:val="nil"/>
              <w:bottom w:val="nil"/>
              <w:right w:val="nil"/>
            </w:tcBorders>
            <w:shd w:val="clear" w:color="auto" w:fill="FFFFFF"/>
            <w:tcMar>
              <w:top w:w="0" w:type="dxa"/>
              <w:left w:w="0" w:type="dxa"/>
              <w:bottom w:w="0" w:type="dxa"/>
              <w:right w:w="0" w:type="dxa"/>
            </w:tcMar>
            <w:vAlign w:val="center"/>
          </w:tcPr>
          <w:p w14:paraId="5EF728AB" w14:textId="45FFE495"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9.3</w:t>
            </w:r>
          </w:p>
        </w:tc>
        <w:tc>
          <w:tcPr>
            <w:tcW w:w="1046" w:type="dxa"/>
            <w:tcBorders>
              <w:top w:val="nil"/>
              <w:left w:val="nil"/>
              <w:bottom w:val="nil"/>
              <w:right w:val="nil"/>
            </w:tcBorders>
            <w:shd w:val="clear" w:color="auto" w:fill="FFFFFF"/>
            <w:tcMar>
              <w:top w:w="0" w:type="dxa"/>
              <w:left w:w="0" w:type="dxa"/>
              <w:bottom w:w="0" w:type="dxa"/>
              <w:right w:w="0" w:type="dxa"/>
            </w:tcMar>
          </w:tcPr>
          <w:p w14:paraId="4AE005B5" w14:textId="4B4DB9E1"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color w:val="000000"/>
                <w:sz w:val="14"/>
                <w:szCs w:val="14"/>
              </w:rPr>
            </w:pPr>
            <w:r w:rsidRPr="00192026">
              <w:rPr>
                <w:rFonts w:ascii="Arial" w:hAnsi="Arial" w:cs="Arial"/>
                <w:color w:val="000000"/>
                <w:sz w:val="14"/>
                <w:szCs w:val="14"/>
              </w:rPr>
              <w:t>8.8</w:t>
            </w:r>
          </w:p>
        </w:tc>
        <w:tc>
          <w:tcPr>
            <w:tcW w:w="992" w:type="dxa"/>
            <w:tcBorders>
              <w:top w:val="nil"/>
              <w:left w:val="nil"/>
              <w:bottom w:val="nil"/>
              <w:right w:val="nil"/>
            </w:tcBorders>
            <w:shd w:val="clear" w:color="auto" w:fill="FFFFFF"/>
            <w:tcMar>
              <w:top w:w="0" w:type="dxa"/>
              <w:left w:w="0" w:type="dxa"/>
              <w:bottom w:w="0" w:type="dxa"/>
              <w:right w:w="0" w:type="dxa"/>
            </w:tcMar>
          </w:tcPr>
          <w:p w14:paraId="0F47C593" w14:textId="6E9BFD03"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color w:val="000000"/>
                <w:sz w:val="14"/>
                <w:szCs w:val="14"/>
              </w:rPr>
            </w:pPr>
            <w:r w:rsidRPr="00192026">
              <w:rPr>
                <w:rFonts w:ascii="Arial" w:hAnsi="Arial" w:cs="Arial"/>
                <w:color w:val="000000"/>
                <w:sz w:val="14"/>
                <w:szCs w:val="14"/>
              </w:rPr>
              <w:t>9.8</w:t>
            </w:r>
          </w:p>
        </w:tc>
      </w:tr>
      <w:tr w:rsidR="00192026" w14:paraId="30686F1E" w14:textId="77777777" w:rsidTr="003F5544">
        <w:trPr>
          <w:jc w:val="center"/>
        </w:trPr>
        <w:tc>
          <w:tcPr>
            <w:tcW w:w="1418" w:type="dxa"/>
            <w:tcBorders>
              <w:top w:val="nil"/>
              <w:left w:val="nil"/>
              <w:bottom w:val="nil"/>
              <w:right w:val="nil"/>
            </w:tcBorders>
            <w:shd w:val="clear" w:color="auto" w:fill="FFFFFF"/>
            <w:tcMar>
              <w:top w:w="0" w:type="dxa"/>
              <w:left w:w="0" w:type="dxa"/>
              <w:bottom w:w="0" w:type="dxa"/>
              <w:right w:w="0" w:type="dxa"/>
            </w:tcMar>
            <w:vAlign w:val="center"/>
          </w:tcPr>
          <w:p w14:paraId="18BF1F8C" w14:textId="4F90E38C" w:rsidR="00192026" w:rsidRPr="00A03424"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2"/>
                <w:szCs w:val="12"/>
              </w:rPr>
            </w:pPr>
            <w:r w:rsidRPr="00A03424">
              <w:rPr>
                <w:rFonts w:ascii="Arial" w:hAnsi="Arial" w:cs="Arial"/>
                <w:color w:val="000000"/>
                <w:sz w:val="12"/>
                <w:szCs w:val="12"/>
              </w:rPr>
              <w:t>PHILLIP ISLAND</w:t>
            </w:r>
          </w:p>
        </w:tc>
        <w:tc>
          <w:tcPr>
            <w:tcW w:w="709" w:type="dxa"/>
            <w:tcBorders>
              <w:top w:val="nil"/>
              <w:left w:val="nil"/>
              <w:bottom w:val="nil"/>
              <w:right w:val="nil"/>
            </w:tcBorders>
            <w:shd w:val="clear" w:color="auto" w:fill="FFFFFF"/>
            <w:tcMar>
              <w:top w:w="0" w:type="dxa"/>
              <w:left w:w="0" w:type="dxa"/>
              <w:bottom w:w="0" w:type="dxa"/>
              <w:right w:w="0" w:type="dxa"/>
            </w:tcMar>
            <w:vAlign w:val="center"/>
          </w:tcPr>
          <w:p w14:paraId="7729F2FB" w14:textId="21FA5822"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 xml:space="preserve"> 8.27</w:t>
            </w:r>
          </w:p>
        </w:tc>
        <w:tc>
          <w:tcPr>
            <w:tcW w:w="850" w:type="dxa"/>
            <w:tcBorders>
              <w:top w:val="nil"/>
              <w:left w:val="nil"/>
              <w:bottom w:val="nil"/>
              <w:right w:val="nil"/>
            </w:tcBorders>
            <w:shd w:val="clear" w:color="auto" w:fill="FFFFFF"/>
            <w:tcMar>
              <w:top w:w="0" w:type="dxa"/>
              <w:left w:w="0" w:type="dxa"/>
              <w:bottom w:w="0" w:type="dxa"/>
              <w:right w:w="0" w:type="dxa"/>
            </w:tcMar>
            <w:vAlign w:val="center"/>
          </w:tcPr>
          <w:p w14:paraId="1F5B7F12" w14:textId="41573F21"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Increasing</w:t>
            </w:r>
          </w:p>
        </w:tc>
        <w:tc>
          <w:tcPr>
            <w:tcW w:w="969" w:type="dxa"/>
            <w:tcBorders>
              <w:top w:val="nil"/>
              <w:left w:val="nil"/>
              <w:bottom w:val="nil"/>
              <w:right w:val="nil"/>
            </w:tcBorders>
            <w:shd w:val="clear" w:color="auto" w:fill="FFFFFF"/>
            <w:tcMar>
              <w:top w:w="0" w:type="dxa"/>
              <w:left w:w="0" w:type="dxa"/>
              <w:bottom w:w="0" w:type="dxa"/>
              <w:right w:w="0" w:type="dxa"/>
            </w:tcMar>
            <w:vAlign w:val="center"/>
          </w:tcPr>
          <w:p w14:paraId="1426A0FF" w14:textId="4E9A77BC"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 xml:space="preserve"> 4.1</w:t>
            </w:r>
          </w:p>
        </w:tc>
        <w:tc>
          <w:tcPr>
            <w:tcW w:w="992" w:type="dxa"/>
            <w:tcBorders>
              <w:top w:val="nil"/>
              <w:left w:val="nil"/>
              <w:bottom w:val="nil"/>
              <w:right w:val="nil"/>
            </w:tcBorders>
            <w:shd w:val="clear" w:color="auto" w:fill="FFFFFF"/>
            <w:tcMar>
              <w:top w:w="0" w:type="dxa"/>
              <w:left w:w="0" w:type="dxa"/>
              <w:bottom w:w="0" w:type="dxa"/>
              <w:right w:w="0" w:type="dxa"/>
            </w:tcMar>
            <w:vAlign w:val="center"/>
          </w:tcPr>
          <w:p w14:paraId="28FB06BE" w14:textId="1D5E0697"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934" w:type="dxa"/>
            <w:tcBorders>
              <w:top w:val="nil"/>
              <w:left w:val="nil"/>
              <w:bottom w:val="nil"/>
              <w:right w:val="nil"/>
            </w:tcBorders>
            <w:shd w:val="clear" w:color="auto" w:fill="92D050"/>
            <w:tcMar>
              <w:top w:w="0" w:type="dxa"/>
              <w:left w:w="0" w:type="dxa"/>
              <w:bottom w:w="0" w:type="dxa"/>
              <w:right w:w="0" w:type="dxa"/>
            </w:tcMar>
            <w:vAlign w:val="center"/>
          </w:tcPr>
          <w:p w14:paraId="413E7207" w14:textId="2D08D61D"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Increasing</w:t>
            </w:r>
          </w:p>
        </w:tc>
        <w:tc>
          <w:tcPr>
            <w:tcW w:w="767" w:type="dxa"/>
            <w:tcBorders>
              <w:top w:val="nil"/>
              <w:left w:val="nil"/>
              <w:bottom w:val="nil"/>
              <w:right w:val="nil"/>
            </w:tcBorders>
            <w:shd w:val="clear" w:color="auto" w:fill="FFFFFF"/>
            <w:tcMar>
              <w:top w:w="0" w:type="dxa"/>
              <w:left w:w="0" w:type="dxa"/>
              <w:bottom w:w="0" w:type="dxa"/>
              <w:right w:w="0" w:type="dxa"/>
            </w:tcMar>
            <w:vAlign w:val="center"/>
          </w:tcPr>
          <w:p w14:paraId="13A94991" w14:textId="77777777" w:rsid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eastAsia="Arial" w:hAnsi="Arial" w:cs="Arial"/>
                <w:color w:val="000000"/>
                <w:sz w:val="14"/>
                <w:szCs w:val="14"/>
              </w:rPr>
              <w:t>NA</w:t>
            </w:r>
          </w:p>
        </w:tc>
        <w:tc>
          <w:tcPr>
            <w:tcW w:w="874" w:type="dxa"/>
            <w:tcBorders>
              <w:top w:val="nil"/>
              <w:left w:val="nil"/>
              <w:bottom w:val="nil"/>
              <w:right w:val="nil"/>
            </w:tcBorders>
            <w:shd w:val="clear" w:color="auto" w:fill="92D050"/>
            <w:tcMar>
              <w:top w:w="0" w:type="dxa"/>
              <w:left w:w="0" w:type="dxa"/>
              <w:bottom w:w="0" w:type="dxa"/>
              <w:right w:w="0" w:type="dxa"/>
            </w:tcMar>
            <w:vAlign w:val="center"/>
          </w:tcPr>
          <w:p w14:paraId="6077FD0A" w14:textId="46EBC762" w:rsidR="00192026" w:rsidRPr="00A03424"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Increasing</w:t>
            </w:r>
          </w:p>
        </w:tc>
        <w:tc>
          <w:tcPr>
            <w:tcW w:w="1216" w:type="dxa"/>
            <w:tcBorders>
              <w:top w:val="nil"/>
              <w:left w:val="nil"/>
              <w:bottom w:val="nil"/>
              <w:right w:val="nil"/>
            </w:tcBorders>
            <w:shd w:val="clear" w:color="auto" w:fill="FFFFFF"/>
            <w:tcMar>
              <w:top w:w="0" w:type="dxa"/>
              <w:left w:w="0" w:type="dxa"/>
              <w:bottom w:w="0" w:type="dxa"/>
              <w:right w:w="0" w:type="dxa"/>
            </w:tcMar>
            <w:vAlign w:val="center"/>
          </w:tcPr>
          <w:p w14:paraId="76335FC4" w14:textId="6D1C85CB"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34</w:t>
            </w:r>
            <w:r>
              <w:rPr>
                <w:rFonts w:ascii="Arial" w:hAnsi="Arial" w:cs="Arial"/>
                <w:color w:val="000000"/>
                <w:sz w:val="14"/>
                <w:szCs w:val="14"/>
              </w:rPr>
              <w:t>.0</w:t>
            </w:r>
          </w:p>
        </w:tc>
        <w:tc>
          <w:tcPr>
            <w:tcW w:w="1046" w:type="dxa"/>
            <w:tcBorders>
              <w:top w:val="nil"/>
              <w:left w:val="nil"/>
              <w:bottom w:val="nil"/>
              <w:right w:val="nil"/>
            </w:tcBorders>
            <w:shd w:val="clear" w:color="auto" w:fill="FFFFFF"/>
            <w:tcMar>
              <w:top w:w="0" w:type="dxa"/>
              <w:left w:w="0" w:type="dxa"/>
              <w:bottom w:w="0" w:type="dxa"/>
              <w:right w:w="0" w:type="dxa"/>
            </w:tcMar>
          </w:tcPr>
          <w:p w14:paraId="2BEDDB10" w14:textId="6E9B32B8"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color w:val="000000"/>
                <w:sz w:val="14"/>
                <w:szCs w:val="14"/>
              </w:rPr>
            </w:pPr>
            <w:r w:rsidRPr="00192026">
              <w:rPr>
                <w:rFonts w:ascii="Arial" w:hAnsi="Arial" w:cs="Arial"/>
                <w:color w:val="000000"/>
                <w:sz w:val="14"/>
                <w:szCs w:val="14"/>
              </w:rPr>
              <w:t>34</w:t>
            </w:r>
            <w:r>
              <w:rPr>
                <w:rFonts w:ascii="Arial" w:hAnsi="Arial" w:cs="Arial"/>
                <w:color w:val="000000"/>
                <w:sz w:val="14"/>
                <w:szCs w:val="14"/>
              </w:rPr>
              <w:t>.0</w:t>
            </w:r>
            <w:r w:rsidRPr="00192026">
              <w:rPr>
                <w:rFonts w:ascii="Arial" w:hAnsi="Arial" w:cs="Arial"/>
                <w:color w:val="000000"/>
                <w:sz w:val="14"/>
                <w:szCs w:val="14"/>
              </w:rPr>
              <w:t>, 35.7</w:t>
            </w:r>
          </w:p>
        </w:tc>
        <w:tc>
          <w:tcPr>
            <w:tcW w:w="992" w:type="dxa"/>
            <w:tcBorders>
              <w:top w:val="nil"/>
              <w:left w:val="nil"/>
              <w:bottom w:val="nil"/>
              <w:right w:val="nil"/>
            </w:tcBorders>
            <w:shd w:val="clear" w:color="auto" w:fill="FFFFFF"/>
            <w:tcMar>
              <w:top w:w="0" w:type="dxa"/>
              <w:left w:w="0" w:type="dxa"/>
              <w:bottom w:w="0" w:type="dxa"/>
              <w:right w:w="0" w:type="dxa"/>
            </w:tcMar>
          </w:tcPr>
          <w:p w14:paraId="5EF9CE33" w14:textId="3B31471A"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color w:val="000000"/>
                <w:sz w:val="14"/>
                <w:szCs w:val="14"/>
              </w:rPr>
            </w:pPr>
            <w:r w:rsidRPr="00192026">
              <w:rPr>
                <w:rFonts w:ascii="Arial" w:hAnsi="Arial" w:cs="Arial"/>
                <w:color w:val="000000"/>
                <w:sz w:val="14"/>
                <w:szCs w:val="14"/>
              </w:rPr>
              <w:t>39.1, 42.5</w:t>
            </w:r>
          </w:p>
        </w:tc>
      </w:tr>
      <w:tr w:rsidR="00192026" w14:paraId="08C1754D" w14:textId="77777777" w:rsidTr="003F5544">
        <w:trPr>
          <w:jc w:val="center"/>
        </w:trPr>
        <w:tc>
          <w:tcPr>
            <w:tcW w:w="1418" w:type="dxa"/>
            <w:tcBorders>
              <w:top w:val="nil"/>
              <w:left w:val="nil"/>
              <w:bottom w:val="nil"/>
              <w:right w:val="nil"/>
            </w:tcBorders>
            <w:shd w:val="clear" w:color="auto" w:fill="FFFFFF"/>
            <w:tcMar>
              <w:top w:w="0" w:type="dxa"/>
              <w:left w:w="0" w:type="dxa"/>
              <w:bottom w:w="0" w:type="dxa"/>
              <w:right w:w="0" w:type="dxa"/>
            </w:tcMar>
            <w:vAlign w:val="center"/>
          </w:tcPr>
          <w:p w14:paraId="317B9DA7" w14:textId="515A2A02" w:rsidR="00192026" w:rsidRPr="00A03424"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2"/>
                <w:szCs w:val="12"/>
              </w:rPr>
            </w:pPr>
            <w:r w:rsidRPr="00A03424">
              <w:rPr>
                <w:rFonts w:ascii="Arial" w:hAnsi="Arial" w:cs="Arial"/>
                <w:color w:val="000000"/>
                <w:sz w:val="12"/>
                <w:szCs w:val="12"/>
              </w:rPr>
              <w:t>PROM EASTSIDE</w:t>
            </w:r>
          </w:p>
        </w:tc>
        <w:tc>
          <w:tcPr>
            <w:tcW w:w="709" w:type="dxa"/>
            <w:tcBorders>
              <w:top w:val="nil"/>
              <w:left w:val="nil"/>
              <w:bottom w:val="nil"/>
              <w:right w:val="nil"/>
            </w:tcBorders>
            <w:shd w:val="clear" w:color="auto" w:fill="FFFFFF"/>
            <w:tcMar>
              <w:top w:w="0" w:type="dxa"/>
              <w:left w:w="0" w:type="dxa"/>
              <w:bottom w:w="0" w:type="dxa"/>
              <w:right w:w="0" w:type="dxa"/>
            </w:tcMar>
            <w:vAlign w:val="center"/>
          </w:tcPr>
          <w:p w14:paraId="6E5BDBA5" w14:textId="0A3E5E58"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 xml:space="preserve"> 2.49</w:t>
            </w:r>
          </w:p>
        </w:tc>
        <w:tc>
          <w:tcPr>
            <w:tcW w:w="850" w:type="dxa"/>
            <w:tcBorders>
              <w:top w:val="nil"/>
              <w:left w:val="nil"/>
              <w:bottom w:val="nil"/>
              <w:right w:val="nil"/>
            </w:tcBorders>
            <w:shd w:val="clear" w:color="auto" w:fill="FFFFFF"/>
            <w:tcMar>
              <w:top w:w="0" w:type="dxa"/>
              <w:left w:w="0" w:type="dxa"/>
              <w:bottom w:w="0" w:type="dxa"/>
              <w:right w:w="0" w:type="dxa"/>
            </w:tcMar>
            <w:vAlign w:val="center"/>
          </w:tcPr>
          <w:p w14:paraId="550629D3" w14:textId="029DF736"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969" w:type="dxa"/>
            <w:tcBorders>
              <w:top w:val="nil"/>
              <w:left w:val="nil"/>
              <w:bottom w:val="nil"/>
              <w:right w:val="nil"/>
            </w:tcBorders>
            <w:shd w:val="clear" w:color="auto" w:fill="FFFFFF"/>
            <w:tcMar>
              <w:top w:w="0" w:type="dxa"/>
              <w:left w:w="0" w:type="dxa"/>
              <w:bottom w:w="0" w:type="dxa"/>
              <w:right w:w="0" w:type="dxa"/>
            </w:tcMar>
            <w:vAlign w:val="center"/>
          </w:tcPr>
          <w:p w14:paraId="687F583F" w14:textId="7F6F8963"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-0.2</w:t>
            </w:r>
          </w:p>
        </w:tc>
        <w:tc>
          <w:tcPr>
            <w:tcW w:w="992" w:type="dxa"/>
            <w:tcBorders>
              <w:top w:val="nil"/>
              <w:left w:val="nil"/>
              <w:bottom w:val="nil"/>
              <w:right w:val="nil"/>
            </w:tcBorders>
            <w:shd w:val="clear" w:color="auto" w:fill="FFFFFF"/>
            <w:tcMar>
              <w:top w:w="0" w:type="dxa"/>
              <w:left w:w="0" w:type="dxa"/>
              <w:bottom w:w="0" w:type="dxa"/>
              <w:right w:w="0" w:type="dxa"/>
            </w:tcMar>
            <w:vAlign w:val="center"/>
          </w:tcPr>
          <w:p w14:paraId="7869457F" w14:textId="3466307E"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934" w:type="dxa"/>
            <w:tcBorders>
              <w:top w:val="nil"/>
              <w:left w:val="nil"/>
              <w:bottom w:val="nil"/>
              <w:right w:val="nil"/>
            </w:tcBorders>
            <w:shd w:val="clear" w:color="auto" w:fill="FFFF00"/>
            <w:tcMar>
              <w:top w:w="0" w:type="dxa"/>
              <w:left w:w="0" w:type="dxa"/>
              <w:bottom w:w="0" w:type="dxa"/>
              <w:right w:w="0" w:type="dxa"/>
            </w:tcMar>
            <w:vAlign w:val="center"/>
          </w:tcPr>
          <w:p w14:paraId="799C0674" w14:textId="105B403F"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767" w:type="dxa"/>
            <w:tcBorders>
              <w:top w:val="nil"/>
              <w:left w:val="nil"/>
              <w:bottom w:val="nil"/>
              <w:right w:val="nil"/>
            </w:tcBorders>
            <w:shd w:val="clear" w:color="auto" w:fill="FFFFFF"/>
            <w:tcMar>
              <w:top w:w="0" w:type="dxa"/>
              <w:left w:w="0" w:type="dxa"/>
              <w:bottom w:w="0" w:type="dxa"/>
              <w:right w:w="0" w:type="dxa"/>
            </w:tcMar>
            <w:vAlign w:val="center"/>
          </w:tcPr>
          <w:p w14:paraId="71B090F1" w14:textId="77777777" w:rsid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eastAsia="Arial" w:hAnsi="Arial" w:cs="Arial"/>
                <w:color w:val="000000"/>
                <w:sz w:val="14"/>
                <w:szCs w:val="14"/>
              </w:rPr>
              <w:t>NA</w:t>
            </w:r>
          </w:p>
        </w:tc>
        <w:tc>
          <w:tcPr>
            <w:tcW w:w="874" w:type="dxa"/>
            <w:tcBorders>
              <w:top w:val="nil"/>
              <w:left w:val="nil"/>
              <w:bottom w:val="nil"/>
              <w:right w:val="nil"/>
            </w:tcBorders>
            <w:shd w:val="clear" w:color="auto" w:fill="FFFF00"/>
            <w:tcMar>
              <w:top w:w="0" w:type="dxa"/>
              <w:left w:w="0" w:type="dxa"/>
              <w:bottom w:w="0" w:type="dxa"/>
              <w:right w:w="0" w:type="dxa"/>
            </w:tcMar>
            <w:vAlign w:val="center"/>
          </w:tcPr>
          <w:p w14:paraId="1DB550AF" w14:textId="44A9E2C8" w:rsidR="00192026" w:rsidRPr="00A03424"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1216" w:type="dxa"/>
            <w:tcBorders>
              <w:top w:val="nil"/>
              <w:left w:val="nil"/>
              <w:bottom w:val="nil"/>
              <w:right w:val="nil"/>
            </w:tcBorders>
            <w:shd w:val="clear" w:color="auto" w:fill="FFFFFF"/>
            <w:tcMar>
              <w:top w:w="0" w:type="dxa"/>
              <w:left w:w="0" w:type="dxa"/>
              <w:bottom w:w="0" w:type="dxa"/>
              <w:right w:w="0" w:type="dxa"/>
            </w:tcMar>
            <w:vAlign w:val="center"/>
          </w:tcPr>
          <w:p w14:paraId="4FE5090A" w14:textId="2740D81A"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4.8</w:t>
            </w:r>
          </w:p>
        </w:tc>
        <w:tc>
          <w:tcPr>
            <w:tcW w:w="1046" w:type="dxa"/>
            <w:tcBorders>
              <w:top w:val="nil"/>
              <w:left w:val="nil"/>
              <w:bottom w:val="nil"/>
              <w:right w:val="nil"/>
            </w:tcBorders>
            <w:shd w:val="clear" w:color="auto" w:fill="FFFFFF"/>
            <w:tcMar>
              <w:top w:w="0" w:type="dxa"/>
              <w:left w:w="0" w:type="dxa"/>
              <w:bottom w:w="0" w:type="dxa"/>
              <w:right w:w="0" w:type="dxa"/>
            </w:tcMar>
          </w:tcPr>
          <w:p w14:paraId="209898B4" w14:textId="1EA9E0A9"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color w:val="000000"/>
                <w:sz w:val="14"/>
                <w:szCs w:val="14"/>
              </w:rPr>
            </w:pPr>
            <w:r w:rsidRPr="00192026">
              <w:rPr>
                <w:rFonts w:ascii="Arial" w:hAnsi="Arial" w:cs="Arial"/>
                <w:color w:val="000000"/>
                <w:sz w:val="14"/>
                <w:szCs w:val="14"/>
              </w:rPr>
              <w:t>4.</w:t>
            </w:r>
            <w:r w:rsidR="000C508C">
              <w:rPr>
                <w:rFonts w:ascii="Arial" w:hAnsi="Arial" w:cs="Arial"/>
                <w:color w:val="000000"/>
                <w:sz w:val="14"/>
                <w:szCs w:val="14"/>
              </w:rPr>
              <w:t>1</w:t>
            </w:r>
          </w:p>
        </w:tc>
        <w:tc>
          <w:tcPr>
            <w:tcW w:w="992" w:type="dxa"/>
            <w:tcBorders>
              <w:top w:val="nil"/>
              <w:left w:val="nil"/>
              <w:bottom w:val="nil"/>
              <w:right w:val="nil"/>
            </w:tcBorders>
            <w:shd w:val="clear" w:color="auto" w:fill="FFFFFF"/>
            <w:tcMar>
              <w:top w:w="0" w:type="dxa"/>
              <w:left w:w="0" w:type="dxa"/>
              <w:bottom w:w="0" w:type="dxa"/>
              <w:right w:w="0" w:type="dxa"/>
            </w:tcMar>
          </w:tcPr>
          <w:p w14:paraId="19270397" w14:textId="2B1CE6FA" w:rsidR="00192026" w:rsidRPr="00192026" w:rsidRDefault="00520687"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color w:val="000000"/>
                <w:sz w:val="14"/>
                <w:szCs w:val="14"/>
              </w:rPr>
            </w:pPr>
            <w:r>
              <w:rPr>
                <w:rFonts w:ascii="Arial" w:hAnsi="Arial" w:cs="Arial"/>
                <w:color w:val="000000"/>
                <w:sz w:val="14"/>
                <w:szCs w:val="14"/>
              </w:rPr>
              <w:t>4.6</w:t>
            </w:r>
          </w:p>
        </w:tc>
      </w:tr>
      <w:tr w:rsidR="00192026" w14:paraId="2008C198" w14:textId="77777777" w:rsidTr="003F5544">
        <w:trPr>
          <w:jc w:val="center"/>
        </w:trPr>
        <w:tc>
          <w:tcPr>
            <w:tcW w:w="1418" w:type="dxa"/>
            <w:tcBorders>
              <w:top w:val="nil"/>
              <w:left w:val="nil"/>
              <w:bottom w:val="nil"/>
              <w:right w:val="nil"/>
            </w:tcBorders>
            <w:shd w:val="clear" w:color="auto" w:fill="FFFFFF"/>
            <w:tcMar>
              <w:top w:w="0" w:type="dxa"/>
              <w:left w:w="0" w:type="dxa"/>
              <w:bottom w:w="0" w:type="dxa"/>
              <w:right w:w="0" w:type="dxa"/>
            </w:tcMar>
            <w:vAlign w:val="center"/>
          </w:tcPr>
          <w:p w14:paraId="00BDBC5B" w14:textId="7869416B" w:rsidR="00192026" w:rsidRPr="00A03424"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2"/>
                <w:szCs w:val="12"/>
              </w:rPr>
            </w:pPr>
            <w:r w:rsidRPr="00A03424">
              <w:rPr>
                <w:rFonts w:ascii="Arial" w:hAnsi="Arial" w:cs="Arial"/>
                <w:color w:val="000000"/>
                <w:sz w:val="12"/>
                <w:szCs w:val="12"/>
              </w:rPr>
              <w:t>PROM WESTSIDE</w:t>
            </w:r>
          </w:p>
        </w:tc>
        <w:tc>
          <w:tcPr>
            <w:tcW w:w="709" w:type="dxa"/>
            <w:tcBorders>
              <w:top w:val="nil"/>
              <w:left w:val="nil"/>
              <w:bottom w:val="nil"/>
              <w:right w:val="nil"/>
            </w:tcBorders>
            <w:shd w:val="clear" w:color="auto" w:fill="FFFFFF"/>
            <w:tcMar>
              <w:top w:w="0" w:type="dxa"/>
              <w:left w:w="0" w:type="dxa"/>
              <w:bottom w:w="0" w:type="dxa"/>
              <w:right w:w="0" w:type="dxa"/>
            </w:tcMar>
            <w:vAlign w:val="center"/>
          </w:tcPr>
          <w:p w14:paraId="09EF9713" w14:textId="31D61049"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 xml:space="preserve"> 0.67</w:t>
            </w:r>
          </w:p>
        </w:tc>
        <w:tc>
          <w:tcPr>
            <w:tcW w:w="850" w:type="dxa"/>
            <w:tcBorders>
              <w:top w:val="nil"/>
              <w:left w:val="nil"/>
              <w:bottom w:val="nil"/>
              <w:right w:val="nil"/>
            </w:tcBorders>
            <w:shd w:val="clear" w:color="auto" w:fill="FFFFFF"/>
            <w:tcMar>
              <w:top w:w="0" w:type="dxa"/>
              <w:left w:w="0" w:type="dxa"/>
              <w:bottom w:w="0" w:type="dxa"/>
              <w:right w:w="0" w:type="dxa"/>
            </w:tcMar>
            <w:vAlign w:val="center"/>
          </w:tcPr>
          <w:p w14:paraId="4783673B" w14:textId="13D76188"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969" w:type="dxa"/>
            <w:tcBorders>
              <w:top w:val="nil"/>
              <w:left w:val="nil"/>
              <w:bottom w:val="nil"/>
              <w:right w:val="nil"/>
            </w:tcBorders>
            <w:shd w:val="clear" w:color="auto" w:fill="FFFFFF"/>
            <w:tcMar>
              <w:top w:w="0" w:type="dxa"/>
              <w:left w:w="0" w:type="dxa"/>
              <w:bottom w:w="0" w:type="dxa"/>
              <w:right w:w="0" w:type="dxa"/>
            </w:tcMar>
            <w:vAlign w:val="center"/>
          </w:tcPr>
          <w:p w14:paraId="171C11AC" w14:textId="54A99F5C"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-1.5</w:t>
            </w:r>
          </w:p>
        </w:tc>
        <w:tc>
          <w:tcPr>
            <w:tcW w:w="992" w:type="dxa"/>
            <w:tcBorders>
              <w:top w:val="nil"/>
              <w:left w:val="nil"/>
              <w:bottom w:val="nil"/>
              <w:right w:val="nil"/>
            </w:tcBorders>
            <w:shd w:val="clear" w:color="auto" w:fill="FFFFFF"/>
            <w:tcMar>
              <w:top w:w="0" w:type="dxa"/>
              <w:left w:w="0" w:type="dxa"/>
              <w:bottom w:w="0" w:type="dxa"/>
              <w:right w:w="0" w:type="dxa"/>
            </w:tcMar>
            <w:vAlign w:val="center"/>
          </w:tcPr>
          <w:p w14:paraId="2ADEBD5E" w14:textId="3D5020F6"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934" w:type="dxa"/>
            <w:tcBorders>
              <w:top w:val="nil"/>
              <w:left w:val="nil"/>
              <w:bottom w:val="nil"/>
              <w:right w:val="nil"/>
            </w:tcBorders>
            <w:shd w:val="clear" w:color="auto" w:fill="FFFF00"/>
            <w:tcMar>
              <w:top w:w="0" w:type="dxa"/>
              <w:left w:w="0" w:type="dxa"/>
              <w:bottom w:w="0" w:type="dxa"/>
              <w:right w:w="0" w:type="dxa"/>
            </w:tcMar>
            <w:vAlign w:val="center"/>
          </w:tcPr>
          <w:p w14:paraId="3E13765F" w14:textId="05C9811B"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767" w:type="dxa"/>
            <w:tcBorders>
              <w:top w:val="nil"/>
              <w:left w:val="nil"/>
              <w:bottom w:val="nil"/>
              <w:right w:val="nil"/>
            </w:tcBorders>
            <w:shd w:val="clear" w:color="auto" w:fill="FFFFFF"/>
            <w:tcMar>
              <w:top w:w="0" w:type="dxa"/>
              <w:left w:w="0" w:type="dxa"/>
              <w:bottom w:w="0" w:type="dxa"/>
              <w:right w:w="0" w:type="dxa"/>
            </w:tcMar>
            <w:vAlign w:val="center"/>
          </w:tcPr>
          <w:p w14:paraId="0BB0EF56" w14:textId="77777777" w:rsid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eastAsia="Arial" w:hAnsi="Arial" w:cs="Arial"/>
                <w:color w:val="000000"/>
                <w:sz w:val="14"/>
                <w:szCs w:val="14"/>
              </w:rPr>
              <w:t>NA</w:t>
            </w:r>
          </w:p>
        </w:tc>
        <w:tc>
          <w:tcPr>
            <w:tcW w:w="874" w:type="dxa"/>
            <w:tcBorders>
              <w:top w:val="nil"/>
              <w:left w:val="nil"/>
              <w:bottom w:val="nil"/>
              <w:right w:val="nil"/>
            </w:tcBorders>
            <w:shd w:val="clear" w:color="auto" w:fill="FFFF00"/>
            <w:tcMar>
              <w:top w:w="0" w:type="dxa"/>
              <w:left w:w="0" w:type="dxa"/>
              <w:bottom w:w="0" w:type="dxa"/>
              <w:right w:w="0" w:type="dxa"/>
            </w:tcMar>
            <w:vAlign w:val="center"/>
          </w:tcPr>
          <w:p w14:paraId="1DDA5B09" w14:textId="4A415CD9" w:rsidR="00192026" w:rsidRPr="00A03424"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1216" w:type="dxa"/>
            <w:tcBorders>
              <w:top w:val="nil"/>
              <w:left w:val="nil"/>
              <w:bottom w:val="nil"/>
              <w:right w:val="nil"/>
            </w:tcBorders>
            <w:shd w:val="clear" w:color="auto" w:fill="FFFFFF"/>
            <w:tcMar>
              <w:top w:w="0" w:type="dxa"/>
              <w:left w:w="0" w:type="dxa"/>
              <w:bottom w:w="0" w:type="dxa"/>
              <w:right w:w="0" w:type="dxa"/>
            </w:tcMar>
            <w:vAlign w:val="center"/>
          </w:tcPr>
          <w:p w14:paraId="5CE322DD" w14:textId="413CF2FE"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21</w:t>
            </w:r>
          </w:p>
        </w:tc>
        <w:tc>
          <w:tcPr>
            <w:tcW w:w="1046" w:type="dxa"/>
            <w:tcBorders>
              <w:top w:val="nil"/>
              <w:left w:val="nil"/>
              <w:bottom w:val="nil"/>
              <w:right w:val="nil"/>
            </w:tcBorders>
            <w:shd w:val="clear" w:color="auto" w:fill="FFFFFF"/>
            <w:tcMar>
              <w:top w:w="0" w:type="dxa"/>
              <w:left w:w="0" w:type="dxa"/>
              <w:bottom w:w="0" w:type="dxa"/>
              <w:right w:w="0" w:type="dxa"/>
            </w:tcMar>
          </w:tcPr>
          <w:p w14:paraId="10BD53C7" w14:textId="47FF59A3"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color w:val="000000"/>
                <w:sz w:val="14"/>
                <w:szCs w:val="14"/>
              </w:rPr>
            </w:pPr>
            <w:r w:rsidRPr="00192026">
              <w:rPr>
                <w:rFonts w:ascii="Arial" w:hAnsi="Arial" w:cs="Arial"/>
                <w:color w:val="000000"/>
                <w:sz w:val="14"/>
                <w:szCs w:val="14"/>
              </w:rPr>
              <w:t>20.0</w:t>
            </w:r>
          </w:p>
        </w:tc>
        <w:tc>
          <w:tcPr>
            <w:tcW w:w="992" w:type="dxa"/>
            <w:tcBorders>
              <w:top w:val="nil"/>
              <w:left w:val="nil"/>
              <w:bottom w:val="nil"/>
              <w:right w:val="nil"/>
            </w:tcBorders>
            <w:shd w:val="clear" w:color="auto" w:fill="FFFFFF"/>
            <w:tcMar>
              <w:top w:w="0" w:type="dxa"/>
              <w:left w:w="0" w:type="dxa"/>
              <w:bottom w:w="0" w:type="dxa"/>
              <w:right w:w="0" w:type="dxa"/>
            </w:tcMar>
          </w:tcPr>
          <w:p w14:paraId="4A43A474" w14:textId="72A91E84"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color w:val="000000"/>
                <w:sz w:val="14"/>
                <w:szCs w:val="14"/>
              </w:rPr>
            </w:pPr>
            <w:r w:rsidRPr="00192026">
              <w:rPr>
                <w:rFonts w:ascii="Arial" w:hAnsi="Arial" w:cs="Arial"/>
                <w:color w:val="000000"/>
                <w:sz w:val="14"/>
                <w:szCs w:val="14"/>
              </w:rPr>
              <w:t>22.1</w:t>
            </w:r>
          </w:p>
        </w:tc>
      </w:tr>
      <w:tr w:rsidR="00192026" w14:paraId="268EA0E5" w14:textId="77777777" w:rsidTr="003F5544">
        <w:trPr>
          <w:jc w:val="center"/>
        </w:trPr>
        <w:tc>
          <w:tcPr>
            <w:tcW w:w="1418" w:type="dxa"/>
            <w:tcBorders>
              <w:top w:val="nil"/>
              <w:left w:val="nil"/>
              <w:bottom w:val="nil"/>
              <w:right w:val="nil"/>
            </w:tcBorders>
            <w:shd w:val="clear" w:color="auto" w:fill="FFFFFF"/>
            <w:tcMar>
              <w:top w:w="0" w:type="dxa"/>
              <w:left w:w="0" w:type="dxa"/>
              <w:bottom w:w="0" w:type="dxa"/>
              <w:right w:w="0" w:type="dxa"/>
            </w:tcMar>
            <w:vAlign w:val="center"/>
          </w:tcPr>
          <w:p w14:paraId="0AF7BAB1" w14:textId="0A754398" w:rsidR="00192026" w:rsidRPr="00A03424"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2"/>
                <w:szCs w:val="12"/>
              </w:rPr>
            </w:pPr>
            <w:r w:rsidRPr="00A03424">
              <w:rPr>
                <w:rFonts w:ascii="Arial" w:hAnsi="Arial" w:cs="Arial"/>
                <w:color w:val="000000"/>
                <w:sz w:val="12"/>
                <w:szCs w:val="12"/>
              </w:rPr>
              <w:t>SHIPWRECK COAST</w:t>
            </w:r>
          </w:p>
        </w:tc>
        <w:tc>
          <w:tcPr>
            <w:tcW w:w="709" w:type="dxa"/>
            <w:tcBorders>
              <w:top w:val="nil"/>
              <w:left w:val="nil"/>
              <w:bottom w:val="nil"/>
              <w:right w:val="nil"/>
            </w:tcBorders>
            <w:shd w:val="clear" w:color="auto" w:fill="FFFFFF"/>
            <w:tcMar>
              <w:top w:w="0" w:type="dxa"/>
              <w:left w:w="0" w:type="dxa"/>
              <w:bottom w:w="0" w:type="dxa"/>
              <w:right w:w="0" w:type="dxa"/>
            </w:tcMar>
            <w:vAlign w:val="center"/>
          </w:tcPr>
          <w:p w14:paraId="5CC1BCF0" w14:textId="7C2B207B"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 xml:space="preserve"> 4.98</w:t>
            </w:r>
          </w:p>
        </w:tc>
        <w:tc>
          <w:tcPr>
            <w:tcW w:w="850" w:type="dxa"/>
            <w:tcBorders>
              <w:top w:val="nil"/>
              <w:left w:val="nil"/>
              <w:bottom w:val="nil"/>
              <w:right w:val="nil"/>
            </w:tcBorders>
            <w:shd w:val="clear" w:color="auto" w:fill="FFFFFF"/>
            <w:tcMar>
              <w:top w:w="0" w:type="dxa"/>
              <w:left w:w="0" w:type="dxa"/>
              <w:bottom w:w="0" w:type="dxa"/>
              <w:right w:w="0" w:type="dxa"/>
            </w:tcMar>
            <w:vAlign w:val="center"/>
          </w:tcPr>
          <w:p w14:paraId="0F7A3C93" w14:textId="521F8698"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969" w:type="dxa"/>
            <w:tcBorders>
              <w:top w:val="nil"/>
              <w:left w:val="nil"/>
              <w:bottom w:val="nil"/>
              <w:right w:val="nil"/>
            </w:tcBorders>
            <w:shd w:val="clear" w:color="auto" w:fill="FFFFFF"/>
            <w:tcMar>
              <w:top w:w="0" w:type="dxa"/>
              <w:left w:w="0" w:type="dxa"/>
              <w:bottom w:w="0" w:type="dxa"/>
              <w:right w:w="0" w:type="dxa"/>
            </w:tcMar>
            <w:vAlign w:val="center"/>
          </w:tcPr>
          <w:p w14:paraId="5F7290C4" w14:textId="7C105E8F"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 xml:space="preserve"> 1.4</w:t>
            </w:r>
          </w:p>
        </w:tc>
        <w:tc>
          <w:tcPr>
            <w:tcW w:w="992" w:type="dxa"/>
            <w:tcBorders>
              <w:top w:val="nil"/>
              <w:left w:val="nil"/>
              <w:bottom w:val="nil"/>
              <w:right w:val="nil"/>
            </w:tcBorders>
            <w:shd w:val="clear" w:color="auto" w:fill="FFFFFF"/>
            <w:tcMar>
              <w:top w:w="0" w:type="dxa"/>
              <w:left w:w="0" w:type="dxa"/>
              <w:bottom w:w="0" w:type="dxa"/>
              <w:right w:w="0" w:type="dxa"/>
            </w:tcMar>
            <w:vAlign w:val="center"/>
          </w:tcPr>
          <w:p w14:paraId="4928A657" w14:textId="2F87F79D"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934" w:type="dxa"/>
            <w:tcBorders>
              <w:top w:val="nil"/>
              <w:left w:val="nil"/>
              <w:bottom w:val="nil"/>
              <w:right w:val="nil"/>
            </w:tcBorders>
            <w:shd w:val="clear" w:color="auto" w:fill="FFFF00"/>
            <w:tcMar>
              <w:top w:w="0" w:type="dxa"/>
              <w:left w:w="0" w:type="dxa"/>
              <w:bottom w:w="0" w:type="dxa"/>
              <w:right w:w="0" w:type="dxa"/>
            </w:tcMar>
            <w:vAlign w:val="center"/>
          </w:tcPr>
          <w:p w14:paraId="37822A1A" w14:textId="57F266DE"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767" w:type="dxa"/>
            <w:tcBorders>
              <w:top w:val="nil"/>
              <w:left w:val="nil"/>
              <w:bottom w:val="nil"/>
              <w:right w:val="nil"/>
            </w:tcBorders>
            <w:shd w:val="clear" w:color="auto" w:fill="FFFFFF"/>
            <w:tcMar>
              <w:top w:w="0" w:type="dxa"/>
              <w:left w:w="0" w:type="dxa"/>
              <w:bottom w:w="0" w:type="dxa"/>
              <w:right w:w="0" w:type="dxa"/>
            </w:tcMar>
            <w:vAlign w:val="center"/>
          </w:tcPr>
          <w:p w14:paraId="179600C3" w14:textId="77777777" w:rsid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eastAsia="Arial" w:hAnsi="Arial" w:cs="Arial"/>
                <w:color w:val="000000"/>
                <w:sz w:val="14"/>
                <w:szCs w:val="14"/>
              </w:rPr>
              <w:t>NA</w:t>
            </w:r>
          </w:p>
        </w:tc>
        <w:tc>
          <w:tcPr>
            <w:tcW w:w="874" w:type="dxa"/>
            <w:tcBorders>
              <w:top w:val="nil"/>
              <w:left w:val="nil"/>
              <w:bottom w:val="nil"/>
              <w:right w:val="nil"/>
            </w:tcBorders>
            <w:shd w:val="clear" w:color="auto" w:fill="FFFF00"/>
            <w:tcMar>
              <w:top w:w="0" w:type="dxa"/>
              <w:left w:w="0" w:type="dxa"/>
              <w:bottom w:w="0" w:type="dxa"/>
              <w:right w:w="0" w:type="dxa"/>
            </w:tcMar>
            <w:vAlign w:val="center"/>
          </w:tcPr>
          <w:p w14:paraId="70A80018" w14:textId="6A4B8936" w:rsidR="00192026" w:rsidRPr="00A03424"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1216" w:type="dxa"/>
            <w:tcBorders>
              <w:top w:val="nil"/>
              <w:left w:val="nil"/>
              <w:bottom w:val="nil"/>
              <w:right w:val="nil"/>
            </w:tcBorders>
            <w:shd w:val="clear" w:color="auto" w:fill="FFFFFF"/>
            <w:tcMar>
              <w:top w:w="0" w:type="dxa"/>
              <w:left w:w="0" w:type="dxa"/>
              <w:bottom w:w="0" w:type="dxa"/>
              <w:right w:w="0" w:type="dxa"/>
            </w:tcMar>
            <w:vAlign w:val="center"/>
          </w:tcPr>
          <w:p w14:paraId="78188EF4" w14:textId="4EF8C36A"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29.2</w:t>
            </w:r>
          </w:p>
        </w:tc>
        <w:tc>
          <w:tcPr>
            <w:tcW w:w="1046" w:type="dxa"/>
            <w:tcBorders>
              <w:top w:val="nil"/>
              <w:left w:val="nil"/>
              <w:bottom w:val="nil"/>
              <w:right w:val="nil"/>
            </w:tcBorders>
            <w:shd w:val="clear" w:color="auto" w:fill="FFFFFF"/>
            <w:tcMar>
              <w:top w:w="0" w:type="dxa"/>
              <w:left w:w="0" w:type="dxa"/>
              <w:bottom w:w="0" w:type="dxa"/>
              <w:right w:w="0" w:type="dxa"/>
            </w:tcMar>
          </w:tcPr>
          <w:p w14:paraId="613118C1" w14:textId="14586BC9"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color w:val="000000"/>
                <w:sz w:val="14"/>
                <w:szCs w:val="14"/>
              </w:rPr>
            </w:pPr>
            <w:r w:rsidRPr="00192026">
              <w:rPr>
                <w:rFonts w:ascii="Arial" w:hAnsi="Arial" w:cs="Arial"/>
                <w:color w:val="000000"/>
                <w:sz w:val="14"/>
                <w:szCs w:val="14"/>
              </w:rPr>
              <w:t>27.7</w:t>
            </w:r>
          </w:p>
        </w:tc>
        <w:tc>
          <w:tcPr>
            <w:tcW w:w="992" w:type="dxa"/>
            <w:tcBorders>
              <w:top w:val="nil"/>
              <w:left w:val="nil"/>
              <w:bottom w:val="nil"/>
              <w:right w:val="nil"/>
            </w:tcBorders>
            <w:shd w:val="clear" w:color="auto" w:fill="FFFFFF"/>
            <w:tcMar>
              <w:top w:w="0" w:type="dxa"/>
              <w:left w:w="0" w:type="dxa"/>
              <w:bottom w:w="0" w:type="dxa"/>
              <w:right w:w="0" w:type="dxa"/>
            </w:tcMar>
          </w:tcPr>
          <w:p w14:paraId="338F9688" w14:textId="6C1F7178"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color w:val="000000"/>
                <w:sz w:val="14"/>
                <w:szCs w:val="14"/>
              </w:rPr>
            </w:pPr>
            <w:r w:rsidRPr="00192026">
              <w:rPr>
                <w:rFonts w:ascii="Arial" w:hAnsi="Arial" w:cs="Arial"/>
                <w:color w:val="000000"/>
                <w:sz w:val="14"/>
                <w:szCs w:val="14"/>
              </w:rPr>
              <w:t>30.7</w:t>
            </w:r>
          </w:p>
        </w:tc>
      </w:tr>
      <w:tr w:rsidR="00192026" w14:paraId="03333347" w14:textId="77777777" w:rsidTr="003F5544">
        <w:trPr>
          <w:jc w:val="center"/>
        </w:trPr>
        <w:tc>
          <w:tcPr>
            <w:tcW w:w="1418" w:type="dxa"/>
            <w:tcBorders>
              <w:top w:val="nil"/>
              <w:left w:val="nil"/>
              <w:bottom w:val="single" w:sz="8" w:space="0" w:color="000000"/>
              <w:right w:val="nil"/>
            </w:tcBorders>
            <w:shd w:val="clear" w:color="auto" w:fill="FFFFFF"/>
            <w:tcMar>
              <w:top w:w="0" w:type="dxa"/>
              <w:left w:w="0" w:type="dxa"/>
              <w:bottom w:w="0" w:type="dxa"/>
              <w:right w:w="0" w:type="dxa"/>
            </w:tcMar>
            <w:vAlign w:val="center"/>
          </w:tcPr>
          <w:p w14:paraId="48BF4197" w14:textId="3004385C" w:rsidR="00192026" w:rsidRPr="00A03424"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2"/>
                <w:szCs w:val="12"/>
              </w:rPr>
            </w:pPr>
            <w:r w:rsidRPr="00A03424">
              <w:rPr>
                <w:rFonts w:ascii="Arial" w:hAnsi="Arial" w:cs="Arial"/>
                <w:color w:val="000000"/>
                <w:sz w:val="12"/>
                <w:szCs w:val="12"/>
              </w:rPr>
              <w:t>SURFCOAST</w:t>
            </w:r>
          </w:p>
        </w:tc>
        <w:tc>
          <w:tcPr>
            <w:tcW w:w="709" w:type="dxa"/>
            <w:tcBorders>
              <w:top w:val="nil"/>
              <w:left w:val="nil"/>
              <w:bottom w:val="single" w:sz="8" w:space="0" w:color="000000"/>
              <w:right w:val="nil"/>
            </w:tcBorders>
            <w:shd w:val="clear" w:color="auto" w:fill="FFFFFF"/>
            <w:tcMar>
              <w:top w:w="0" w:type="dxa"/>
              <w:left w:w="0" w:type="dxa"/>
              <w:bottom w:w="0" w:type="dxa"/>
              <w:right w:w="0" w:type="dxa"/>
            </w:tcMar>
            <w:vAlign w:val="center"/>
          </w:tcPr>
          <w:p w14:paraId="6C4413DF" w14:textId="71955654"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 xml:space="preserve"> 4.35</w:t>
            </w:r>
          </w:p>
        </w:tc>
        <w:tc>
          <w:tcPr>
            <w:tcW w:w="850" w:type="dxa"/>
            <w:tcBorders>
              <w:top w:val="nil"/>
              <w:left w:val="nil"/>
              <w:bottom w:val="single" w:sz="8" w:space="0" w:color="000000"/>
              <w:right w:val="nil"/>
            </w:tcBorders>
            <w:shd w:val="clear" w:color="auto" w:fill="FFFFFF"/>
            <w:tcMar>
              <w:top w:w="0" w:type="dxa"/>
              <w:left w:w="0" w:type="dxa"/>
              <w:bottom w:w="0" w:type="dxa"/>
              <w:right w:w="0" w:type="dxa"/>
            </w:tcMar>
            <w:vAlign w:val="center"/>
          </w:tcPr>
          <w:p w14:paraId="0ABB3FEF" w14:textId="55152F97"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969" w:type="dxa"/>
            <w:tcBorders>
              <w:top w:val="nil"/>
              <w:left w:val="nil"/>
              <w:bottom w:val="single" w:sz="8" w:space="0" w:color="000000"/>
              <w:right w:val="nil"/>
            </w:tcBorders>
            <w:shd w:val="clear" w:color="auto" w:fill="FFFFFF"/>
            <w:tcMar>
              <w:top w:w="0" w:type="dxa"/>
              <w:left w:w="0" w:type="dxa"/>
              <w:bottom w:w="0" w:type="dxa"/>
              <w:right w:w="0" w:type="dxa"/>
            </w:tcMar>
            <w:vAlign w:val="center"/>
          </w:tcPr>
          <w:p w14:paraId="4C907948" w14:textId="416CA9F1"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 xml:space="preserve"> 1.9</w:t>
            </w:r>
          </w:p>
        </w:tc>
        <w:tc>
          <w:tcPr>
            <w:tcW w:w="992" w:type="dxa"/>
            <w:tcBorders>
              <w:top w:val="nil"/>
              <w:left w:val="nil"/>
              <w:bottom w:val="single" w:sz="8" w:space="0" w:color="000000"/>
              <w:right w:val="nil"/>
            </w:tcBorders>
            <w:shd w:val="clear" w:color="auto" w:fill="FFFFFF"/>
            <w:tcMar>
              <w:top w:w="0" w:type="dxa"/>
              <w:left w:w="0" w:type="dxa"/>
              <w:bottom w:w="0" w:type="dxa"/>
              <w:right w:w="0" w:type="dxa"/>
            </w:tcMar>
            <w:vAlign w:val="center"/>
          </w:tcPr>
          <w:p w14:paraId="5D89A79B" w14:textId="7046073F"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934" w:type="dxa"/>
            <w:tcBorders>
              <w:top w:val="nil"/>
              <w:left w:val="nil"/>
              <w:bottom w:val="single" w:sz="8" w:space="0" w:color="000000"/>
              <w:right w:val="nil"/>
            </w:tcBorders>
            <w:shd w:val="clear" w:color="auto" w:fill="FFFF00"/>
            <w:tcMar>
              <w:top w:w="0" w:type="dxa"/>
              <w:left w:w="0" w:type="dxa"/>
              <w:bottom w:w="0" w:type="dxa"/>
              <w:right w:w="0" w:type="dxa"/>
            </w:tcMar>
            <w:vAlign w:val="center"/>
          </w:tcPr>
          <w:p w14:paraId="04EFC718" w14:textId="56C2A27E"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767" w:type="dxa"/>
            <w:tcBorders>
              <w:top w:val="nil"/>
              <w:left w:val="nil"/>
              <w:bottom w:val="single" w:sz="8" w:space="0" w:color="000000"/>
              <w:right w:val="nil"/>
            </w:tcBorders>
            <w:shd w:val="clear" w:color="auto" w:fill="FFFFFF"/>
            <w:tcMar>
              <w:top w:w="0" w:type="dxa"/>
              <w:left w:w="0" w:type="dxa"/>
              <w:bottom w:w="0" w:type="dxa"/>
              <w:right w:w="0" w:type="dxa"/>
            </w:tcMar>
            <w:vAlign w:val="center"/>
          </w:tcPr>
          <w:p w14:paraId="7DB598C4" w14:textId="77777777" w:rsid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eastAsia="Arial" w:hAnsi="Arial" w:cs="Arial"/>
                <w:color w:val="000000"/>
                <w:sz w:val="14"/>
                <w:szCs w:val="14"/>
              </w:rPr>
              <w:t>NA</w:t>
            </w:r>
          </w:p>
        </w:tc>
        <w:tc>
          <w:tcPr>
            <w:tcW w:w="874" w:type="dxa"/>
            <w:tcBorders>
              <w:top w:val="nil"/>
              <w:left w:val="nil"/>
              <w:bottom w:val="single" w:sz="8" w:space="0" w:color="000000"/>
              <w:right w:val="nil"/>
            </w:tcBorders>
            <w:shd w:val="clear" w:color="auto" w:fill="FFFF00"/>
            <w:tcMar>
              <w:top w:w="0" w:type="dxa"/>
              <w:left w:w="0" w:type="dxa"/>
              <w:bottom w:w="0" w:type="dxa"/>
              <w:right w:w="0" w:type="dxa"/>
            </w:tcMar>
            <w:vAlign w:val="center"/>
          </w:tcPr>
          <w:p w14:paraId="3AB2881F" w14:textId="03379B87" w:rsidR="00192026" w:rsidRPr="00A03424"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1216" w:type="dxa"/>
            <w:tcBorders>
              <w:top w:val="nil"/>
              <w:left w:val="nil"/>
              <w:bottom w:val="single" w:sz="8" w:space="0" w:color="000000"/>
              <w:right w:val="nil"/>
            </w:tcBorders>
            <w:shd w:val="clear" w:color="auto" w:fill="FFFFFF"/>
            <w:tcMar>
              <w:top w:w="0" w:type="dxa"/>
              <w:left w:w="0" w:type="dxa"/>
              <w:bottom w:w="0" w:type="dxa"/>
              <w:right w:w="0" w:type="dxa"/>
            </w:tcMar>
            <w:vAlign w:val="center"/>
          </w:tcPr>
          <w:p w14:paraId="6E1CDCE8" w14:textId="6235A6E9"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1.7</w:t>
            </w:r>
          </w:p>
        </w:tc>
        <w:tc>
          <w:tcPr>
            <w:tcW w:w="1046" w:type="dxa"/>
            <w:tcBorders>
              <w:top w:val="nil"/>
              <w:left w:val="nil"/>
              <w:bottom w:val="single" w:sz="8" w:space="0" w:color="000000"/>
              <w:right w:val="nil"/>
            </w:tcBorders>
            <w:shd w:val="clear" w:color="auto" w:fill="FFFFFF"/>
            <w:tcMar>
              <w:top w:w="0" w:type="dxa"/>
              <w:left w:w="0" w:type="dxa"/>
              <w:bottom w:w="0" w:type="dxa"/>
              <w:right w:w="0" w:type="dxa"/>
            </w:tcMar>
          </w:tcPr>
          <w:p w14:paraId="6453B3B4" w14:textId="748F9CAF"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color w:val="000000"/>
                <w:sz w:val="14"/>
                <w:szCs w:val="14"/>
              </w:rPr>
            </w:pPr>
            <w:r w:rsidRPr="00192026">
              <w:rPr>
                <w:rFonts w:ascii="Arial" w:hAnsi="Arial" w:cs="Arial"/>
                <w:color w:val="000000"/>
                <w:sz w:val="14"/>
                <w:szCs w:val="14"/>
              </w:rPr>
              <w:t>1.6</w:t>
            </w:r>
          </w:p>
        </w:tc>
        <w:tc>
          <w:tcPr>
            <w:tcW w:w="992" w:type="dxa"/>
            <w:tcBorders>
              <w:top w:val="nil"/>
              <w:left w:val="nil"/>
              <w:bottom w:val="single" w:sz="8" w:space="0" w:color="000000"/>
              <w:right w:val="nil"/>
            </w:tcBorders>
            <w:shd w:val="clear" w:color="auto" w:fill="FFFFFF"/>
            <w:tcMar>
              <w:top w:w="0" w:type="dxa"/>
              <w:left w:w="0" w:type="dxa"/>
              <w:bottom w:w="0" w:type="dxa"/>
              <w:right w:w="0" w:type="dxa"/>
            </w:tcMar>
          </w:tcPr>
          <w:p w14:paraId="7A21F14E" w14:textId="38F07F13"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color w:val="000000"/>
                <w:sz w:val="14"/>
                <w:szCs w:val="14"/>
              </w:rPr>
            </w:pPr>
            <w:r w:rsidRPr="00192026">
              <w:rPr>
                <w:rFonts w:ascii="Arial" w:hAnsi="Arial" w:cs="Arial"/>
                <w:color w:val="000000"/>
                <w:sz w:val="14"/>
                <w:szCs w:val="14"/>
              </w:rPr>
              <w:t>1.8</w:t>
            </w:r>
          </w:p>
        </w:tc>
      </w:tr>
      <w:tr w:rsidR="00192026" w14:paraId="08C4B90D" w14:textId="77777777" w:rsidTr="003F5544">
        <w:trPr>
          <w:jc w:val="center"/>
        </w:trPr>
        <w:tc>
          <w:tcPr>
            <w:tcW w:w="1418" w:type="dxa"/>
            <w:tcBorders>
              <w:top w:val="single" w:sz="8" w:space="0" w:color="000000"/>
              <w:left w:val="nil"/>
              <w:bottom w:val="single" w:sz="12" w:space="0" w:color="666666"/>
              <w:right w:val="nil"/>
            </w:tcBorders>
            <w:shd w:val="clear" w:color="auto" w:fill="FFFFFF"/>
            <w:tcMar>
              <w:top w:w="0" w:type="dxa"/>
              <w:left w:w="0" w:type="dxa"/>
              <w:bottom w:w="0" w:type="dxa"/>
              <w:right w:w="0" w:type="dxa"/>
            </w:tcMar>
            <w:vAlign w:val="center"/>
          </w:tcPr>
          <w:p w14:paraId="5E42DAAC" w14:textId="77777777" w:rsid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eastAsia="Arial" w:hAnsi="Arial" w:cs="Arial"/>
                <w:color w:val="000000"/>
                <w:sz w:val="14"/>
                <w:szCs w:val="14"/>
              </w:rPr>
              <w:t>Total</w:t>
            </w:r>
          </w:p>
        </w:tc>
        <w:tc>
          <w:tcPr>
            <w:tcW w:w="709" w:type="dxa"/>
            <w:tcBorders>
              <w:top w:val="single" w:sz="8" w:space="0" w:color="000000"/>
              <w:left w:val="nil"/>
              <w:bottom w:val="single" w:sz="12" w:space="0" w:color="666666"/>
              <w:right w:val="nil"/>
            </w:tcBorders>
            <w:shd w:val="clear" w:color="auto" w:fill="FFFFFF"/>
            <w:tcMar>
              <w:top w:w="0" w:type="dxa"/>
              <w:left w:w="0" w:type="dxa"/>
              <w:bottom w:w="0" w:type="dxa"/>
              <w:right w:w="0" w:type="dxa"/>
            </w:tcMar>
            <w:vAlign w:val="center"/>
          </w:tcPr>
          <w:p w14:paraId="45CBD4F3" w14:textId="77777777" w:rsid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p>
        </w:tc>
        <w:tc>
          <w:tcPr>
            <w:tcW w:w="850" w:type="dxa"/>
            <w:tcBorders>
              <w:top w:val="single" w:sz="8" w:space="0" w:color="000000"/>
              <w:left w:val="nil"/>
              <w:bottom w:val="single" w:sz="12" w:space="0" w:color="666666"/>
              <w:right w:val="nil"/>
            </w:tcBorders>
            <w:shd w:val="clear" w:color="auto" w:fill="FFFFFF"/>
            <w:tcMar>
              <w:top w:w="0" w:type="dxa"/>
              <w:left w:w="0" w:type="dxa"/>
              <w:bottom w:w="0" w:type="dxa"/>
              <w:right w:w="0" w:type="dxa"/>
            </w:tcMar>
            <w:vAlign w:val="center"/>
          </w:tcPr>
          <w:p w14:paraId="37B53E4D" w14:textId="77777777" w:rsid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p>
        </w:tc>
        <w:tc>
          <w:tcPr>
            <w:tcW w:w="969" w:type="dxa"/>
            <w:tcBorders>
              <w:top w:val="single" w:sz="8" w:space="0" w:color="000000"/>
              <w:left w:val="nil"/>
              <w:bottom w:val="single" w:sz="12" w:space="0" w:color="666666"/>
              <w:right w:val="nil"/>
            </w:tcBorders>
            <w:shd w:val="clear" w:color="auto" w:fill="FFFFFF"/>
            <w:tcMar>
              <w:top w:w="0" w:type="dxa"/>
              <w:left w:w="0" w:type="dxa"/>
              <w:bottom w:w="0" w:type="dxa"/>
              <w:right w:w="0" w:type="dxa"/>
            </w:tcMar>
            <w:vAlign w:val="center"/>
          </w:tcPr>
          <w:p w14:paraId="3F23E983" w14:textId="77777777" w:rsid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p>
        </w:tc>
        <w:tc>
          <w:tcPr>
            <w:tcW w:w="992" w:type="dxa"/>
            <w:tcBorders>
              <w:top w:val="single" w:sz="8" w:space="0" w:color="000000"/>
              <w:left w:val="nil"/>
              <w:bottom w:val="single" w:sz="12" w:space="0" w:color="666666"/>
              <w:right w:val="nil"/>
            </w:tcBorders>
            <w:shd w:val="clear" w:color="auto" w:fill="FFFFFF"/>
            <w:tcMar>
              <w:top w:w="0" w:type="dxa"/>
              <w:left w:w="0" w:type="dxa"/>
              <w:bottom w:w="0" w:type="dxa"/>
              <w:right w:w="0" w:type="dxa"/>
            </w:tcMar>
            <w:vAlign w:val="center"/>
          </w:tcPr>
          <w:p w14:paraId="5FC222C0" w14:textId="77777777" w:rsid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p>
        </w:tc>
        <w:tc>
          <w:tcPr>
            <w:tcW w:w="934" w:type="dxa"/>
            <w:tcBorders>
              <w:top w:val="single" w:sz="8" w:space="0" w:color="000000"/>
              <w:left w:val="nil"/>
              <w:bottom w:val="single" w:sz="12" w:space="0" w:color="666666"/>
              <w:right w:val="nil"/>
            </w:tcBorders>
            <w:shd w:val="clear" w:color="auto" w:fill="FFFFFF"/>
            <w:tcMar>
              <w:top w:w="0" w:type="dxa"/>
              <w:left w:w="0" w:type="dxa"/>
              <w:bottom w:w="0" w:type="dxa"/>
              <w:right w:w="0" w:type="dxa"/>
            </w:tcMar>
            <w:vAlign w:val="center"/>
          </w:tcPr>
          <w:p w14:paraId="35BC09A0" w14:textId="77777777" w:rsid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p>
        </w:tc>
        <w:tc>
          <w:tcPr>
            <w:tcW w:w="767" w:type="dxa"/>
            <w:tcBorders>
              <w:top w:val="single" w:sz="8" w:space="0" w:color="000000"/>
              <w:left w:val="nil"/>
              <w:bottom w:val="single" w:sz="12" w:space="0" w:color="666666"/>
              <w:right w:val="nil"/>
            </w:tcBorders>
            <w:shd w:val="clear" w:color="auto" w:fill="FFFFFF"/>
            <w:tcMar>
              <w:top w:w="0" w:type="dxa"/>
              <w:left w:w="0" w:type="dxa"/>
              <w:bottom w:w="0" w:type="dxa"/>
              <w:right w:w="0" w:type="dxa"/>
            </w:tcMar>
            <w:vAlign w:val="center"/>
          </w:tcPr>
          <w:p w14:paraId="09CA0BDB" w14:textId="77777777" w:rsid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p>
        </w:tc>
        <w:tc>
          <w:tcPr>
            <w:tcW w:w="874" w:type="dxa"/>
            <w:tcBorders>
              <w:top w:val="single" w:sz="8" w:space="0" w:color="000000"/>
              <w:left w:val="nil"/>
              <w:bottom w:val="single" w:sz="12" w:space="0" w:color="666666"/>
              <w:right w:val="nil"/>
            </w:tcBorders>
            <w:shd w:val="clear" w:color="auto" w:fill="FFFFFF"/>
            <w:tcMar>
              <w:top w:w="0" w:type="dxa"/>
              <w:left w:w="0" w:type="dxa"/>
              <w:bottom w:w="0" w:type="dxa"/>
              <w:right w:w="0" w:type="dxa"/>
            </w:tcMar>
            <w:vAlign w:val="center"/>
          </w:tcPr>
          <w:p w14:paraId="27358409" w14:textId="77777777" w:rsidR="00192026" w:rsidRPr="00A03424"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p>
        </w:tc>
        <w:tc>
          <w:tcPr>
            <w:tcW w:w="1216" w:type="dxa"/>
            <w:tcBorders>
              <w:top w:val="single" w:sz="8" w:space="0" w:color="000000"/>
              <w:left w:val="nil"/>
              <w:bottom w:val="single" w:sz="12" w:space="0" w:color="666666"/>
              <w:right w:val="nil"/>
            </w:tcBorders>
            <w:shd w:val="clear" w:color="auto" w:fill="FFFFFF"/>
            <w:tcMar>
              <w:top w:w="0" w:type="dxa"/>
              <w:left w:w="0" w:type="dxa"/>
              <w:bottom w:w="0" w:type="dxa"/>
              <w:right w:w="0" w:type="dxa"/>
            </w:tcMar>
            <w:vAlign w:val="bottom"/>
          </w:tcPr>
          <w:p w14:paraId="4B171EF1" w14:textId="2832C333" w:rsidR="00192026" w:rsidRPr="00192026"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225.1</w:t>
            </w:r>
          </w:p>
        </w:tc>
        <w:tc>
          <w:tcPr>
            <w:tcW w:w="1046" w:type="dxa"/>
            <w:tcBorders>
              <w:top w:val="single" w:sz="8" w:space="0" w:color="000000"/>
              <w:left w:val="nil"/>
              <w:bottom w:val="single" w:sz="12" w:space="0" w:color="666666"/>
              <w:right w:val="nil"/>
            </w:tcBorders>
            <w:shd w:val="clear" w:color="auto" w:fill="FFFFFF"/>
            <w:tcMar>
              <w:top w:w="0" w:type="dxa"/>
              <w:left w:w="0" w:type="dxa"/>
              <w:bottom w:w="0" w:type="dxa"/>
              <w:right w:w="0" w:type="dxa"/>
            </w:tcMar>
            <w:vAlign w:val="center"/>
          </w:tcPr>
          <w:p w14:paraId="510ADCF1" w14:textId="7B7CB314" w:rsidR="00192026" w:rsidRPr="00A03424"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hAnsi="Arial" w:cs="Arial"/>
                <w:color w:val="000000"/>
                <w:sz w:val="14"/>
                <w:szCs w:val="14"/>
              </w:rPr>
              <w:t>218.</w:t>
            </w:r>
            <w:r w:rsidR="000C508C">
              <w:rPr>
                <w:rFonts w:ascii="Arial" w:hAnsi="Arial" w:cs="Arial"/>
                <w:color w:val="000000"/>
                <w:sz w:val="14"/>
                <w:szCs w:val="14"/>
              </w:rPr>
              <w:t>2</w:t>
            </w:r>
            <w:r>
              <w:rPr>
                <w:rFonts w:ascii="Arial" w:hAnsi="Arial" w:cs="Arial"/>
                <w:color w:val="000000"/>
                <w:sz w:val="14"/>
                <w:szCs w:val="14"/>
              </w:rPr>
              <w:t>, 223.</w:t>
            </w:r>
            <w:r w:rsidR="000C508C">
              <w:rPr>
                <w:rFonts w:ascii="Arial" w:hAnsi="Arial" w:cs="Arial"/>
                <w:color w:val="000000"/>
                <w:sz w:val="14"/>
                <w:szCs w:val="14"/>
              </w:rPr>
              <w:t>0</w:t>
            </w:r>
          </w:p>
        </w:tc>
        <w:tc>
          <w:tcPr>
            <w:tcW w:w="992" w:type="dxa"/>
            <w:tcBorders>
              <w:top w:val="single" w:sz="8" w:space="0" w:color="000000"/>
              <w:left w:val="nil"/>
              <w:bottom w:val="single" w:sz="12" w:space="0" w:color="666666"/>
              <w:right w:val="nil"/>
            </w:tcBorders>
            <w:shd w:val="clear" w:color="auto" w:fill="FFFFFF"/>
            <w:tcMar>
              <w:top w:w="0" w:type="dxa"/>
              <w:left w:w="0" w:type="dxa"/>
              <w:bottom w:w="0" w:type="dxa"/>
              <w:right w:w="0" w:type="dxa"/>
            </w:tcMar>
            <w:vAlign w:val="center"/>
          </w:tcPr>
          <w:p w14:paraId="28CAD7C7" w14:textId="720A0FA5" w:rsidR="00192026" w:rsidRPr="00A03424" w:rsidRDefault="00192026" w:rsidP="00192026">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hAnsi="Arial" w:cs="Arial"/>
                <w:color w:val="000000"/>
                <w:sz w:val="14"/>
                <w:szCs w:val="14"/>
              </w:rPr>
              <w:t>24</w:t>
            </w:r>
            <w:r w:rsidR="00520687">
              <w:rPr>
                <w:rFonts w:ascii="Arial" w:hAnsi="Arial" w:cs="Arial"/>
                <w:color w:val="000000"/>
                <w:sz w:val="14"/>
                <w:szCs w:val="14"/>
              </w:rPr>
              <w:t>5.7</w:t>
            </w:r>
            <w:r>
              <w:rPr>
                <w:rFonts w:ascii="Arial" w:hAnsi="Arial" w:cs="Arial"/>
                <w:color w:val="000000"/>
                <w:sz w:val="14"/>
                <w:szCs w:val="14"/>
              </w:rPr>
              <w:t>, 255.</w:t>
            </w:r>
            <w:r w:rsidR="00520687">
              <w:rPr>
                <w:rFonts w:ascii="Arial" w:hAnsi="Arial" w:cs="Arial"/>
                <w:color w:val="000000"/>
                <w:sz w:val="14"/>
                <w:szCs w:val="14"/>
              </w:rPr>
              <w:t>3</w:t>
            </w:r>
          </w:p>
        </w:tc>
      </w:tr>
      <w:bookmarkEnd w:id="126"/>
    </w:tbl>
    <w:p w14:paraId="7DFBCD55" w14:textId="77777777" w:rsidR="00FB0A3F" w:rsidRDefault="00FB0A3F"/>
    <w:p w14:paraId="43378000" w14:textId="0A086DA5" w:rsidR="00416C47" w:rsidRPr="00416C47" w:rsidRDefault="00416C47" w:rsidP="00416C47">
      <w:pPr>
        <w:rPr>
          <w:i/>
          <w:iCs/>
        </w:rPr>
      </w:pPr>
      <w:r>
        <w:rPr>
          <w:i/>
          <w:iCs/>
        </w:rPr>
        <w:t xml:space="preserve">Nominal </w:t>
      </w:r>
      <w:r w:rsidRPr="00416C47">
        <w:rPr>
          <w:i/>
          <w:iCs/>
        </w:rPr>
        <w:t>reference points</w:t>
      </w:r>
    </w:p>
    <w:p w14:paraId="43364FA6" w14:textId="144592EB" w:rsidR="00416C47" w:rsidRDefault="00416C47" w:rsidP="00416C47">
      <w:r>
        <w:t xml:space="preserve">Current CPUE was above the Threshold at all SMUs except for Flinders, Kilcunda and Prom Westside, where it was currently between the Threshold and Limit levels (Table 6). CPUE has been below the Threshold but above the Limit at Flinders, Kilcunda and Prom Westside for 18, 14 and 13 years, respectively and thus Catch Control Rule (CCR) 2 applies for all three of these SMUs. CCR1 applies at all other SMUs, with an “Increasing” Final Category (Table 7) at Back Beaches resulting in a potential increase in OT of up to 25%. </w:t>
      </w:r>
    </w:p>
    <w:p w14:paraId="14C652EB" w14:textId="3BD050A7" w:rsidR="00416C47" w:rsidRDefault="00416C47" w:rsidP="00416C47">
      <w:r>
        <w:lastRenderedPageBreak/>
        <w:t xml:space="preserve">There were no FIS data to inform the Tertiary Indicator and thus the Final Category was the same as the Primary Category result. The Final Category for the Back Beaches, Phillip Island and Flinders were all assessed as Increasing, while all other SMUs were assessed as “Stable” (Table </w:t>
      </w:r>
      <w:r w:rsidR="001A6F5B">
        <w:t>7</w:t>
      </w:r>
      <w:r>
        <w:t xml:space="preserve">). The suggested total catch range for the Central Zone </w:t>
      </w:r>
      <w:r w:rsidR="007E303D">
        <w:t xml:space="preserve">for 2025/26 </w:t>
      </w:r>
      <w:r>
        <w:t>was 213.0 t to 241.7 t.</w:t>
      </w:r>
    </w:p>
    <w:p w14:paraId="57ECEF7C" w14:textId="45EFD193" w:rsidR="00495804" w:rsidRDefault="00495804" w:rsidP="00495804">
      <w:pPr>
        <w:pStyle w:val="TableCaption"/>
      </w:pPr>
      <w:bookmarkStart w:id="129" w:name="_Toc192762274"/>
      <w:r>
        <w:t>Table 6: Nominal reference points (VFA 2019b) for Central Zone SMUs, standardised mean annual CPUE from 2018- 2023 and catch control rules (CCR).</w:t>
      </w:r>
      <w:bookmarkEnd w:id="129"/>
    </w:p>
    <w:tbl>
      <w:tblPr>
        <w:tblW w:w="10022" w:type="dxa"/>
        <w:jc w:val="center"/>
        <w:tblLayout w:type="fixed"/>
        <w:tblLook w:val="04A0" w:firstRow="1" w:lastRow="0" w:firstColumn="1" w:lastColumn="0" w:noHBand="0" w:noVBand="1"/>
      </w:tblPr>
      <w:tblGrid>
        <w:gridCol w:w="1427"/>
        <w:gridCol w:w="567"/>
        <w:gridCol w:w="850"/>
        <w:gridCol w:w="709"/>
        <w:gridCol w:w="567"/>
        <w:gridCol w:w="567"/>
        <w:gridCol w:w="567"/>
        <w:gridCol w:w="567"/>
        <w:gridCol w:w="567"/>
        <w:gridCol w:w="567"/>
        <w:gridCol w:w="1380"/>
        <w:gridCol w:w="836"/>
        <w:gridCol w:w="851"/>
      </w:tblGrid>
      <w:tr w:rsidR="00495804" w14:paraId="726D1A47" w14:textId="77777777" w:rsidTr="007D319E">
        <w:trPr>
          <w:tblHeader/>
          <w:jc w:val="center"/>
        </w:trPr>
        <w:tc>
          <w:tcPr>
            <w:tcW w:w="1427"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37AC44A9" w14:textId="77777777" w:rsid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sz w:val="14"/>
                <w:szCs w:val="14"/>
              </w:rPr>
            </w:pPr>
            <w:r>
              <w:rPr>
                <w:rFonts w:ascii="Arial" w:eastAsia="Arial" w:hAnsi="Arial" w:cs="Arial"/>
                <w:color w:val="000000"/>
                <w:sz w:val="14"/>
                <w:szCs w:val="14"/>
              </w:rPr>
              <w:t>SMU</w:t>
            </w:r>
          </w:p>
        </w:tc>
        <w:tc>
          <w:tcPr>
            <w:tcW w:w="567"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66D2CE59" w14:textId="77777777" w:rsid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sz w:val="14"/>
                <w:szCs w:val="14"/>
              </w:rPr>
            </w:pPr>
            <w:r>
              <w:rPr>
                <w:rFonts w:ascii="Arial" w:eastAsia="Arial" w:hAnsi="Arial" w:cs="Arial"/>
                <w:color w:val="000000"/>
                <w:sz w:val="14"/>
                <w:szCs w:val="14"/>
              </w:rPr>
              <w:t>Limit RP</w:t>
            </w:r>
          </w:p>
        </w:tc>
        <w:tc>
          <w:tcPr>
            <w:tcW w:w="850"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40432D0F" w14:textId="77777777" w:rsid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sz w:val="14"/>
                <w:szCs w:val="14"/>
              </w:rPr>
            </w:pPr>
            <w:r>
              <w:rPr>
                <w:rFonts w:ascii="Arial" w:eastAsia="Arial" w:hAnsi="Arial" w:cs="Arial"/>
                <w:color w:val="000000"/>
                <w:sz w:val="14"/>
                <w:szCs w:val="14"/>
              </w:rPr>
              <w:t>Threshold RP</w:t>
            </w:r>
          </w:p>
        </w:tc>
        <w:tc>
          <w:tcPr>
            <w:tcW w:w="709"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6C247489" w14:textId="77777777" w:rsid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sz w:val="14"/>
                <w:szCs w:val="14"/>
              </w:rPr>
            </w:pPr>
            <w:r>
              <w:rPr>
                <w:rFonts w:ascii="Arial" w:eastAsia="Arial" w:hAnsi="Arial" w:cs="Arial"/>
                <w:color w:val="000000"/>
                <w:sz w:val="14"/>
                <w:szCs w:val="14"/>
              </w:rPr>
              <w:t>Target RP</w:t>
            </w:r>
          </w:p>
        </w:tc>
        <w:tc>
          <w:tcPr>
            <w:tcW w:w="567"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4D978EAD" w14:textId="77777777" w:rsid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sz w:val="14"/>
                <w:szCs w:val="14"/>
              </w:rPr>
            </w:pPr>
            <w:r>
              <w:rPr>
                <w:rFonts w:ascii="Arial" w:eastAsia="Arial" w:hAnsi="Arial" w:cs="Arial"/>
                <w:color w:val="000000"/>
                <w:sz w:val="14"/>
                <w:szCs w:val="14"/>
              </w:rPr>
              <w:t>2018</w:t>
            </w:r>
          </w:p>
        </w:tc>
        <w:tc>
          <w:tcPr>
            <w:tcW w:w="567"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4A4953B2" w14:textId="77777777" w:rsid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sz w:val="14"/>
                <w:szCs w:val="14"/>
              </w:rPr>
            </w:pPr>
            <w:r>
              <w:rPr>
                <w:rFonts w:ascii="Arial" w:eastAsia="Arial" w:hAnsi="Arial" w:cs="Arial"/>
                <w:color w:val="000000"/>
                <w:sz w:val="14"/>
                <w:szCs w:val="14"/>
              </w:rPr>
              <w:t>2019</w:t>
            </w:r>
          </w:p>
        </w:tc>
        <w:tc>
          <w:tcPr>
            <w:tcW w:w="567"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7A1CAD20" w14:textId="77777777" w:rsid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sz w:val="14"/>
                <w:szCs w:val="14"/>
              </w:rPr>
            </w:pPr>
            <w:r>
              <w:rPr>
                <w:rFonts w:ascii="Arial" w:eastAsia="Arial" w:hAnsi="Arial" w:cs="Arial"/>
                <w:color w:val="000000"/>
                <w:sz w:val="14"/>
                <w:szCs w:val="14"/>
              </w:rPr>
              <w:t>2020</w:t>
            </w:r>
          </w:p>
        </w:tc>
        <w:tc>
          <w:tcPr>
            <w:tcW w:w="567"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392AA02F" w14:textId="77777777" w:rsid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sz w:val="14"/>
                <w:szCs w:val="14"/>
              </w:rPr>
            </w:pPr>
            <w:r>
              <w:rPr>
                <w:rFonts w:ascii="Arial" w:eastAsia="Arial" w:hAnsi="Arial" w:cs="Arial"/>
                <w:color w:val="000000"/>
                <w:sz w:val="14"/>
                <w:szCs w:val="14"/>
              </w:rPr>
              <w:t>2021</w:t>
            </w:r>
          </w:p>
        </w:tc>
        <w:tc>
          <w:tcPr>
            <w:tcW w:w="567"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334FF2C8" w14:textId="77777777" w:rsid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sz w:val="14"/>
                <w:szCs w:val="14"/>
              </w:rPr>
            </w:pPr>
            <w:r>
              <w:rPr>
                <w:rFonts w:ascii="Arial" w:eastAsia="Arial" w:hAnsi="Arial" w:cs="Arial"/>
                <w:color w:val="000000"/>
                <w:sz w:val="14"/>
                <w:szCs w:val="14"/>
              </w:rPr>
              <w:t>2022</w:t>
            </w:r>
          </w:p>
        </w:tc>
        <w:tc>
          <w:tcPr>
            <w:tcW w:w="567"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1D21B5FB" w14:textId="77777777" w:rsid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sz w:val="14"/>
                <w:szCs w:val="14"/>
              </w:rPr>
            </w:pPr>
            <w:r>
              <w:rPr>
                <w:rFonts w:ascii="Arial" w:eastAsia="Arial" w:hAnsi="Arial" w:cs="Arial"/>
                <w:color w:val="000000"/>
                <w:sz w:val="14"/>
                <w:szCs w:val="14"/>
              </w:rPr>
              <w:t>2023</w:t>
            </w:r>
          </w:p>
        </w:tc>
        <w:tc>
          <w:tcPr>
            <w:tcW w:w="1380"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314F1110" w14:textId="77777777" w:rsid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sz w:val="14"/>
                <w:szCs w:val="14"/>
              </w:rPr>
            </w:pPr>
            <w:r>
              <w:rPr>
                <w:rFonts w:ascii="Arial" w:eastAsia="Arial" w:hAnsi="Arial" w:cs="Arial"/>
                <w:color w:val="000000"/>
                <w:sz w:val="14"/>
                <w:szCs w:val="14"/>
              </w:rPr>
              <w:t>Current Status</w:t>
            </w:r>
          </w:p>
        </w:tc>
        <w:tc>
          <w:tcPr>
            <w:tcW w:w="836"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414E531A" w14:textId="77777777" w:rsid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sz w:val="14"/>
                <w:szCs w:val="14"/>
              </w:rPr>
            </w:pPr>
            <w:r>
              <w:rPr>
                <w:rFonts w:ascii="Arial" w:eastAsia="Arial" w:hAnsi="Arial" w:cs="Arial"/>
                <w:color w:val="000000"/>
                <w:sz w:val="14"/>
                <w:szCs w:val="14"/>
              </w:rPr>
              <w:t>Years at Status</w:t>
            </w:r>
          </w:p>
        </w:tc>
        <w:tc>
          <w:tcPr>
            <w:tcW w:w="851"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74D6E070" w14:textId="77777777" w:rsid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sz w:val="14"/>
                <w:szCs w:val="14"/>
              </w:rPr>
            </w:pPr>
            <w:r>
              <w:rPr>
                <w:rFonts w:ascii="Arial" w:eastAsia="Arial" w:hAnsi="Arial" w:cs="Arial"/>
                <w:color w:val="000000"/>
                <w:sz w:val="14"/>
                <w:szCs w:val="14"/>
              </w:rPr>
              <w:t>CCR</w:t>
            </w:r>
          </w:p>
        </w:tc>
      </w:tr>
      <w:tr w:rsidR="00495804" w14:paraId="1211D7F2" w14:textId="77777777" w:rsidTr="007D319E">
        <w:trPr>
          <w:jc w:val="center"/>
        </w:trPr>
        <w:tc>
          <w:tcPr>
            <w:tcW w:w="1427" w:type="dxa"/>
            <w:tcBorders>
              <w:top w:val="single" w:sz="12" w:space="0" w:color="666666"/>
              <w:left w:val="nil"/>
              <w:bottom w:val="nil"/>
              <w:right w:val="nil"/>
            </w:tcBorders>
            <w:shd w:val="clear" w:color="auto" w:fill="FFFFFF"/>
            <w:tcMar>
              <w:top w:w="0" w:type="dxa"/>
              <w:left w:w="0" w:type="dxa"/>
              <w:bottom w:w="0" w:type="dxa"/>
              <w:right w:w="0" w:type="dxa"/>
            </w:tcMar>
          </w:tcPr>
          <w:p w14:paraId="5E95FDB8" w14:textId="77777777" w:rsidR="00495804" w:rsidRPr="00A0342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A03424">
              <w:rPr>
                <w:rFonts w:ascii="Arial" w:hAnsi="Arial" w:cs="Arial"/>
                <w:sz w:val="12"/>
                <w:szCs w:val="12"/>
              </w:rPr>
              <w:t>BACK BEACHES</w:t>
            </w:r>
          </w:p>
        </w:tc>
        <w:tc>
          <w:tcPr>
            <w:tcW w:w="567" w:type="dxa"/>
            <w:tcBorders>
              <w:top w:val="single" w:sz="12" w:space="0" w:color="666666"/>
              <w:left w:val="nil"/>
              <w:bottom w:val="nil"/>
              <w:right w:val="nil"/>
            </w:tcBorders>
            <w:shd w:val="clear" w:color="auto" w:fill="FFFFFF"/>
            <w:tcMar>
              <w:top w:w="0" w:type="dxa"/>
              <w:left w:w="0" w:type="dxa"/>
              <w:bottom w:w="0" w:type="dxa"/>
              <w:right w:w="0" w:type="dxa"/>
            </w:tcMar>
          </w:tcPr>
          <w:p w14:paraId="3B335349"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4"/>
                <w:szCs w:val="14"/>
              </w:rPr>
            </w:pPr>
            <w:r w:rsidRPr="00A03424">
              <w:rPr>
                <w:rFonts w:ascii="Arial" w:hAnsi="Arial" w:cs="Arial"/>
                <w:sz w:val="14"/>
                <w:szCs w:val="14"/>
              </w:rPr>
              <w:t>50</w:t>
            </w:r>
          </w:p>
        </w:tc>
        <w:tc>
          <w:tcPr>
            <w:tcW w:w="850" w:type="dxa"/>
            <w:tcBorders>
              <w:top w:val="single" w:sz="12" w:space="0" w:color="666666"/>
              <w:left w:val="nil"/>
              <w:bottom w:val="nil"/>
              <w:right w:val="nil"/>
            </w:tcBorders>
            <w:shd w:val="clear" w:color="auto" w:fill="FFFFFF"/>
            <w:tcMar>
              <w:top w:w="0" w:type="dxa"/>
              <w:left w:w="0" w:type="dxa"/>
              <w:bottom w:w="0" w:type="dxa"/>
              <w:right w:w="0" w:type="dxa"/>
            </w:tcMar>
          </w:tcPr>
          <w:p w14:paraId="3B0EF063"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4"/>
                <w:szCs w:val="14"/>
              </w:rPr>
            </w:pPr>
            <w:r>
              <w:rPr>
                <w:rFonts w:ascii="Arial" w:hAnsi="Arial" w:cs="Arial"/>
                <w:sz w:val="14"/>
                <w:szCs w:val="14"/>
              </w:rPr>
              <w:t>7</w:t>
            </w:r>
            <w:r w:rsidRPr="00A03424">
              <w:rPr>
                <w:rFonts w:ascii="Arial" w:hAnsi="Arial" w:cs="Arial"/>
                <w:sz w:val="14"/>
                <w:szCs w:val="14"/>
              </w:rPr>
              <w:t>0</w:t>
            </w:r>
          </w:p>
        </w:tc>
        <w:tc>
          <w:tcPr>
            <w:tcW w:w="709" w:type="dxa"/>
            <w:tcBorders>
              <w:top w:val="single" w:sz="12" w:space="0" w:color="666666"/>
              <w:left w:val="nil"/>
              <w:bottom w:val="nil"/>
              <w:right w:val="nil"/>
            </w:tcBorders>
            <w:shd w:val="clear" w:color="auto" w:fill="FFFFFF"/>
            <w:tcMar>
              <w:top w:w="0" w:type="dxa"/>
              <w:left w:w="0" w:type="dxa"/>
              <w:bottom w:w="0" w:type="dxa"/>
              <w:right w:w="0" w:type="dxa"/>
            </w:tcMar>
          </w:tcPr>
          <w:p w14:paraId="4728C9C6"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4"/>
                <w:szCs w:val="14"/>
              </w:rPr>
            </w:pPr>
            <w:r>
              <w:rPr>
                <w:rFonts w:ascii="Arial" w:hAnsi="Arial" w:cs="Arial"/>
                <w:sz w:val="14"/>
                <w:szCs w:val="14"/>
              </w:rPr>
              <w:t>10</w:t>
            </w:r>
            <w:r w:rsidRPr="00A03424">
              <w:rPr>
                <w:rFonts w:ascii="Arial" w:hAnsi="Arial" w:cs="Arial"/>
                <w:sz w:val="14"/>
                <w:szCs w:val="14"/>
              </w:rPr>
              <w:t>0</w:t>
            </w:r>
          </w:p>
        </w:tc>
        <w:tc>
          <w:tcPr>
            <w:tcW w:w="567" w:type="dxa"/>
            <w:tcBorders>
              <w:top w:val="single" w:sz="12" w:space="0" w:color="666666"/>
              <w:left w:val="nil"/>
              <w:bottom w:val="nil"/>
              <w:right w:val="nil"/>
            </w:tcBorders>
            <w:shd w:val="clear" w:color="auto" w:fill="FFFF00"/>
            <w:tcMar>
              <w:top w:w="0" w:type="dxa"/>
              <w:left w:w="0" w:type="dxa"/>
              <w:bottom w:w="0" w:type="dxa"/>
              <w:right w:w="0" w:type="dxa"/>
            </w:tcMar>
            <w:vAlign w:val="center"/>
          </w:tcPr>
          <w:p w14:paraId="02D19989"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67.1</w:t>
            </w:r>
          </w:p>
        </w:tc>
        <w:tc>
          <w:tcPr>
            <w:tcW w:w="567" w:type="dxa"/>
            <w:tcBorders>
              <w:top w:val="single" w:sz="12" w:space="0" w:color="666666"/>
              <w:left w:val="nil"/>
              <w:bottom w:val="nil"/>
              <w:right w:val="nil"/>
            </w:tcBorders>
            <w:shd w:val="clear" w:color="auto" w:fill="FFFF00"/>
            <w:tcMar>
              <w:top w:w="0" w:type="dxa"/>
              <w:left w:w="0" w:type="dxa"/>
              <w:bottom w:w="0" w:type="dxa"/>
              <w:right w:w="0" w:type="dxa"/>
            </w:tcMar>
            <w:vAlign w:val="center"/>
          </w:tcPr>
          <w:p w14:paraId="3DFBBFC3"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4"/>
                <w:szCs w:val="14"/>
              </w:rPr>
            </w:pPr>
            <w:r w:rsidRPr="00495804">
              <w:rPr>
                <w:rFonts w:ascii="Arial" w:hAnsi="Arial" w:cs="Arial"/>
                <w:color w:val="000000"/>
                <w:sz w:val="14"/>
                <w:szCs w:val="14"/>
              </w:rPr>
              <w:t>65.0</w:t>
            </w:r>
          </w:p>
        </w:tc>
        <w:tc>
          <w:tcPr>
            <w:tcW w:w="567" w:type="dxa"/>
            <w:tcBorders>
              <w:top w:val="single" w:sz="12" w:space="0" w:color="666666"/>
              <w:left w:val="nil"/>
              <w:bottom w:val="nil"/>
              <w:right w:val="nil"/>
            </w:tcBorders>
            <w:shd w:val="clear" w:color="auto" w:fill="FFFF00"/>
            <w:tcMar>
              <w:top w:w="0" w:type="dxa"/>
              <w:left w:w="0" w:type="dxa"/>
              <w:bottom w:w="0" w:type="dxa"/>
              <w:right w:w="0" w:type="dxa"/>
            </w:tcMar>
            <w:vAlign w:val="center"/>
          </w:tcPr>
          <w:p w14:paraId="7DF86F02"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4"/>
                <w:szCs w:val="14"/>
              </w:rPr>
            </w:pPr>
            <w:r w:rsidRPr="00495804">
              <w:rPr>
                <w:rFonts w:ascii="Arial" w:hAnsi="Arial" w:cs="Arial"/>
                <w:color w:val="000000"/>
                <w:sz w:val="14"/>
                <w:szCs w:val="14"/>
              </w:rPr>
              <w:t>68.8</w:t>
            </w:r>
          </w:p>
        </w:tc>
        <w:tc>
          <w:tcPr>
            <w:tcW w:w="567" w:type="dxa"/>
            <w:tcBorders>
              <w:top w:val="single" w:sz="12" w:space="0" w:color="666666"/>
              <w:left w:val="nil"/>
              <w:bottom w:val="nil"/>
              <w:right w:val="nil"/>
            </w:tcBorders>
            <w:shd w:val="clear" w:color="auto" w:fill="92D050"/>
            <w:tcMar>
              <w:top w:w="0" w:type="dxa"/>
              <w:left w:w="0" w:type="dxa"/>
              <w:bottom w:w="0" w:type="dxa"/>
              <w:right w:w="0" w:type="dxa"/>
            </w:tcMar>
            <w:vAlign w:val="center"/>
          </w:tcPr>
          <w:p w14:paraId="3EC7A865"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4"/>
                <w:szCs w:val="14"/>
              </w:rPr>
            </w:pPr>
            <w:r w:rsidRPr="00495804">
              <w:rPr>
                <w:rFonts w:ascii="Arial" w:hAnsi="Arial" w:cs="Arial"/>
                <w:color w:val="000000"/>
                <w:sz w:val="14"/>
                <w:szCs w:val="14"/>
              </w:rPr>
              <w:t>73.5</w:t>
            </w:r>
          </w:p>
        </w:tc>
        <w:tc>
          <w:tcPr>
            <w:tcW w:w="567" w:type="dxa"/>
            <w:tcBorders>
              <w:top w:val="single" w:sz="12" w:space="0" w:color="666666"/>
              <w:left w:val="nil"/>
              <w:bottom w:val="nil"/>
              <w:right w:val="nil"/>
            </w:tcBorders>
            <w:shd w:val="clear" w:color="auto" w:fill="92D050"/>
            <w:tcMar>
              <w:top w:w="0" w:type="dxa"/>
              <w:left w:w="0" w:type="dxa"/>
              <w:bottom w:w="0" w:type="dxa"/>
              <w:right w:w="0" w:type="dxa"/>
            </w:tcMar>
            <w:vAlign w:val="center"/>
          </w:tcPr>
          <w:p w14:paraId="0C941086"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4"/>
                <w:szCs w:val="14"/>
              </w:rPr>
            </w:pPr>
            <w:r w:rsidRPr="00495804">
              <w:rPr>
                <w:rFonts w:ascii="Arial" w:hAnsi="Arial" w:cs="Arial"/>
                <w:color w:val="000000"/>
                <w:sz w:val="14"/>
                <w:szCs w:val="14"/>
              </w:rPr>
              <w:t>79.0</w:t>
            </w:r>
          </w:p>
        </w:tc>
        <w:tc>
          <w:tcPr>
            <w:tcW w:w="567" w:type="dxa"/>
            <w:tcBorders>
              <w:top w:val="single" w:sz="12" w:space="0" w:color="666666"/>
              <w:left w:val="nil"/>
              <w:bottom w:val="nil"/>
              <w:right w:val="nil"/>
            </w:tcBorders>
            <w:shd w:val="clear" w:color="auto" w:fill="92D050"/>
            <w:tcMar>
              <w:top w:w="0" w:type="dxa"/>
              <w:left w:w="0" w:type="dxa"/>
              <w:bottom w:w="0" w:type="dxa"/>
              <w:right w:w="0" w:type="dxa"/>
            </w:tcMar>
            <w:vAlign w:val="center"/>
          </w:tcPr>
          <w:p w14:paraId="274A9263"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4"/>
                <w:szCs w:val="14"/>
              </w:rPr>
            </w:pPr>
            <w:r w:rsidRPr="00495804">
              <w:rPr>
                <w:rFonts w:ascii="Arial" w:hAnsi="Arial" w:cs="Arial"/>
                <w:color w:val="000000"/>
                <w:sz w:val="14"/>
                <w:szCs w:val="14"/>
              </w:rPr>
              <w:t>79.3</w:t>
            </w:r>
          </w:p>
        </w:tc>
        <w:tc>
          <w:tcPr>
            <w:tcW w:w="1380" w:type="dxa"/>
            <w:tcBorders>
              <w:top w:val="single" w:sz="12" w:space="0" w:color="666666"/>
              <w:left w:val="nil"/>
              <w:bottom w:val="nil"/>
              <w:right w:val="nil"/>
            </w:tcBorders>
            <w:shd w:val="clear" w:color="auto" w:fill="92D050"/>
            <w:tcMar>
              <w:top w:w="0" w:type="dxa"/>
              <w:left w:w="0" w:type="dxa"/>
              <w:bottom w:w="0" w:type="dxa"/>
              <w:right w:w="0" w:type="dxa"/>
            </w:tcMar>
          </w:tcPr>
          <w:p w14:paraId="72DEB229" w14:textId="77777777" w:rsidR="00495804" w:rsidRPr="00A0342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4"/>
                <w:szCs w:val="14"/>
              </w:rPr>
            </w:pPr>
            <w:r w:rsidRPr="00A03424">
              <w:rPr>
                <w:rFonts w:ascii="Arial" w:hAnsi="Arial" w:cs="Arial"/>
                <w:sz w:val="14"/>
                <w:szCs w:val="14"/>
              </w:rPr>
              <w:t>Above Threshold</w:t>
            </w:r>
          </w:p>
        </w:tc>
        <w:tc>
          <w:tcPr>
            <w:tcW w:w="836"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6465B2B2"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4"/>
                <w:szCs w:val="14"/>
              </w:rPr>
            </w:pPr>
            <w:r w:rsidRPr="00495804">
              <w:rPr>
                <w:rFonts w:ascii="Arial" w:hAnsi="Arial" w:cs="Arial"/>
                <w:color w:val="000000"/>
                <w:sz w:val="14"/>
                <w:szCs w:val="14"/>
              </w:rPr>
              <w:t>3</w:t>
            </w:r>
          </w:p>
        </w:tc>
        <w:tc>
          <w:tcPr>
            <w:tcW w:w="851"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2C8554C5"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4"/>
                <w:szCs w:val="14"/>
              </w:rPr>
            </w:pPr>
            <w:r w:rsidRPr="00495804">
              <w:rPr>
                <w:rFonts w:ascii="Arial" w:hAnsi="Arial" w:cs="Arial"/>
                <w:color w:val="000000"/>
                <w:sz w:val="14"/>
                <w:szCs w:val="14"/>
              </w:rPr>
              <w:t>1 - 125%</w:t>
            </w:r>
          </w:p>
        </w:tc>
      </w:tr>
      <w:tr w:rsidR="00495804" w14:paraId="7DDC627B" w14:textId="77777777" w:rsidTr="007D319E">
        <w:trPr>
          <w:jc w:val="center"/>
        </w:trPr>
        <w:tc>
          <w:tcPr>
            <w:tcW w:w="1427" w:type="dxa"/>
            <w:tcBorders>
              <w:top w:val="nil"/>
              <w:left w:val="nil"/>
              <w:bottom w:val="nil"/>
              <w:right w:val="nil"/>
            </w:tcBorders>
            <w:shd w:val="clear" w:color="auto" w:fill="FFFFFF"/>
            <w:tcMar>
              <w:top w:w="0" w:type="dxa"/>
              <w:left w:w="0" w:type="dxa"/>
              <w:bottom w:w="0" w:type="dxa"/>
              <w:right w:w="0" w:type="dxa"/>
            </w:tcMar>
          </w:tcPr>
          <w:p w14:paraId="5196123D" w14:textId="77777777" w:rsidR="00495804" w:rsidRPr="00A0342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A03424">
              <w:rPr>
                <w:rFonts w:ascii="Arial" w:hAnsi="Arial" w:cs="Arial"/>
                <w:sz w:val="12"/>
                <w:szCs w:val="12"/>
              </w:rPr>
              <w:t>CAPE LIPTRAP</w:t>
            </w:r>
          </w:p>
        </w:tc>
        <w:tc>
          <w:tcPr>
            <w:tcW w:w="567" w:type="dxa"/>
            <w:tcBorders>
              <w:top w:val="nil"/>
              <w:left w:val="nil"/>
              <w:bottom w:val="nil"/>
              <w:right w:val="nil"/>
            </w:tcBorders>
            <w:shd w:val="clear" w:color="auto" w:fill="FFFFFF"/>
            <w:tcMar>
              <w:top w:w="0" w:type="dxa"/>
              <w:left w:w="0" w:type="dxa"/>
              <w:bottom w:w="0" w:type="dxa"/>
              <w:right w:w="0" w:type="dxa"/>
            </w:tcMar>
          </w:tcPr>
          <w:p w14:paraId="05469843"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hAnsi="Arial" w:cs="Arial"/>
                <w:sz w:val="14"/>
                <w:szCs w:val="14"/>
              </w:rPr>
              <w:t>40</w:t>
            </w:r>
          </w:p>
        </w:tc>
        <w:tc>
          <w:tcPr>
            <w:tcW w:w="850" w:type="dxa"/>
            <w:tcBorders>
              <w:top w:val="nil"/>
              <w:left w:val="nil"/>
              <w:bottom w:val="nil"/>
              <w:right w:val="nil"/>
            </w:tcBorders>
            <w:shd w:val="clear" w:color="auto" w:fill="FFFFFF"/>
            <w:tcMar>
              <w:top w:w="0" w:type="dxa"/>
              <w:left w:w="0" w:type="dxa"/>
              <w:bottom w:w="0" w:type="dxa"/>
              <w:right w:w="0" w:type="dxa"/>
            </w:tcMar>
          </w:tcPr>
          <w:p w14:paraId="004BFD9D"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hAnsi="Arial" w:cs="Arial"/>
                <w:sz w:val="14"/>
                <w:szCs w:val="14"/>
              </w:rPr>
              <w:t>6</w:t>
            </w:r>
            <w:r w:rsidRPr="00A03424">
              <w:rPr>
                <w:rFonts w:ascii="Arial" w:hAnsi="Arial" w:cs="Arial"/>
                <w:sz w:val="14"/>
                <w:szCs w:val="14"/>
              </w:rPr>
              <w:t>0</w:t>
            </w:r>
          </w:p>
        </w:tc>
        <w:tc>
          <w:tcPr>
            <w:tcW w:w="709" w:type="dxa"/>
            <w:tcBorders>
              <w:top w:val="nil"/>
              <w:left w:val="nil"/>
              <w:bottom w:val="nil"/>
              <w:right w:val="nil"/>
            </w:tcBorders>
            <w:shd w:val="clear" w:color="auto" w:fill="FFFFFF"/>
            <w:tcMar>
              <w:top w:w="0" w:type="dxa"/>
              <w:left w:w="0" w:type="dxa"/>
              <w:bottom w:w="0" w:type="dxa"/>
              <w:right w:w="0" w:type="dxa"/>
            </w:tcMar>
          </w:tcPr>
          <w:p w14:paraId="7E4D1725"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hAnsi="Arial" w:cs="Arial"/>
                <w:sz w:val="14"/>
                <w:szCs w:val="14"/>
              </w:rPr>
              <w:t>120</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6E7DDF99"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63.9</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6DF7F43B"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61.7</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5C615AD1"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62.9</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1DE5E69C"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66.1</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17CCAA9E"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73.1</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21BA2EDD"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72.8</w:t>
            </w:r>
          </w:p>
        </w:tc>
        <w:tc>
          <w:tcPr>
            <w:tcW w:w="1380" w:type="dxa"/>
            <w:tcBorders>
              <w:top w:val="nil"/>
              <w:left w:val="nil"/>
              <w:bottom w:val="nil"/>
              <w:right w:val="nil"/>
            </w:tcBorders>
            <w:shd w:val="clear" w:color="auto" w:fill="92D050"/>
            <w:tcMar>
              <w:top w:w="0" w:type="dxa"/>
              <w:left w:w="0" w:type="dxa"/>
              <w:bottom w:w="0" w:type="dxa"/>
              <w:right w:w="0" w:type="dxa"/>
            </w:tcMar>
          </w:tcPr>
          <w:p w14:paraId="7EA4A85A" w14:textId="77777777" w:rsidR="00495804" w:rsidRPr="00A0342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A03424">
              <w:rPr>
                <w:rFonts w:ascii="Arial" w:hAnsi="Arial" w:cs="Arial"/>
                <w:sz w:val="14"/>
                <w:szCs w:val="14"/>
              </w:rPr>
              <w:t>Above Threshold</w:t>
            </w:r>
          </w:p>
        </w:tc>
        <w:tc>
          <w:tcPr>
            <w:tcW w:w="836" w:type="dxa"/>
            <w:tcBorders>
              <w:top w:val="nil"/>
              <w:left w:val="nil"/>
              <w:bottom w:val="nil"/>
              <w:right w:val="nil"/>
            </w:tcBorders>
            <w:shd w:val="clear" w:color="auto" w:fill="FFFFFF"/>
            <w:tcMar>
              <w:top w:w="0" w:type="dxa"/>
              <w:left w:w="0" w:type="dxa"/>
              <w:bottom w:w="0" w:type="dxa"/>
              <w:right w:w="0" w:type="dxa"/>
            </w:tcMar>
            <w:vAlign w:val="center"/>
          </w:tcPr>
          <w:p w14:paraId="0DDB7D42" w14:textId="5E0599F3"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hAnsi="Arial" w:cs="Arial"/>
                <w:color w:val="000000"/>
                <w:sz w:val="14"/>
                <w:szCs w:val="14"/>
              </w:rPr>
              <w:t>21</w:t>
            </w:r>
          </w:p>
        </w:tc>
        <w:tc>
          <w:tcPr>
            <w:tcW w:w="851" w:type="dxa"/>
            <w:tcBorders>
              <w:top w:val="nil"/>
              <w:left w:val="nil"/>
              <w:bottom w:val="nil"/>
              <w:right w:val="nil"/>
            </w:tcBorders>
            <w:shd w:val="clear" w:color="auto" w:fill="FFFFFF"/>
            <w:tcMar>
              <w:top w:w="0" w:type="dxa"/>
              <w:left w:w="0" w:type="dxa"/>
              <w:bottom w:w="0" w:type="dxa"/>
              <w:right w:w="0" w:type="dxa"/>
            </w:tcMar>
            <w:vAlign w:val="center"/>
          </w:tcPr>
          <w:p w14:paraId="38610A7E"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1</w:t>
            </w:r>
          </w:p>
        </w:tc>
      </w:tr>
      <w:tr w:rsidR="00495804" w14:paraId="073DEF23" w14:textId="77777777" w:rsidTr="007D319E">
        <w:trPr>
          <w:jc w:val="center"/>
        </w:trPr>
        <w:tc>
          <w:tcPr>
            <w:tcW w:w="1427" w:type="dxa"/>
            <w:tcBorders>
              <w:top w:val="nil"/>
              <w:left w:val="nil"/>
              <w:bottom w:val="nil"/>
              <w:right w:val="nil"/>
            </w:tcBorders>
            <w:shd w:val="clear" w:color="auto" w:fill="FFFFFF"/>
            <w:tcMar>
              <w:top w:w="0" w:type="dxa"/>
              <w:left w:w="0" w:type="dxa"/>
              <w:bottom w:w="0" w:type="dxa"/>
              <w:right w:w="0" w:type="dxa"/>
            </w:tcMar>
          </w:tcPr>
          <w:p w14:paraId="0ABAF94E" w14:textId="77777777" w:rsidR="00495804" w:rsidRPr="00A0342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A03424">
              <w:rPr>
                <w:rFonts w:ascii="Arial" w:hAnsi="Arial" w:cs="Arial"/>
                <w:sz w:val="12"/>
                <w:szCs w:val="12"/>
              </w:rPr>
              <w:t>CAPE OTWAY</w:t>
            </w:r>
          </w:p>
        </w:tc>
        <w:tc>
          <w:tcPr>
            <w:tcW w:w="567" w:type="dxa"/>
            <w:tcBorders>
              <w:top w:val="nil"/>
              <w:left w:val="nil"/>
              <w:bottom w:val="nil"/>
              <w:right w:val="nil"/>
            </w:tcBorders>
            <w:shd w:val="clear" w:color="auto" w:fill="FFFFFF"/>
            <w:tcMar>
              <w:top w:w="0" w:type="dxa"/>
              <w:left w:w="0" w:type="dxa"/>
              <w:bottom w:w="0" w:type="dxa"/>
              <w:right w:w="0" w:type="dxa"/>
            </w:tcMar>
          </w:tcPr>
          <w:p w14:paraId="41FAD91D"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A03424">
              <w:rPr>
                <w:rFonts w:ascii="Arial" w:hAnsi="Arial" w:cs="Arial"/>
                <w:sz w:val="14"/>
                <w:szCs w:val="14"/>
              </w:rPr>
              <w:t>50</w:t>
            </w:r>
          </w:p>
        </w:tc>
        <w:tc>
          <w:tcPr>
            <w:tcW w:w="850" w:type="dxa"/>
            <w:tcBorders>
              <w:top w:val="nil"/>
              <w:left w:val="nil"/>
              <w:bottom w:val="nil"/>
              <w:right w:val="nil"/>
            </w:tcBorders>
            <w:shd w:val="clear" w:color="auto" w:fill="FFFFFF"/>
            <w:tcMar>
              <w:top w:w="0" w:type="dxa"/>
              <w:left w:w="0" w:type="dxa"/>
              <w:bottom w:w="0" w:type="dxa"/>
              <w:right w:w="0" w:type="dxa"/>
            </w:tcMar>
          </w:tcPr>
          <w:p w14:paraId="4F67F4B7"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A03424">
              <w:rPr>
                <w:rFonts w:ascii="Arial" w:hAnsi="Arial" w:cs="Arial"/>
                <w:sz w:val="14"/>
                <w:szCs w:val="14"/>
              </w:rPr>
              <w:t>70</w:t>
            </w:r>
          </w:p>
        </w:tc>
        <w:tc>
          <w:tcPr>
            <w:tcW w:w="709" w:type="dxa"/>
            <w:tcBorders>
              <w:top w:val="nil"/>
              <w:left w:val="nil"/>
              <w:bottom w:val="nil"/>
              <w:right w:val="nil"/>
            </w:tcBorders>
            <w:shd w:val="clear" w:color="auto" w:fill="FFFFFF"/>
            <w:tcMar>
              <w:top w:w="0" w:type="dxa"/>
              <w:left w:w="0" w:type="dxa"/>
              <w:bottom w:w="0" w:type="dxa"/>
              <w:right w:w="0" w:type="dxa"/>
            </w:tcMar>
          </w:tcPr>
          <w:p w14:paraId="6223FFBF"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hAnsi="Arial" w:cs="Arial"/>
                <w:sz w:val="14"/>
                <w:szCs w:val="14"/>
              </w:rPr>
              <w:t>10</w:t>
            </w:r>
            <w:r w:rsidRPr="00A03424">
              <w:rPr>
                <w:rFonts w:ascii="Arial" w:hAnsi="Arial" w:cs="Arial"/>
                <w:sz w:val="14"/>
                <w:szCs w:val="14"/>
              </w:rPr>
              <w:t>0</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1A17387A" w14:textId="77777777" w:rsidR="00495804" w:rsidRPr="00495804" w:rsidRDefault="00495804" w:rsidP="007D319E">
            <w:pPr>
              <w:pBdr>
                <w:top w:val="none" w:sz="0" w:space="0" w:color="000000"/>
                <w:left w:val="none" w:sz="0" w:space="0" w:color="000000"/>
                <w:bottom w:val="none" w:sz="0" w:space="0" w:color="000000"/>
                <w:right w:val="none" w:sz="0" w:space="0" w:color="000000"/>
              </w:pBdr>
              <w:shd w:val="clear" w:color="auto" w:fill="92D050"/>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70.2</w:t>
            </w:r>
          </w:p>
        </w:tc>
        <w:tc>
          <w:tcPr>
            <w:tcW w:w="567" w:type="dxa"/>
            <w:tcBorders>
              <w:top w:val="nil"/>
              <w:left w:val="nil"/>
              <w:bottom w:val="nil"/>
              <w:right w:val="nil"/>
            </w:tcBorders>
            <w:shd w:val="clear" w:color="auto" w:fill="FFFF00"/>
            <w:tcMar>
              <w:top w:w="0" w:type="dxa"/>
              <w:left w:w="0" w:type="dxa"/>
              <w:bottom w:w="0" w:type="dxa"/>
              <w:right w:w="0" w:type="dxa"/>
            </w:tcMar>
            <w:vAlign w:val="center"/>
          </w:tcPr>
          <w:p w14:paraId="07DE5DFD"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68.8</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78C87931"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71.2</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3DDE352D"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70.9</w:t>
            </w:r>
          </w:p>
        </w:tc>
        <w:tc>
          <w:tcPr>
            <w:tcW w:w="567" w:type="dxa"/>
            <w:tcBorders>
              <w:top w:val="nil"/>
              <w:left w:val="nil"/>
              <w:bottom w:val="nil"/>
              <w:right w:val="nil"/>
            </w:tcBorders>
            <w:shd w:val="clear" w:color="auto" w:fill="FFFF00"/>
            <w:tcMar>
              <w:top w:w="0" w:type="dxa"/>
              <w:left w:w="0" w:type="dxa"/>
              <w:bottom w:w="0" w:type="dxa"/>
              <w:right w:w="0" w:type="dxa"/>
            </w:tcMar>
            <w:vAlign w:val="center"/>
          </w:tcPr>
          <w:p w14:paraId="10AADA3D"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68.9</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0583164D"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71.5</w:t>
            </w:r>
          </w:p>
        </w:tc>
        <w:tc>
          <w:tcPr>
            <w:tcW w:w="1380" w:type="dxa"/>
            <w:tcBorders>
              <w:top w:val="nil"/>
              <w:left w:val="nil"/>
              <w:bottom w:val="nil"/>
              <w:right w:val="nil"/>
            </w:tcBorders>
            <w:shd w:val="clear" w:color="auto" w:fill="92D050"/>
            <w:tcMar>
              <w:top w:w="0" w:type="dxa"/>
              <w:left w:w="0" w:type="dxa"/>
              <w:bottom w:w="0" w:type="dxa"/>
              <w:right w:w="0" w:type="dxa"/>
            </w:tcMar>
          </w:tcPr>
          <w:p w14:paraId="10FB4E09" w14:textId="77777777" w:rsidR="00495804" w:rsidRPr="00A0342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A03424">
              <w:rPr>
                <w:rFonts w:ascii="Arial" w:hAnsi="Arial" w:cs="Arial"/>
                <w:sz w:val="14"/>
                <w:szCs w:val="14"/>
              </w:rPr>
              <w:t>Above Threshold</w:t>
            </w:r>
          </w:p>
        </w:tc>
        <w:tc>
          <w:tcPr>
            <w:tcW w:w="836" w:type="dxa"/>
            <w:tcBorders>
              <w:top w:val="nil"/>
              <w:left w:val="nil"/>
              <w:bottom w:val="nil"/>
              <w:right w:val="nil"/>
            </w:tcBorders>
            <w:shd w:val="clear" w:color="auto" w:fill="FFFFFF"/>
            <w:tcMar>
              <w:top w:w="0" w:type="dxa"/>
              <w:left w:w="0" w:type="dxa"/>
              <w:bottom w:w="0" w:type="dxa"/>
              <w:right w:w="0" w:type="dxa"/>
            </w:tcMar>
            <w:vAlign w:val="center"/>
          </w:tcPr>
          <w:p w14:paraId="13ED5C61"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1</w:t>
            </w:r>
          </w:p>
        </w:tc>
        <w:tc>
          <w:tcPr>
            <w:tcW w:w="851" w:type="dxa"/>
            <w:tcBorders>
              <w:top w:val="nil"/>
              <w:left w:val="nil"/>
              <w:bottom w:val="nil"/>
              <w:right w:val="nil"/>
            </w:tcBorders>
            <w:shd w:val="clear" w:color="auto" w:fill="FFFFFF"/>
            <w:tcMar>
              <w:top w:w="0" w:type="dxa"/>
              <w:left w:w="0" w:type="dxa"/>
              <w:bottom w:w="0" w:type="dxa"/>
              <w:right w:w="0" w:type="dxa"/>
            </w:tcMar>
            <w:vAlign w:val="center"/>
          </w:tcPr>
          <w:p w14:paraId="13FDB60E"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1</w:t>
            </w:r>
          </w:p>
        </w:tc>
      </w:tr>
      <w:tr w:rsidR="00495804" w14:paraId="64ABD5AA" w14:textId="77777777" w:rsidTr="007D319E">
        <w:trPr>
          <w:jc w:val="center"/>
        </w:trPr>
        <w:tc>
          <w:tcPr>
            <w:tcW w:w="1427" w:type="dxa"/>
            <w:tcBorders>
              <w:top w:val="nil"/>
              <w:left w:val="nil"/>
              <w:bottom w:val="nil"/>
              <w:right w:val="nil"/>
            </w:tcBorders>
            <w:shd w:val="clear" w:color="auto" w:fill="FFFFFF"/>
            <w:tcMar>
              <w:top w:w="0" w:type="dxa"/>
              <w:left w:w="0" w:type="dxa"/>
              <w:bottom w:w="0" w:type="dxa"/>
              <w:right w:w="0" w:type="dxa"/>
            </w:tcMar>
          </w:tcPr>
          <w:p w14:paraId="6E0BC018" w14:textId="77777777" w:rsidR="00495804" w:rsidRPr="00A0342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A03424">
              <w:rPr>
                <w:rFonts w:ascii="Arial" w:hAnsi="Arial" w:cs="Arial"/>
                <w:sz w:val="12"/>
                <w:szCs w:val="12"/>
              </w:rPr>
              <w:t>CLIFFY GROUP</w:t>
            </w:r>
          </w:p>
        </w:tc>
        <w:tc>
          <w:tcPr>
            <w:tcW w:w="567" w:type="dxa"/>
            <w:tcBorders>
              <w:top w:val="nil"/>
              <w:left w:val="nil"/>
              <w:bottom w:val="nil"/>
              <w:right w:val="nil"/>
            </w:tcBorders>
            <w:shd w:val="clear" w:color="auto" w:fill="FFFFFF"/>
            <w:tcMar>
              <w:top w:w="0" w:type="dxa"/>
              <w:left w:w="0" w:type="dxa"/>
              <w:bottom w:w="0" w:type="dxa"/>
              <w:right w:w="0" w:type="dxa"/>
            </w:tcMar>
          </w:tcPr>
          <w:p w14:paraId="53D54344"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hAnsi="Arial" w:cs="Arial"/>
                <w:sz w:val="14"/>
                <w:szCs w:val="14"/>
              </w:rPr>
              <w:t>4</w:t>
            </w:r>
            <w:r w:rsidRPr="00A03424">
              <w:rPr>
                <w:rFonts w:ascii="Arial" w:hAnsi="Arial" w:cs="Arial"/>
                <w:sz w:val="14"/>
                <w:szCs w:val="14"/>
              </w:rPr>
              <w:t>0</w:t>
            </w:r>
          </w:p>
        </w:tc>
        <w:tc>
          <w:tcPr>
            <w:tcW w:w="850" w:type="dxa"/>
            <w:tcBorders>
              <w:top w:val="nil"/>
              <w:left w:val="nil"/>
              <w:bottom w:val="nil"/>
              <w:right w:val="nil"/>
            </w:tcBorders>
            <w:shd w:val="clear" w:color="auto" w:fill="FFFFFF"/>
            <w:tcMar>
              <w:top w:w="0" w:type="dxa"/>
              <w:left w:w="0" w:type="dxa"/>
              <w:bottom w:w="0" w:type="dxa"/>
              <w:right w:w="0" w:type="dxa"/>
            </w:tcMar>
          </w:tcPr>
          <w:p w14:paraId="37826CEF"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hAnsi="Arial" w:cs="Arial"/>
                <w:sz w:val="14"/>
                <w:szCs w:val="14"/>
              </w:rPr>
              <w:t>6</w:t>
            </w:r>
            <w:r w:rsidRPr="00A03424">
              <w:rPr>
                <w:rFonts w:ascii="Arial" w:hAnsi="Arial" w:cs="Arial"/>
                <w:sz w:val="14"/>
                <w:szCs w:val="14"/>
              </w:rPr>
              <w:t>0</w:t>
            </w:r>
          </w:p>
        </w:tc>
        <w:tc>
          <w:tcPr>
            <w:tcW w:w="709" w:type="dxa"/>
            <w:tcBorders>
              <w:top w:val="nil"/>
              <w:left w:val="nil"/>
              <w:bottom w:val="nil"/>
              <w:right w:val="nil"/>
            </w:tcBorders>
            <w:shd w:val="clear" w:color="auto" w:fill="FFFFFF"/>
            <w:tcMar>
              <w:top w:w="0" w:type="dxa"/>
              <w:left w:w="0" w:type="dxa"/>
              <w:bottom w:w="0" w:type="dxa"/>
              <w:right w:w="0" w:type="dxa"/>
            </w:tcMar>
          </w:tcPr>
          <w:p w14:paraId="2199CF83"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hAnsi="Arial" w:cs="Arial"/>
                <w:sz w:val="14"/>
                <w:szCs w:val="14"/>
              </w:rPr>
              <w:t>11</w:t>
            </w:r>
            <w:r w:rsidRPr="00A03424">
              <w:rPr>
                <w:rFonts w:ascii="Arial" w:hAnsi="Arial" w:cs="Arial"/>
                <w:sz w:val="14"/>
                <w:szCs w:val="14"/>
              </w:rPr>
              <w:t>0</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24BAA165"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66.7</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26CE5A23"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60.9</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5564BE44"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62.5</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14E41078"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65.0</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0C58964D"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68.6</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3D8ABF1F"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69.6</w:t>
            </w:r>
          </w:p>
        </w:tc>
        <w:tc>
          <w:tcPr>
            <w:tcW w:w="1380" w:type="dxa"/>
            <w:tcBorders>
              <w:top w:val="nil"/>
              <w:left w:val="nil"/>
              <w:bottom w:val="nil"/>
              <w:right w:val="nil"/>
            </w:tcBorders>
            <w:shd w:val="clear" w:color="auto" w:fill="92D050"/>
            <w:tcMar>
              <w:top w:w="0" w:type="dxa"/>
              <w:left w:w="0" w:type="dxa"/>
              <w:bottom w:w="0" w:type="dxa"/>
              <w:right w:w="0" w:type="dxa"/>
            </w:tcMar>
          </w:tcPr>
          <w:p w14:paraId="0ED2D61E" w14:textId="77777777" w:rsidR="00495804" w:rsidRPr="00A0342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A03424">
              <w:rPr>
                <w:rFonts w:ascii="Arial" w:hAnsi="Arial" w:cs="Arial"/>
                <w:sz w:val="14"/>
                <w:szCs w:val="14"/>
              </w:rPr>
              <w:t>Above Threshold</w:t>
            </w:r>
          </w:p>
        </w:tc>
        <w:tc>
          <w:tcPr>
            <w:tcW w:w="836" w:type="dxa"/>
            <w:tcBorders>
              <w:top w:val="nil"/>
              <w:left w:val="nil"/>
              <w:bottom w:val="nil"/>
              <w:right w:val="nil"/>
            </w:tcBorders>
            <w:shd w:val="clear" w:color="auto" w:fill="FFFFFF"/>
            <w:tcMar>
              <w:top w:w="0" w:type="dxa"/>
              <w:left w:w="0" w:type="dxa"/>
              <w:bottom w:w="0" w:type="dxa"/>
              <w:right w:w="0" w:type="dxa"/>
            </w:tcMar>
            <w:vAlign w:val="center"/>
          </w:tcPr>
          <w:p w14:paraId="496CE5CF" w14:textId="17EFE795"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hAnsi="Arial" w:cs="Arial"/>
                <w:color w:val="000000"/>
                <w:sz w:val="14"/>
                <w:szCs w:val="14"/>
              </w:rPr>
              <w:t>21</w:t>
            </w:r>
          </w:p>
        </w:tc>
        <w:tc>
          <w:tcPr>
            <w:tcW w:w="851" w:type="dxa"/>
            <w:tcBorders>
              <w:top w:val="nil"/>
              <w:left w:val="nil"/>
              <w:bottom w:val="nil"/>
              <w:right w:val="nil"/>
            </w:tcBorders>
            <w:shd w:val="clear" w:color="auto" w:fill="FFFFFF"/>
            <w:tcMar>
              <w:top w:w="0" w:type="dxa"/>
              <w:left w:w="0" w:type="dxa"/>
              <w:bottom w:w="0" w:type="dxa"/>
              <w:right w:w="0" w:type="dxa"/>
            </w:tcMar>
            <w:vAlign w:val="center"/>
          </w:tcPr>
          <w:p w14:paraId="71B916C7"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1</w:t>
            </w:r>
          </w:p>
        </w:tc>
      </w:tr>
      <w:tr w:rsidR="00495804" w14:paraId="7D28F378" w14:textId="77777777" w:rsidTr="007D319E">
        <w:trPr>
          <w:jc w:val="center"/>
        </w:trPr>
        <w:tc>
          <w:tcPr>
            <w:tcW w:w="1427" w:type="dxa"/>
            <w:tcBorders>
              <w:top w:val="nil"/>
              <w:left w:val="nil"/>
              <w:bottom w:val="nil"/>
              <w:right w:val="nil"/>
            </w:tcBorders>
            <w:shd w:val="clear" w:color="auto" w:fill="FFFFFF"/>
            <w:tcMar>
              <w:top w:w="0" w:type="dxa"/>
              <w:left w:w="0" w:type="dxa"/>
              <w:bottom w:w="0" w:type="dxa"/>
              <w:right w:w="0" w:type="dxa"/>
            </w:tcMar>
          </w:tcPr>
          <w:p w14:paraId="2F30C0E3" w14:textId="77777777" w:rsidR="00495804" w:rsidRPr="00A0342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A03424">
              <w:rPr>
                <w:rFonts w:ascii="Arial" w:hAnsi="Arial" w:cs="Arial"/>
                <w:sz w:val="12"/>
                <w:szCs w:val="12"/>
              </w:rPr>
              <w:t>FLINDERS</w:t>
            </w:r>
          </w:p>
        </w:tc>
        <w:tc>
          <w:tcPr>
            <w:tcW w:w="567" w:type="dxa"/>
            <w:tcBorders>
              <w:top w:val="nil"/>
              <w:left w:val="nil"/>
              <w:bottom w:val="nil"/>
              <w:right w:val="nil"/>
            </w:tcBorders>
            <w:shd w:val="clear" w:color="auto" w:fill="FFFFFF"/>
            <w:tcMar>
              <w:top w:w="0" w:type="dxa"/>
              <w:left w:w="0" w:type="dxa"/>
              <w:bottom w:w="0" w:type="dxa"/>
              <w:right w:w="0" w:type="dxa"/>
            </w:tcMar>
          </w:tcPr>
          <w:p w14:paraId="7C648E0B"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hAnsi="Arial" w:cs="Arial"/>
                <w:sz w:val="14"/>
                <w:szCs w:val="14"/>
              </w:rPr>
              <w:t>5</w:t>
            </w:r>
            <w:r w:rsidRPr="00A03424">
              <w:rPr>
                <w:rFonts w:ascii="Arial" w:hAnsi="Arial" w:cs="Arial"/>
                <w:sz w:val="14"/>
                <w:szCs w:val="14"/>
              </w:rPr>
              <w:t>0</w:t>
            </w:r>
          </w:p>
        </w:tc>
        <w:tc>
          <w:tcPr>
            <w:tcW w:w="850" w:type="dxa"/>
            <w:tcBorders>
              <w:top w:val="nil"/>
              <w:left w:val="nil"/>
              <w:bottom w:val="nil"/>
              <w:right w:val="nil"/>
            </w:tcBorders>
            <w:shd w:val="clear" w:color="auto" w:fill="FFFFFF"/>
            <w:tcMar>
              <w:top w:w="0" w:type="dxa"/>
              <w:left w:w="0" w:type="dxa"/>
              <w:bottom w:w="0" w:type="dxa"/>
              <w:right w:w="0" w:type="dxa"/>
            </w:tcMar>
          </w:tcPr>
          <w:p w14:paraId="38AA2413"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hAnsi="Arial" w:cs="Arial"/>
                <w:sz w:val="14"/>
                <w:szCs w:val="14"/>
              </w:rPr>
              <w:t>7</w:t>
            </w:r>
            <w:r w:rsidRPr="00A03424">
              <w:rPr>
                <w:rFonts w:ascii="Arial" w:hAnsi="Arial" w:cs="Arial"/>
                <w:sz w:val="14"/>
                <w:szCs w:val="14"/>
              </w:rPr>
              <w:t>0</w:t>
            </w:r>
          </w:p>
        </w:tc>
        <w:tc>
          <w:tcPr>
            <w:tcW w:w="709" w:type="dxa"/>
            <w:tcBorders>
              <w:top w:val="nil"/>
              <w:left w:val="nil"/>
              <w:bottom w:val="nil"/>
              <w:right w:val="nil"/>
            </w:tcBorders>
            <w:shd w:val="clear" w:color="auto" w:fill="FFFFFF"/>
            <w:tcMar>
              <w:top w:w="0" w:type="dxa"/>
              <w:left w:w="0" w:type="dxa"/>
              <w:bottom w:w="0" w:type="dxa"/>
              <w:right w:w="0" w:type="dxa"/>
            </w:tcMar>
          </w:tcPr>
          <w:p w14:paraId="7236ABEA"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hAnsi="Arial" w:cs="Arial"/>
                <w:sz w:val="14"/>
                <w:szCs w:val="14"/>
              </w:rPr>
              <w:t>10</w:t>
            </w:r>
            <w:r w:rsidRPr="00A03424">
              <w:rPr>
                <w:rFonts w:ascii="Arial" w:hAnsi="Arial" w:cs="Arial"/>
                <w:sz w:val="14"/>
                <w:szCs w:val="14"/>
              </w:rPr>
              <w:t>0</w:t>
            </w:r>
          </w:p>
        </w:tc>
        <w:tc>
          <w:tcPr>
            <w:tcW w:w="567" w:type="dxa"/>
            <w:tcBorders>
              <w:top w:val="nil"/>
              <w:left w:val="nil"/>
              <w:bottom w:val="nil"/>
              <w:right w:val="nil"/>
            </w:tcBorders>
            <w:shd w:val="clear" w:color="auto" w:fill="FFFF00"/>
            <w:tcMar>
              <w:top w:w="0" w:type="dxa"/>
              <w:left w:w="0" w:type="dxa"/>
              <w:bottom w:w="0" w:type="dxa"/>
              <w:right w:w="0" w:type="dxa"/>
            </w:tcMar>
            <w:vAlign w:val="center"/>
          </w:tcPr>
          <w:p w14:paraId="366E26FF"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56.3</w:t>
            </w:r>
          </w:p>
        </w:tc>
        <w:tc>
          <w:tcPr>
            <w:tcW w:w="567" w:type="dxa"/>
            <w:tcBorders>
              <w:top w:val="nil"/>
              <w:left w:val="nil"/>
              <w:bottom w:val="nil"/>
              <w:right w:val="nil"/>
            </w:tcBorders>
            <w:shd w:val="clear" w:color="auto" w:fill="FFFF00"/>
            <w:tcMar>
              <w:top w:w="0" w:type="dxa"/>
              <w:left w:w="0" w:type="dxa"/>
              <w:bottom w:w="0" w:type="dxa"/>
              <w:right w:w="0" w:type="dxa"/>
            </w:tcMar>
            <w:vAlign w:val="center"/>
          </w:tcPr>
          <w:p w14:paraId="3ADAC932"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55.8</w:t>
            </w:r>
          </w:p>
        </w:tc>
        <w:tc>
          <w:tcPr>
            <w:tcW w:w="567" w:type="dxa"/>
            <w:tcBorders>
              <w:top w:val="nil"/>
              <w:left w:val="nil"/>
              <w:bottom w:val="nil"/>
              <w:right w:val="nil"/>
            </w:tcBorders>
            <w:shd w:val="clear" w:color="auto" w:fill="FFFF00"/>
            <w:tcMar>
              <w:top w:w="0" w:type="dxa"/>
              <w:left w:w="0" w:type="dxa"/>
              <w:bottom w:w="0" w:type="dxa"/>
              <w:right w:w="0" w:type="dxa"/>
            </w:tcMar>
            <w:vAlign w:val="center"/>
          </w:tcPr>
          <w:p w14:paraId="766564B8"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56.5</w:t>
            </w:r>
          </w:p>
        </w:tc>
        <w:tc>
          <w:tcPr>
            <w:tcW w:w="567" w:type="dxa"/>
            <w:tcBorders>
              <w:top w:val="nil"/>
              <w:left w:val="nil"/>
              <w:bottom w:val="nil"/>
              <w:right w:val="nil"/>
            </w:tcBorders>
            <w:shd w:val="clear" w:color="auto" w:fill="FFFF00"/>
            <w:tcMar>
              <w:top w:w="0" w:type="dxa"/>
              <w:left w:w="0" w:type="dxa"/>
              <w:bottom w:w="0" w:type="dxa"/>
              <w:right w:w="0" w:type="dxa"/>
            </w:tcMar>
            <w:vAlign w:val="center"/>
          </w:tcPr>
          <w:p w14:paraId="2AD5D3B7"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66.0</w:t>
            </w:r>
          </w:p>
        </w:tc>
        <w:tc>
          <w:tcPr>
            <w:tcW w:w="567" w:type="dxa"/>
            <w:tcBorders>
              <w:top w:val="nil"/>
              <w:left w:val="nil"/>
              <w:bottom w:val="nil"/>
              <w:right w:val="nil"/>
            </w:tcBorders>
            <w:shd w:val="clear" w:color="auto" w:fill="FFFF00"/>
            <w:tcMar>
              <w:top w:w="0" w:type="dxa"/>
              <w:left w:w="0" w:type="dxa"/>
              <w:bottom w:w="0" w:type="dxa"/>
              <w:right w:w="0" w:type="dxa"/>
            </w:tcMar>
            <w:vAlign w:val="center"/>
          </w:tcPr>
          <w:p w14:paraId="6827EA78"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66.1</w:t>
            </w:r>
          </w:p>
        </w:tc>
        <w:tc>
          <w:tcPr>
            <w:tcW w:w="567" w:type="dxa"/>
            <w:tcBorders>
              <w:top w:val="nil"/>
              <w:left w:val="nil"/>
              <w:bottom w:val="nil"/>
              <w:right w:val="nil"/>
            </w:tcBorders>
            <w:shd w:val="clear" w:color="auto" w:fill="FFFF00"/>
            <w:tcMar>
              <w:top w:w="0" w:type="dxa"/>
              <w:left w:w="0" w:type="dxa"/>
              <w:bottom w:w="0" w:type="dxa"/>
              <w:right w:w="0" w:type="dxa"/>
            </w:tcMar>
            <w:vAlign w:val="center"/>
          </w:tcPr>
          <w:p w14:paraId="5E5AF960"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69.9</w:t>
            </w:r>
          </w:p>
        </w:tc>
        <w:tc>
          <w:tcPr>
            <w:tcW w:w="1380" w:type="dxa"/>
            <w:tcBorders>
              <w:top w:val="nil"/>
              <w:left w:val="nil"/>
              <w:bottom w:val="nil"/>
              <w:right w:val="nil"/>
            </w:tcBorders>
            <w:shd w:val="clear" w:color="auto" w:fill="FFFF00"/>
            <w:tcMar>
              <w:top w:w="0" w:type="dxa"/>
              <w:left w:w="0" w:type="dxa"/>
              <w:bottom w:w="0" w:type="dxa"/>
              <w:right w:w="0" w:type="dxa"/>
            </w:tcMar>
          </w:tcPr>
          <w:p w14:paraId="631DB469" w14:textId="77777777" w:rsidR="00495804" w:rsidRPr="00A0342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A03424">
              <w:rPr>
                <w:rFonts w:ascii="Arial" w:hAnsi="Arial" w:cs="Arial"/>
                <w:sz w:val="14"/>
                <w:szCs w:val="14"/>
              </w:rPr>
              <w:t>Limit to Threshold</w:t>
            </w:r>
          </w:p>
        </w:tc>
        <w:tc>
          <w:tcPr>
            <w:tcW w:w="836" w:type="dxa"/>
            <w:tcBorders>
              <w:top w:val="nil"/>
              <w:left w:val="nil"/>
              <w:bottom w:val="nil"/>
              <w:right w:val="nil"/>
            </w:tcBorders>
            <w:shd w:val="clear" w:color="auto" w:fill="FFFFFF"/>
            <w:tcMar>
              <w:top w:w="0" w:type="dxa"/>
              <w:left w:w="0" w:type="dxa"/>
              <w:bottom w:w="0" w:type="dxa"/>
              <w:right w:w="0" w:type="dxa"/>
            </w:tcMar>
            <w:vAlign w:val="center"/>
          </w:tcPr>
          <w:p w14:paraId="059F0680"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hAnsi="Arial" w:cs="Arial"/>
                <w:color w:val="000000"/>
                <w:sz w:val="14"/>
                <w:szCs w:val="14"/>
              </w:rPr>
              <w:t>18</w:t>
            </w:r>
          </w:p>
        </w:tc>
        <w:tc>
          <w:tcPr>
            <w:tcW w:w="851" w:type="dxa"/>
            <w:tcBorders>
              <w:top w:val="nil"/>
              <w:left w:val="nil"/>
              <w:bottom w:val="nil"/>
              <w:right w:val="nil"/>
            </w:tcBorders>
            <w:shd w:val="clear" w:color="auto" w:fill="FFFFFF"/>
            <w:tcMar>
              <w:top w:w="0" w:type="dxa"/>
              <w:left w:w="0" w:type="dxa"/>
              <w:bottom w:w="0" w:type="dxa"/>
              <w:right w:w="0" w:type="dxa"/>
            </w:tcMar>
            <w:vAlign w:val="center"/>
          </w:tcPr>
          <w:p w14:paraId="40C9149F"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hAnsi="Arial" w:cs="Arial"/>
                <w:color w:val="000000"/>
                <w:sz w:val="14"/>
                <w:szCs w:val="14"/>
              </w:rPr>
              <w:t>2</w:t>
            </w:r>
          </w:p>
        </w:tc>
      </w:tr>
      <w:tr w:rsidR="00495804" w14:paraId="30AEDCC3" w14:textId="77777777" w:rsidTr="007D319E">
        <w:trPr>
          <w:jc w:val="center"/>
        </w:trPr>
        <w:tc>
          <w:tcPr>
            <w:tcW w:w="1427" w:type="dxa"/>
            <w:tcBorders>
              <w:top w:val="nil"/>
              <w:left w:val="nil"/>
              <w:bottom w:val="nil"/>
              <w:right w:val="nil"/>
            </w:tcBorders>
            <w:shd w:val="clear" w:color="auto" w:fill="FFFFFF"/>
            <w:tcMar>
              <w:top w:w="0" w:type="dxa"/>
              <w:left w:w="0" w:type="dxa"/>
              <w:bottom w:w="0" w:type="dxa"/>
              <w:right w:w="0" w:type="dxa"/>
            </w:tcMar>
          </w:tcPr>
          <w:p w14:paraId="27114F63" w14:textId="77777777" w:rsidR="00495804" w:rsidRPr="00A0342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A03424">
              <w:rPr>
                <w:rFonts w:ascii="Arial" w:hAnsi="Arial" w:cs="Arial"/>
                <w:sz w:val="12"/>
                <w:szCs w:val="12"/>
              </w:rPr>
              <w:t>KILCUNDA</w:t>
            </w:r>
          </w:p>
        </w:tc>
        <w:tc>
          <w:tcPr>
            <w:tcW w:w="567" w:type="dxa"/>
            <w:tcBorders>
              <w:top w:val="nil"/>
              <w:left w:val="nil"/>
              <w:bottom w:val="nil"/>
              <w:right w:val="nil"/>
            </w:tcBorders>
            <w:shd w:val="clear" w:color="auto" w:fill="FFFFFF"/>
            <w:tcMar>
              <w:top w:w="0" w:type="dxa"/>
              <w:left w:w="0" w:type="dxa"/>
              <w:bottom w:w="0" w:type="dxa"/>
              <w:right w:w="0" w:type="dxa"/>
            </w:tcMar>
          </w:tcPr>
          <w:p w14:paraId="5E1F4821"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A03424">
              <w:rPr>
                <w:rFonts w:ascii="Arial" w:hAnsi="Arial" w:cs="Arial"/>
                <w:sz w:val="14"/>
                <w:szCs w:val="14"/>
              </w:rPr>
              <w:t>50</w:t>
            </w:r>
          </w:p>
        </w:tc>
        <w:tc>
          <w:tcPr>
            <w:tcW w:w="850" w:type="dxa"/>
            <w:tcBorders>
              <w:top w:val="nil"/>
              <w:left w:val="nil"/>
              <w:bottom w:val="nil"/>
              <w:right w:val="nil"/>
            </w:tcBorders>
            <w:shd w:val="clear" w:color="auto" w:fill="FFFFFF"/>
            <w:tcMar>
              <w:top w:w="0" w:type="dxa"/>
              <w:left w:w="0" w:type="dxa"/>
              <w:bottom w:w="0" w:type="dxa"/>
              <w:right w:w="0" w:type="dxa"/>
            </w:tcMar>
          </w:tcPr>
          <w:p w14:paraId="711EF88C"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A03424">
              <w:rPr>
                <w:rFonts w:ascii="Arial" w:hAnsi="Arial" w:cs="Arial"/>
                <w:sz w:val="14"/>
                <w:szCs w:val="14"/>
              </w:rPr>
              <w:t>70</w:t>
            </w:r>
          </w:p>
        </w:tc>
        <w:tc>
          <w:tcPr>
            <w:tcW w:w="709" w:type="dxa"/>
            <w:tcBorders>
              <w:top w:val="nil"/>
              <w:left w:val="nil"/>
              <w:bottom w:val="nil"/>
              <w:right w:val="nil"/>
            </w:tcBorders>
            <w:shd w:val="clear" w:color="auto" w:fill="FFFFFF"/>
            <w:tcMar>
              <w:top w:w="0" w:type="dxa"/>
              <w:left w:w="0" w:type="dxa"/>
              <w:bottom w:w="0" w:type="dxa"/>
              <w:right w:w="0" w:type="dxa"/>
            </w:tcMar>
          </w:tcPr>
          <w:p w14:paraId="4C31F58A"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hAnsi="Arial" w:cs="Arial"/>
                <w:sz w:val="14"/>
                <w:szCs w:val="14"/>
              </w:rPr>
              <w:t>110</w:t>
            </w:r>
          </w:p>
        </w:tc>
        <w:tc>
          <w:tcPr>
            <w:tcW w:w="567" w:type="dxa"/>
            <w:tcBorders>
              <w:top w:val="nil"/>
              <w:left w:val="nil"/>
              <w:bottom w:val="nil"/>
              <w:right w:val="nil"/>
            </w:tcBorders>
            <w:shd w:val="clear" w:color="auto" w:fill="FFFF00"/>
            <w:tcMar>
              <w:top w:w="0" w:type="dxa"/>
              <w:left w:w="0" w:type="dxa"/>
              <w:bottom w:w="0" w:type="dxa"/>
              <w:right w:w="0" w:type="dxa"/>
            </w:tcMar>
            <w:vAlign w:val="center"/>
          </w:tcPr>
          <w:p w14:paraId="33A59184"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60.8</w:t>
            </w:r>
          </w:p>
        </w:tc>
        <w:tc>
          <w:tcPr>
            <w:tcW w:w="567" w:type="dxa"/>
            <w:tcBorders>
              <w:top w:val="nil"/>
              <w:left w:val="nil"/>
              <w:bottom w:val="nil"/>
              <w:right w:val="nil"/>
            </w:tcBorders>
            <w:shd w:val="clear" w:color="auto" w:fill="FFFF00"/>
            <w:tcMar>
              <w:top w:w="0" w:type="dxa"/>
              <w:left w:w="0" w:type="dxa"/>
              <w:bottom w:w="0" w:type="dxa"/>
              <w:right w:w="0" w:type="dxa"/>
            </w:tcMar>
            <w:vAlign w:val="center"/>
          </w:tcPr>
          <w:p w14:paraId="71CC3B62"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58.5</w:t>
            </w:r>
          </w:p>
        </w:tc>
        <w:tc>
          <w:tcPr>
            <w:tcW w:w="567" w:type="dxa"/>
            <w:tcBorders>
              <w:top w:val="nil"/>
              <w:left w:val="nil"/>
              <w:bottom w:val="nil"/>
              <w:right w:val="nil"/>
            </w:tcBorders>
            <w:shd w:val="clear" w:color="auto" w:fill="FFFF00"/>
            <w:tcMar>
              <w:top w:w="0" w:type="dxa"/>
              <w:left w:w="0" w:type="dxa"/>
              <w:bottom w:w="0" w:type="dxa"/>
              <w:right w:w="0" w:type="dxa"/>
            </w:tcMar>
            <w:vAlign w:val="center"/>
          </w:tcPr>
          <w:p w14:paraId="430F14EA"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60.7</w:t>
            </w:r>
          </w:p>
        </w:tc>
        <w:tc>
          <w:tcPr>
            <w:tcW w:w="567" w:type="dxa"/>
            <w:tcBorders>
              <w:top w:val="nil"/>
              <w:left w:val="nil"/>
              <w:bottom w:val="nil"/>
              <w:right w:val="nil"/>
            </w:tcBorders>
            <w:shd w:val="clear" w:color="auto" w:fill="FFFF00"/>
            <w:tcMar>
              <w:top w:w="0" w:type="dxa"/>
              <w:left w:w="0" w:type="dxa"/>
              <w:bottom w:w="0" w:type="dxa"/>
              <w:right w:w="0" w:type="dxa"/>
            </w:tcMar>
            <w:vAlign w:val="center"/>
          </w:tcPr>
          <w:p w14:paraId="34A227A8"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64.7</w:t>
            </w:r>
          </w:p>
        </w:tc>
        <w:tc>
          <w:tcPr>
            <w:tcW w:w="567" w:type="dxa"/>
            <w:tcBorders>
              <w:top w:val="nil"/>
              <w:left w:val="nil"/>
              <w:bottom w:val="nil"/>
              <w:right w:val="nil"/>
            </w:tcBorders>
            <w:shd w:val="clear" w:color="auto" w:fill="FFFF00"/>
            <w:tcMar>
              <w:top w:w="0" w:type="dxa"/>
              <w:left w:w="0" w:type="dxa"/>
              <w:bottom w:w="0" w:type="dxa"/>
              <w:right w:w="0" w:type="dxa"/>
            </w:tcMar>
            <w:vAlign w:val="center"/>
          </w:tcPr>
          <w:p w14:paraId="4BD818EB"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66.4</w:t>
            </w:r>
          </w:p>
        </w:tc>
        <w:tc>
          <w:tcPr>
            <w:tcW w:w="567" w:type="dxa"/>
            <w:tcBorders>
              <w:top w:val="nil"/>
              <w:left w:val="nil"/>
              <w:bottom w:val="nil"/>
              <w:right w:val="nil"/>
            </w:tcBorders>
            <w:shd w:val="clear" w:color="auto" w:fill="FFFF00"/>
            <w:tcMar>
              <w:top w:w="0" w:type="dxa"/>
              <w:left w:w="0" w:type="dxa"/>
              <w:bottom w:w="0" w:type="dxa"/>
              <w:right w:w="0" w:type="dxa"/>
            </w:tcMar>
            <w:vAlign w:val="center"/>
          </w:tcPr>
          <w:p w14:paraId="3C40D4C0"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64.9</w:t>
            </w:r>
          </w:p>
        </w:tc>
        <w:tc>
          <w:tcPr>
            <w:tcW w:w="1380" w:type="dxa"/>
            <w:tcBorders>
              <w:top w:val="nil"/>
              <w:left w:val="nil"/>
              <w:bottom w:val="nil"/>
              <w:right w:val="nil"/>
            </w:tcBorders>
            <w:shd w:val="clear" w:color="auto" w:fill="FFFF00"/>
            <w:tcMar>
              <w:top w:w="0" w:type="dxa"/>
              <w:left w:w="0" w:type="dxa"/>
              <w:bottom w:w="0" w:type="dxa"/>
              <w:right w:w="0" w:type="dxa"/>
            </w:tcMar>
          </w:tcPr>
          <w:p w14:paraId="1E2E9A60" w14:textId="77777777" w:rsidR="00495804" w:rsidRPr="00A0342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A03424">
              <w:rPr>
                <w:rFonts w:ascii="Arial" w:hAnsi="Arial" w:cs="Arial"/>
                <w:sz w:val="14"/>
                <w:szCs w:val="14"/>
              </w:rPr>
              <w:t>Limit to Threshold</w:t>
            </w:r>
          </w:p>
        </w:tc>
        <w:tc>
          <w:tcPr>
            <w:tcW w:w="836" w:type="dxa"/>
            <w:tcBorders>
              <w:top w:val="nil"/>
              <w:left w:val="nil"/>
              <w:bottom w:val="nil"/>
              <w:right w:val="nil"/>
            </w:tcBorders>
            <w:shd w:val="clear" w:color="auto" w:fill="FFFFFF"/>
            <w:tcMar>
              <w:top w:w="0" w:type="dxa"/>
              <w:left w:w="0" w:type="dxa"/>
              <w:bottom w:w="0" w:type="dxa"/>
              <w:right w:w="0" w:type="dxa"/>
            </w:tcMar>
            <w:vAlign w:val="center"/>
          </w:tcPr>
          <w:p w14:paraId="7CE5196E"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hAnsi="Arial" w:cs="Arial"/>
                <w:color w:val="000000"/>
                <w:sz w:val="14"/>
                <w:szCs w:val="14"/>
              </w:rPr>
              <w:t>1</w:t>
            </w:r>
            <w:r w:rsidRPr="00495804">
              <w:rPr>
                <w:rFonts w:ascii="Arial" w:hAnsi="Arial" w:cs="Arial"/>
                <w:color w:val="000000"/>
                <w:sz w:val="14"/>
                <w:szCs w:val="14"/>
              </w:rPr>
              <w:t>4</w:t>
            </w:r>
          </w:p>
        </w:tc>
        <w:tc>
          <w:tcPr>
            <w:tcW w:w="851" w:type="dxa"/>
            <w:tcBorders>
              <w:top w:val="nil"/>
              <w:left w:val="nil"/>
              <w:bottom w:val="nil"/>
              <w:right w:val="nil"/>
            </w:tcBorders>
            <w:shd w:val="clear" w:color="auto" w:fill="FFFFFF"/>
            <w:tcMar>
              <w:top w:w="0" w:type="dxa"/>
              <w:left w:w="0" w:type="dxa"/>
              <w:bottom w:w="0" w:type="dxa"/>
              <w:right w:w="0" w:type="dxa"/>
            </w:tcMar>
            <w:vAlign w:val="center"/>
          </w:tcPr>
          <w:p w14:paraId="7C0D98E1"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hAnsi="Arial" w:cs="Arial"/>
                <w:color w:val="000000"/>
                <w:sz w:val="14"/>
                <w:szCs w:val="14"/>
              </w:rPr>
              <w:t>2</w:t>
            </w:r>
          </w:p>
        </w:tc>
      </w:tr>
      <w:tr w:rsidR="00495804" w14:paraId="023BAA6A" w14:textId="77777777" w:rsidTr="007D319E">
        <w:trPr>
          <w:jc w:val="center"/>
        </w:trPr>
        <w:tc>
          <w:tcPr>
            <w:tcW w:w="1427" w:type="dxa"/>
            <w:tcBorders>
              <w:top w:val="nil"/>
              <w:left w:val="nil"/>
              <w:bottom w:val="nil"/>
              <w:right w:val="nil"/>
            </w:tcBorders>
            <w:shd w:val="clear" w:color="auto" w:fill="FFFFFF"/>
            <w:tcMar>
              <w:top w:w="0" w:type="dxa"/>
              <w:left w:w="0" w:type="dxa"/>
              <w:bottom w:w="0" w:type="dxa"/>
              <w:right w:w="0" w:type="dxa"/>
            </w:tcMar>
          </w:tcPr>
          <w:p w14:paraId="3F57E368" w14:textId="77777777" w:rsidR="00495804" w:rsidRPr="00A0342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A03424">
              <w:rPr>
                <w:rFonts w:ascii="Arial" w:hAnsi="Arial" w:cs="Arial"/>
                <w:sz w:val="12"/>
                <w:szCs w:val="12"/>
              </w:rPr>
              <w:t>PHILLIP ISLAND</w:t>
            </w:r>
          </w:p>
        </w:tc>
        <w:tc>
          <w:tcPr>
            <w:tcW w:w="567" w:type="dxa"/>
            <w:tcBorders>
              <w:top w:val="nil"/>
              <w:left w:val="nil"/>
              <w:bottom w:val="nil"/>
              <w:right w:val="nil"/>
            </w:tcBorders>
            <w:shd w:val="clear" w:color="auto" w:fill="FFFFFF"/>
            <w:tcMar>
              <w:top w:w="0" w:type="dxa"/>
              <w:left w:w="0" w:type="dxa"/>
              <w:bottom w:w="0" w:type="dxa"/>
              <w:right w:w="0" w:type="dxa"/>
            </w:tcMar>
          </w:tcPr>
          <w:p w14:paraId="29BBD9F6"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A03424">
              <w:rPr>
                <w:rFonts w:ascii="Arial" w:hAnsi="Arial" w:cs="Arial"/>
                <w:sz w:val="14"/>
                <w:szCs w:val="14"/>
              </w:rPr>
              <w:t>50</w:t>
            </w:r>
          </w:p>
        </w:tc>
        <w:tc>
          <w:tcPr>
            <w:tcW w:w="850" w:type="dxa"/>
            <w:tcBorders>
              <w:top w:val="nil"/>
              <w:left w:val="nil"/>
              <w:bottom w:val="nil"/>
              <w:right w:val="nil"/>
            </w:tcBorders>
            <w:shd w:val="clear" w:color="auto" w:fill="FFFFFF"/>
            <w:tcMar>
              <w:top w:w="0" w:type="dxa"/>
              <w:left w:w="0" w:type="dxa"/>
              <w:bottom w:w="0" w:type="dxa"/>
              <w:right w:w="0" w:type="dxa"/>
            </w:tcMar>
          </w:tcPr>
          <w:p w14:paraId="26A5694B"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A03424">
              <w:rPr>
                <w:rFonts w:ascii="Arial" w:hAnsi="Arial" w:cs="Arial"/>
                <w:sz w:val="14"/>
                <w:szCs w:val="14"/>
              </w:rPr>
              <w:t>70</w:t>
            </w:r>
          </w:p>
        </w:tc>
        <w:tc>
          <w:tcPr>
            <w:tcW w:w="709" w:type="dxa"/>
            <w:tcBorders>
              <w:top w:val="nil"/>
              <w:left w:val="nil"/>
              <w:bottom w:val="nil"/>
              <w:right w:val="nil"/>
            </w:tcBorders>
            <w:shd w:val="clear" w:color="auto" w:fill="FFFFFF"/>
            <w:tcMar>
              <w:top w:w="0" w:type="dxa"/>
              <w:left w:w="0" w:type="dxa"/>
              <w:bottom w:w="0" w:type="dxa"/>
              <w:right w:w="0" w:type="dxa"/>
            </w:tcMar>
          </w:tcPr>
          <w:p w14:paraId="32C51B31"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hAnsi="Arial" w:cs="Arial"/>
                <w:sz w:val="14"/>
                <w:szCs w:val="14"/>
              </w:rPr>
              <w:t>11</w:t>
            </w:r>
            <w:r w:rsidRPr="00A03424">
              <w:rPr>
                <w:rFonts w:ascii="Arial" w:hAnsi="Arial" w:cs="Arial"/>
                <w:sz w:val="14"/>
                <w:szCs w:val="14"/>
              </w:rPr>
              <w:t>0</w:t>
            </w:r>
          </w:p>
        </w:tc>
        <w:tc>
          <w:tcPr>
            <w:tcW w:w="567" w:type="dxa"/>
            <w:tcBorders>
              <w:top w:val="nil"/>
              <w:left w:val="nil"/>
              <w:bottom w:val="nil"/>
              <w:right w:val="nil"/>
            </w:tcBorders>
            <w:shd w:val="clear" w:color="auto" w:fill="FFFF00"/>
            <w:tcMar>
              <w:top w:w="0" w:type="dxa"/>
              <w:left w:w="0" w:type="dxa"/>
              <w:bottom w:w="0" w:type="dxa"/>
              <w:right w:w="0" w:type="dxa"/>
            </w:tcMar>
            <w:vAlign w:val="center"/>
          </w:tcPr>
          <w:p w14:paraId="4EB10270"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60.4</w:t>
            </w:r>
          </w:p>
        </w:tc>
        <w:tc>
          <w:tcPr>
            <w:tcW w:w="567" w:type="dxa"/>
            <w:tcBorders>
              <w:top w:val="nil"/>
              <w:left w:val="nil"/>
              <w:bottom w:val="nil"/>
              <w:right w:val="nil"/>
            </w:tcBorders>
            <w:shd w:val="clear" w:color="auto" w:fill="FFFF00"/>
            <w:tcMar>
              <w:top w:w="0" w:type="dxa"/>
              <w:left w:w="0" w:type="dxa"/>
              <w:bottom w:w="0" w:type="dxa"/>
              <w:right w:w="0" w:type="dxa"/>
            </w:tcMar>
            <w:vAlign w:val="center"/>
          </w:tcPr>
          <w:p w14:paraId="77B76225"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61.1</w:t>
            </w:r>
          </w:p>
        </w:tc>
        <w:tc>
          <w:tcPr>
            <w:tcW w:w="567" w:type="dxa"/>
            <w:tcBorders>
              <w:top w:val="nil"/>
              <w:left w:val="nil"/>
              <w:bottom w:val="nil"/>
              <w:right w:val="nil"/>
            </w:tcBorders>
            <w:shd w:val="clear" w:color="auto" w:fill="FFFF00"/>
            <w:tcMar>
              <w:top w:w="0" w:type="dxa"/>
              <w:left w:w="0" w:type="dxa"/>
              <w:bottom w:w="0" w:type="dxa"/>
              <w:right w:w="0" w:type="dxa"/>
            </w:tcMar>
            <w:vAlign w:val="center"/>
          </w:tcPr>
          <w:p w14:paraId="513D0F04"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58.6</w:t>
            </w:r>
          </w:p>
        </w:tc>
        <w:tc>
          <w:tcPr>
            <w:tcW w:w="567" w:type="dxa"/>
            <w:tcBorders>
              <w:top w:val="nil"/>
              <w:left w:val="nil"/>
              <w:bottom w:val="nil"/>
              <w:right w:val="nil"/>
            </w:tcBorders>
            <w:shd w:val="clear" w:color="auto" w:fill="FFFF00"/>
            <w:tcMar>
              <w:top w:w="0" w:type="dxa"/>
              <w:left w:w="0" w:type="dxa"/>
              <w:bottom w:w="0" w:type="dxa"/>
              <w:right w:w="0" w:type="dxa"/>
            </w:tcMar>
            <w:vAlign w:val="center"/>
          </w:tcPr>
          <w:p w14:paraId="2E75E3BF"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62.0</w:t>
            </w:r>
          </w:p>
        </w:tc>
        <w:tc>
          <w:tcPr>
            <w:tcW w:w="567" w:type="dxa"/>
            <w:tcBorders>
              <w:top w:val="nil"/>
              <w:left w:val="nil"/>
              <w:bottom w:val="nil"/>
              <w:right w:val="nil"/>
            </w:tcBorders>
            <w:shd w:val="clear" w:color="auto" w:fill="FFFF00"/>
            <w:tcMar>
              <w:top w:w="0" w:type="dxa"/>
              <w:left w:w="0" w:type="dxa"/>
              <w:bottom w:w="0" w:type="dxa"/>
              <w:right w:w="0" w:type="dxa"/>
            </w:tcMar>
            <w:vAlign w:val="center"/>
          </w:tcPr>
          <w:p w14:paraId="7BAEE150"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69.3</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7F06AC79"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72.2</w:t>
            </w:r>
          </w:p>
        </w:tc>
        <w:tc>
          <w:tcPr>
            <w:tcW w:w="1380" w:type="dxa"/>
            <w:tcBorders>
              <w:top w:val="nil"/>
              <w:left w:val="nil"/>
              <w:bottom w:val="nil"/>
              <w:right w:val="nil"/>
            </w:tcBorders>
            <w:shd w:val="clear" w:color="auto" w:fill="92D050"/>
            <w:tcMar>
              <w:top w:w="0" w:type="dxa"/>
              <w:left w:w="0" w:type="dxa"/>
              <w:bottom w:w="0" w:type="dxa"/>
              <w:right w:w="0" w:type="dxa"/>
            </w:tcMar>
          </w:tcPr>
          <w:p w14:paraId="3E13AC3F" w14:textId="77777777" w:rsidR="00495804" w:rsidRPr="00A0342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A03424">
              <w:rPr>
                <w:rFonts w:ascii="Arial" w:hAnsi="Arial" w:cs="Arial"/>
                <w:sz w:val="14"/>
                <w:szCs w:val="14"/>
              </w:rPr>
              <w:t>Above Threshold</w:t>
            </w:r>
          </w:p>
        </w:tc>
        <w:tc>
          <w:tcPr>
            <w:tcW w:w="836" w:type="dxa"/>
            <w:tcBorders>
              <w:top w:val="nil"/>
              <w:left w:val="nil"/>
              <w:bottom w:val="nil"/>
              <w:right w:val="nil"/>
            </w:tcBorders>
            <w:shd w:val="clear" w:color="auto" w:fill="FFFFFF"/>
            <w:tcMar>
              <w:top w:w="0" w:type="dxa"/>
              <w:left w:w="0" w:type="dxa"/>
              <w:bottom w:w="0" w:type="dxa"/>
              <w:right w:w="0" w:type="dxa"/>
            </w:tcMar>
            <w:vAlign w:val="center"/>
          </w:tcPr>
          <w:p w14:paraId="13C3C455"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3</w:t>
            </w:r>
          </w:p>
        </w:tc>
        <w:tc>
          <w:tcPr>
            <w:tcW w:w="851" w:type="dxa"/>
            <w:tcBorders>
              <w:top w:val="nil"/>
              <w:left w:val="nil"/>
              <w:bottom w:val="nil"/>
              <w:right w:val="nil"/>
            </w:tcBorders>
            <w:shd w:val="clear" w:color="auto" w:fill="FFFFFF"/>
            <w:tcMar>
              <w:top w:w="0" w:type="dxa"/>
              <w:left w:w="0" w:type="dxa"/>
              <w:bottom w:w="0" w:type="dxa"/>
              <w:right w:w="0" w:type="dxa"/>
            </w:tcMar>
            <w:vAlign w:val="center"/>
          </w:tcPr>
          <w:p w14:paraId="584FA361"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1</w:t>
            </w:r>
          </w:p>
        </w:tc>
      </w:tr>
      <w:tr w:rsidR="00495804" w14:paraId="01D5999C" w14:textId="77777777" w:rsidTr="007D319E">
        <w:trPr>
          <w:jc w:val="center"/>
        </w:trPr>
        <w:tc>
          <w:tcPr>
            <w:tcW w:w="1427" w:type="dxa"/>
            <w:tcBorders>
              <w:top w:val="nil"/>
              <w:left w:val="nil"/>
              <w:bottom w:val="nil"/>
              <w:right w:val="nil"/>
            </w:tcBorders>
            <w:shd w:val="clear" w:color="auto" w:fill="FFFFFF"/>
            <w:tcMar>
              <w:top w:w="0" w:type="dxa"/>
              <w:left w:w="0" w:type="dxa"/>
              <w:bottom w:w="0" w:type="dxa"/>
              <w:right w:w="0" w:type="dxa"/>
            </w:tcMar>
          </w:tcPr>
          <w:p w14:paraId="460566BF" w14:textId="77777777" w:rsidR="00495804" w:rsidRPr="00A0342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A03424">
              <w:rPr>
                <w:rFonts w:ascii="Arial" w:hAnsi="Arial" w:cs="Arial"/>
                <w:sz w:val="12"/>
                <w:szCs w:val="12"/>
              </w:rPr>
              <w:t>PROM EASTSIDE</w:t>
            </w:r>
          </w:p>
        </w:tc>
        <w:tc>
          <w:tcPr>
            <w:tcW w:w="567" w:type="dxa"/>
            <w:tcBorders>
              <w:top w:val="nil"/>
              <w:left w:val="nil"/>
              <w:bottom w:val="nil"/>
              <w:right w:val="nil"/>
            </w:tcBorders>
            <w:shd w:val="clear" w:color="auto" w:fill="FFFFFF"/>
            <w:tcMar>
              <w:top w:w="0" w:type="dxa"/>
              <w:left w:w="0" w:type="dxa"/>
              <w:bottom w:w="0" w:type="dxa"/>
              <w:right w:w="0" w:type="dxa"/>
            </w:tcMar>
          </w:tcPr>
          <w:p w14:paraId="584376BE"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A03424">
              <w:rPr>
                <w:rFonts w:ascii="Arial" w:hAnsi="Arial" w:cs="Arial"/>
                <w:sz w:val="14"/>
                <w:szCs w:val="14"/>
              </w:rPr>
              <w:t>40</w:t>
            </w:r>
          </w:p>
        </w:tc>
        <w:tc>
          <w:tcPr>
            <w:tcW w:w="850" w:type="dxa"/>
            <w:tcBorders>
              <w:top w:val="nil"/>
              <w:left w:val="nil"/>
              <w:bottom w:val="nil"/>
              <w:right w:val="nil"/>
            </w:tcBorders>
            <w:shd w:val="clear" w:color="auto" w:fill="FFFFFF"/>
            <w:tcMar>
              <w:top w:w="0" w:type="dxa"/>
              <w:left w:w="0" w:type="dxa"/>
              <w:bottom w:w="0" w:type="dxa"/>
              <w:right w:w="0" w:type="dxa"/>
            </w:tcMar>
          </w:tcPr>
          <w:p w14:paraId="2F2F4133"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hAnsi="Arial" w:cs="Arial"/>
                <w:sz w:val="14"/>
                <w:szCs w:val="14"/>
              </w:rPr>
              <w:t>5</w:t>
            </w:r>
            <w:r w:rsidRPr="00A03424">
              <w:rPr>
                <w:rFonts w:ascii="Arial" w:hAnsi="Arial" w:cs="Arial"/>
                <w:sz w:val="14"/>
                <w:szCs w:val="14"/>
              </w:rPr>
              <w:t>0</w:t>
            </w:r>
          </w:p>
        </w:tc>
        <w:tc>
          <w:tcPr>
            <w:tcW w:w="709" w:type="dxa"/>
            <w:tcBorders>
              <w:top w:val="nil"/>
              <w:left w:val="nil"/>
              <w:bottom w:val="nil"/>
              <w:right w:val="nil"/>
            </w:tcBorders>
            <w:shd w:val="clear" w:color="auto" w:fill="FFFFFF"/>
            <w:tcMar>
              <w:top w:w="0" w:type="dxa"/>
              <w:left w:w="0" w:type="dxa"/>
              <w:bottom w:w="0" w:type="dxa"/>
              <w:right w:w="0" w:type="dxa"/>
            </w:tcMar>
          </w:tcPr>
          <w:p w14:paraId="42E503C4"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hAnsi="Arial" w:cs="Arial"/>
                <w:sz w:val="14"/>
                <w:szCs w:val="14"/>
              </w:rPr>
              <w:t>8</w:t>
            </w:r>
            <w:r w:rsidRPr="00A03424">
              <w:rPr>
                <w:rFonts w:ascii="Arial" w:hAnsi="Arial" w:cs="Arial"/>
                <w:sz w:val="14"/>
                <w:szCs w:val="14"/>
              </w:rPr>
              <w:t>0</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66CE3F8E"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52.0</w:t>
            </w:r>
          </w:p>
        </w:tc>
        <w:tc>
          <w:tcPr>
            <w:tcW w:w="567" w:type="dxa"/>
            <w:tcBorders>
              <w:top w:val="nil"/>
              <w:left w:val="nil"/>
              <w:bottom w:val="nil"/>
              <w:right w:val="nil"/>
            </w:tcBorders>
            <w:shd w:val="clear" w:color="auto" w:fill="FFFF00"/>
            <w:tcMar>
              <w:top w:w="0" w:type="dxa"/>
              <w:left w:w="0" w:type="dxa"/>
              <w:bottom w:w="0" w:type="dxa"/>
              <w:right w:w="0" w:type="dxa"/>
            </w:tcMar>
            <w:vAlign w:val="center"/>
          </w:tcPr>
          <w:p w14:paraId="1169241F"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47.7</w:t>
            </w:r>
          </w:p>
        </w:tc>
        <w:tc>
          <w:tcPr>
            <w:tcW w:w="567" w:type="dxa"/>
            <w:tcBorders>
              <w:top w:val="nil"/>
              <w:left w:val="nil"/>
              <w:bottom w:val="nil"/>
              <w:right w:val="nil"/>
            </w:tcBorders>
            <w:shd w:val="clear" w:color="auto" w:fill="FFFF00"/>
            <w:tcMar>
              <w:top w:w="0" w:type="dxa"/>
              <w:left w:w="0" w:type="dxa"/>
              <w:bottom w:w="0" w:type="dxa"/>
              <w:right w:w="0" w:type="dxa"/>
            </w:tcMar>
            <w:vAlign w:val="center"/>
          </w:tcPr>
          <w:p w14:paraId="099B8491"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49.5</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2E397735"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51.0</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6D9EFF7F"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53.0</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07BCA3C6"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52.9</w:t>
            </w:r>
          </w:p>
        </w:tc>
        <w:tc>
          <w:tcPr>
            <w:tcW w:w="1380" w:type="dxa"/>
            <w:tcBorders>
              <w:top w:val="nil"/>
              <w:left w:val="nil"/>
              <w:bottom w:val="nil"/>
              <w:right w:val="nil"/>
            </w:tcBorders>
            <w:shd w:val="clear" w:color="auto" w:fill="92D050"/>
            <w:tcMar>
              <w:top w:w="0" w:type="dxa"/>
              <w:left w:w="0" w:type="dxa"/>
              <w:bottom w:w="0" w:type="dxa"/>
              <w:right w:w="0" w:type="dxa"/>
            </w:tcMar>
          </w:tcPr>
          <w:p w14:paraId="6AE3A77D" w14:textId="77777777" w:rsidR="00495804" w:rsidRPr="00A0342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A03424">
              <w:rPr>
                <w:rFonts w:ascii="Arial" w:hAnsi="Arial" w:cs="Arial"/>
                <w:sz w:val="14"/>
                <w:szCs w:val="14"/>
              </w:rPr>
              <w:t>Above Threshold</w:t>
            </w:r>
          </w:p>
        </w:tc>
        <w:tc>
          <w:tcPr>
            <w:tcW w:w="836" w:type="dxa"/>
            <w:tcBorders>
              <w:top w:val="nil"/>
              <w:left w:val="nil"/>
              <w:bottom w:val="nil"/>
              <w:right w:val="nil"/>
            </w:tcBorders>
            <w:shd w:val="clear" w:color="auto" w:fill="FFFFFF"/>
            <w:tcMar>
              <w:top w:w="0" w:type="dxa"/>
              <w:left w:w="0" w:type="dxa"/>
              <w:bottom w:w="0" w:type="dxa"/>
              <w:right w:w="0" w:type="dxa"/>
            </w:tcMar>
            <w:vAlign w:val="center"/>
          </w:tcPr>
          <w:p w14:paraId="3A9D47F8"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hAnsi="Arial" w:cs="Arial"/>
                <w:color w:val="000000"/>
                <w:sz w:val="14"/>
                <w:szCs w:val="14"/>
              </w:rPr>
              <w:t>3</w:t>
            </w:r>
          </w:p>
        </w:tc>
        <w:tc>
          <w:tcPr>
            <w:tcW w:w="851" w:type="dxa"/>
            <w:tcBorders>
              <w:top w:val="nil"/>
              <w:left w:val="nil"/>
              <w:bottom w:val="nil"/>
              <w:right w:val="nil"/>
            </w:tcBorders>
            <w:shd w:val="clear" w:color="auto" w:fill="FFFFFF"/>
            <w:tcMar>
              <w:top w:w="0" w:type="dxa"/>
              <w:left w:w="0" w:type="dxa"/>
              <w:bottom w:w="0" w:type="dxa"/>
              <w:right w:w="0" w:type="dxa"/>
            </w:tcMar>
            <w:vAlign w:val="center"/>
          </w:tcPr>
          <w:p w14:paraId="3EDEBBC0"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eastAsia="Arial" w:hAnsi="Arial" w:cs="Arial"/>
                <w:color w:val="000000"/>
                <w:sz w:val="14"/>
                <w:szCs w:val="14"/>
              </w:rPr>
              <w:t>1</w:t>
            </w:r>
          </w:p>
        </w:tc>
      </w:tr>
      <w:tr w:rsidR="00495804" w14:paraId="31395424" w14:textId="77777777" w:rsidTr="007D319E">
        <w:trPr>
          <w:jc w:val="center"/>
        </w:trPr>
        <w:tc>
          <w:tcPr>
            <w:tcW w:w="1427" w:type="dxa"/>
            <w:tcBorders>
              <w:top w:val="nil"/>
              <w:left w:val="nil"/>
              <w:bottom w:val="nil"/>
              <w:right w:val="nil"/>
            </w:tcBorders>
            <w:shd w:val="clear" w:color="auto" w:fill="FFFFFF"/>
            <w:tcMar>
              <w:top w:w="0" w:type="dxa"/>
              <w:left w:w="0" w:type="dxa"/>
              <w:bottom w:w="0" w:type="dxa"/>
              <w:right w:w="0" w:type="dxa"/>
            </w:tcMar>
          </w:tcPr>
          <w:p w14:paraId="7A729583" w14:textId="77777777" w:rsidR="00495804" w:rsidRPr="00A0342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A03424">
              <w:rPr>
                <w:rFonts w:ascii="Arial" w:hAnsi="Arial" w:cs="Arial"/>
                <w:sz w:val="12"/>
                <w:szCs w:val="12"/>
              </w:rPr>
              <w:t>PROM WESTSIDE</w:t>
            </w:r>
          </w:p>
        </w:tc>
        <w:tc>
          <w:tcPr>
            <w:tcW w:w="567" w:type="dxa"/>
            <w:tcBorders>
              <w:top w:val="nil"/>
              <w:left w:val="nil"/>
              <w:bottom w:val="nil"/>
              <w:right w:val="nil"/>
            </w:tcBorders>
            <w:shd w:val="clear" w:color="auto" w:fill="FFFFFF"/>
            <w:tcMar>
              <w:top w:w="0" w:type="dxa"/>
              <w:left w:w="0" w:type="dxa"/>
              <w:bottom w:w="0" w:type="dxa"/>
              <w:right w:w="0" w:type="dxa"/>
            </w:tcMar>
          </w:tcPr>
          <w:p w14:paraId="18DECA5D"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A03424">
              <w:rPr>
                <w:rFonts w:ascii="Arial" w:hAnsi="Arial" w:cs="Arial"/>
                <w:sz w:val="14"/>
                <w:szCs w:val="14"/>
              </w:rPr>
              <w:t>50</w:t>
            </w:r>
          </w:p>
        </w:tc>
        <w:tc>
          <w:tcPr>
            <w:tcW w:w="850" w:type="dxa"/>
            <w:tcBorders>
              <w:top w:val="nil"/>
              <w:left w:val="nil"/>
              <w:bottom w:val="nil"/>
              <w:right w:val="nil"/>
            </w:tcBorders>
            <w:shd w:val="clear" w:color="auto" w:fill="FFFFFF"/>
            <w:tcMar>
              <w:top w:w="0" w:type="dxa"/>
              <w:left w:w="0" w:type="dxa"/>
              <w:bottom w:w="0" w:type="dxa"/>
              <w:right w:w="0" w:type="dxa"/>
            </w:tcMar>
          </w:tcPr>
          <w:p w14:paraId="3606216F"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A03424">
              <w:rPr>
                <w:rFonts w:ascii="Arial" w:hAnsi="Arial" w:cs="Arial"/>
                <w:sz w:val="14"/>
                <w:szCs w:val="14"/>
              </w:rPr>
              <w:t>70</w:t>
            </w:r>
          </w:p>
        </w:tc>
        <w:tc>
          <w:tcPr>
            <w:tcW w:w="709" w:type="dxa"/>
            <w:tcBorders>
              <w:top w:val="nil"/>
              <w:left w:val="nil"/>
              <w:bottom w:val="nil"/>
              <w:right w:val="nil"/>
            </w:tcBorders>
            <w:shd w:val="clear" w:color="auto" w:fill="FFFFFF"/>
            <w:tcMar>
              <w:top w:w="0" w:type="dxa"/>
              <w:left w:w="0" w:type="dxa"/>
              <w:bottom w:w="0" w:type="dxa"/>
              <w:right w:w="0" w:type="dxa"/>
            </w:tcMar>
          </w:tcPr>
          <w:p w14:paraId="243D7C63"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hAnsi="Arial" w:cs="Arial"/>
                <w:sz w:val="14"/>
                <w:szCs w:val="14"/>
              </w:rPr>
              <w:t>10</w:t>
            </w:r>
            <w:r w:rsidRPr="00A03424">
              <w:rPr>
                <w:rFonts w:ascii="Arial" w:hAnsi="Arial" w:cs="Arial"/>
                <w:sz w:val="14"/>
                <w:szCs w:val="14"/>
              </w:rPr>
              <w:t>0</w:t>
            </w:r>
          </w:p>
        </w:tc>
        <w:tc>
          <w:tcPr>
            <w:tcW w:w="567" w:type="dxa"/>
            <w:tcBorders>
              <w:top w:val="nil"/>
              <w:left w:val="nil"/>
              <w:bottom w:val="nil"/>
              <w:right w:val="nil"/>
            </w:tcBorders>
            <w:shd w:val="clear" w:color="auto" w:fill="FFFF00"/>
            <w:tcMar>
              <w:top w:w="0" w:type="dxa"/>
              <w:left w:w="0" w:type="dxa"/>
              <w:bottom w:w="0" w:type="dxa"/>
              <w:right w:w="0" w:type="dxa"/>
            </w:tcMar>
            <w:vAlign w:val="center"/>
          </w:tcPr>
          <w:p w14:paraId="65D9AC5E"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59.5</w:t>
            </w:r>
          </w:p>
        </w:tc>
        <w:tc>
          <w:tcPr>
            <w:tcW w:w="567" w:type="dxa"/>
            <w:tcBorders>
              <w:top w:val="nil"/>
              <w:left w:val="nil"/>
              <w:bottom w:val="nil"/>
              <w:right w:val="nil"/>
            </w:tcBorders>
            <w:shd w:val="clear" w:color="auto" w:fill="FFFF00"/>
            <w:tcMar>
              <w:top w:w="0" w:type="dxa"/>
              <w:left w:w="0" w:type="dxa"/>
              <w:bottom w:w="0" w:type="dxa"/>
              <w:right w:w="0" w:type="dxa"/>
            </w:tcMar>
            <w:vAlign w:val="center"/>
          </w:tcPr>
          <w:p w14:paraId="6AB67A26"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53.5</w:t>
            </w:r>
          </w:p>
        </w:tc>
        <w:tc>
          <w:tcPr>
            <w:tcW w:w="567" w:type="dxa"/>
            <w:tcBorders>
              <w:top w:val="nil"/>
              <w:left w:val="nil"/>
              <w:bottom w:val="nil"/>
              <w:right w:val="nil"/>
            </w:tcBorders>
            <w:shd w:val="clear" w:color="auto" w:fill="FFFF00"/>
            <w:tcMar>
              <w:top w:w="0" w:type="dxa"/>
              <w:left w:w="0" w:type="dxa"/>
              <w:bottom w:w="0" w:type="dxa"/>
              <w:right w:w="0" w:type="dxa"/>
            </w:tcMar>
            <w:vAlign w:val="center"/>
          </w:tcPr>
          <w:p w14:paraId="7578E223"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66.7</w:t>
            </w:r>
          </w:p>
        </w:tc>
        <w:tc>
          <w:tcPr>
            <w:tcW w:w="567" w:type="dxa"/>
            <w:tcBorders>
              <w:top w:val="nil"/>
              <w:left w:val="nil"/>
              <w:bottom w:val="nil"/>
              <w:right w:val="nil"/>
            </w:tcBorders>
            <w:shd w:val="clear" w:color="auto" w:fill="FFFF00"/>
            <w:tcMar>
              <w:top w:w="0" w:type="dxa"/>
              <w:left w:w="0" w:type="dxa"/>
              <w:bottom w:w="0" w:type="dxa"/>
              <w:right w:w="0" w:type="dxa"/>
            </w:tcMar>
            <w:vAlign w:val="center"/>
          </w:tcPr>
          <w:p w14:paraId="39884CDB"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61.8</w:t>
            </w:r>
          </w:p>
        </w:tc>
        <w:tc>
          <w:tcPr>
            <w:tcW w:w="567" w:type="dxa"/>
            <w:tcBorders>
              <w:top w:val="nil"/>
              <w:left w:val="nil"/>
              <w:bottom w:val="nil"/>
              <w:right w:val="nil"/>
            </w:tcBorders>
            <w:shd w:val="clear" w:color="auto" w:fill="FFFF00"/>
            <w:tcMar>
              <w:top w:w="0" w:type="dxa"/>
              <w:left w:w="0" w:type="dxa"/>
              <w:bottom w:w="0" w:type="dxa"/>
              <w:right w:w="0" w:type="dxa"/>
            </w:tcMar>
            <w:vAlign w:val="center"/>
          </w:tcPr>
          <w:p w14:paraId="3CF93604"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67.3</w:t>
            </w:r>
          </w:p>
        </w:tc>
        <w:tc>
          <w:tcPr>
            <w:tcW w:w="567" w:type="dxa"/>
            <w:tcBorders>
              <w:top w:val="nil"/>
              <w:left w:val="nil"/>
              <w:bottom w:val="nil"/>
              <w:right w:val="nil"/>
            </w:tcBorders>
            <w:shd w:val="clear" w:color="auto" w:fill="FFFF00"/>
            <w:tcMar>
              <w:top w:w="0" w:type="dxa"/>
              <w:left w:w="0" w:type="dxa"/>
              <w:bottom w:w="0" w:type="dxa"/>
              <w:right w:w="0" w:type="dxa"/>
            </w:tcMar>
            <w:vAlign w:val="center"/>
          </w:tcPr>
          <w:p w14:paraId="3F9A03BB"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66.3</w:t>
            </w:r>
          </w:p>
        </w:tc>
        <w:tc>
          <w:tcPr>
            <w:tcW w:w="1380" w:type="dxa"/>
            <w:tcBorders>
              <w:top w:val="nil"/>
              <w:left w:val="nil"/>
              <w:bottom w:val="nil"/>
              <w:right w:val="nil"/>
            </w:tcBorders>
            <w:shd w:val="clear" w:color="auto" w:fill="FFFF00"/>
            <w:tcMar>
              <w:top w:w="0" w:type="dxa"/>
              <w:left w:w="0" w:type="dxa"/>
              <w:bottom w:w="0" w:type="dxa"/>
              <w:right w:w="0" w:type="dxa"/>
            </w:tcMar>
          </w:tcPr>
          <w:p w14:paraId="128DF354" w14:textId="77777777" w:rsidR="00495804" w:rsidRPr="00A0342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A03424">
              <w:rPr>
                <w:rFonts w:ascii="Arial" w:hAnsi="Arial" w:cs="Arial"/>
                <w:sz w:val="14"/>
                <w:szCs w:val="14"/>
              </w:rPr>
              <w:t>Limit to Threshold</w:t>
            </w:r>
          </w:p>
        </w:tc>
        <w:tc>
          <w:tcPr>
            <w:tcW w:w="836" w:type="dxa"/>
            <w:tcBorders>
              <w:top w:val="nil"/>
              <w:left w:val="nil"/>
              <w:bottom w:val="nil"/>
              <w:right w:val="nil"/>
            </w:tcBorders>
            <w:shd w:val="clear" w:color="auto" w:fill="FFFFFF"/>
            <w:tcMar>
              <w:top w:w="0" w:type="dxa"/>
              <w:left w:w="0" w:type="dxa"/>
              <w:bottom w:w="0" w:type="dxa"/>
              <w:right w:w="0" w:type="dxa"/>
            </w:tcMar>
            <w:vAlign w:val="center"/>
          </w:tcPr>
          <w:p w14:paraId="6ABCA18C"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hAnsi="Arial" w:cs="Arial"/>
                <w:color w:val="000000"/>
                <w:sz w:val="14"/>
                <w:szCs w:val="14"/>
              </w:rPr>
              <w:t>13</w:t>
            </w:r>
          </w:p>
        </w:tc>
        <w:tc>
          <w:tcPr>
            <w:tcW w:w="851" w:type="dxa"/>
            <w:tcBorders>
              <w:top w:val="nil"/>
              <w:left w:val="nil"/>
              <w:bottom w:val="nil"/>
              <w:right w:val="nil"/>
            </w:tcBorders>
            <w:shd w:val="clear" w:color="auto" w:fill="FFFFFF"/>
            <w:tcMar>
              <w:top w:w="0" w:type="dxa"/>
              <w:left w:w="0" w:type="dxa"/>
              <w:bottom w:w="0" w:type="dxa"/>
              <w:right w:w="0" w:type="dxa"/>
            </w:tcMar>
            <w:vAlign w:val="center"/>
          </w:tcPr>
          <w:p w14:paraId="618E755D"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hAnsi="Arial" w:cs="Arial"/>
                <w:color w:val="000000"/>
                <w:sz w:val="14"/>
                <w:szCs w:val="14"/>
              </w:rPr>
              <w:t>2</w:t>
            </w:r>
          </w:p>
        </w:tc>
      </w:tr>
      <w:tr w:rsidR="00495804" w14:paraId="603B1550" w14:textId="77777777" w:rsidTr="007D319E">
        <w:trPr>
          <w:jc w:val="center"/>
        </w:trPr>
        <w:tc>
          <w:tcPr>
            <w:tcW w:w="1427" w:type="dxa"/>
            <w:tcBorders>
              <w:top w:val="nil"/>
              <w:left w:val="nil"/>
              <w:bottom w:val="nil"/>
              <w:right w:val="nil"/>
            </w:tcBorders>
            <w:shd w:val="clear" w:color="auto" w:fill="FFFFFF"/>
            <w:tcMar>
              <w:top w:w="0" w:type="dxa"/>
              <w:left w:w="0" w:type="dxa"/>
              <w:bottom w:w="0" w:type="dxa"/>
              <w:right w:w="0" w:type="dxa"/>
            </w:tcMar>
          </w:tcPr>
          <w:p w14:paraId="7F5DBD5E" w14:textId="77777777" w:rsidR="00495804" w:rsidRPr="00A0342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A03424">
              <w:rPr>
                <w:rFonts w:ascii="Arial" w:hAnsi="Arial" w:cs="Arial"/>
                <w:sz w:val="12"/>
                <w:szCs w:val="12"/>
              </w:rPr>
              <w:t>SHIPWRECK COAST</w:t>
            </w:r>
          </w:p>
        </w:tc>
        <w:tc>
          <w:tcPr>
            <w:tcW w:w="567" w:type="dxa"/>
            <w:tcBorders>
              <w:top w:val="nil"/>
              <w:left w:val="nil"/>
              <w:bottom w:val="nil"/>
              <w:right w:val="nil"/>
            </w:tcBorders>
            <w:shd w:val="clear" w:color="auto" w:fill="FFFFFF"/>
            <w:tcMar>
              <w:top w:w="0" w:type="dxa"/>
              <w:left w:w="0" w:type="dxa"/>
              <w:bottom w:w="0" w:type="dxa"/>
              <w:right w:w="0" w:type="dxa"/>
            </w:tcMar>
          </w:tcPr>
          <w:p w14:paraId="4A36CC9D"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hAnsi="Arial" w:cs="Arial"/>
                <w:sz w:val="14"/>
                <w:szCs w:val="14"/>
              </w:rPr>
              <w:t>4</w:t>
            </w:r>
            <w:r w:rsidRPr="00A03424">
              <w:rPr>
                <w:rFonts w:ascii="Arial" w:hAnsi="Arial" w:cs="Arial"/>
                <w:sz w:val="14"/>
                <w:szCs w:val="14"/>
              </w:rPr>
              <w:t>0</w:t>
            </w:r>
          </w:p>
        </w:tc>
        <w:tc>
          <w:tcPr>
            <w:tcW w:w="850" w:type="dxa"/>
            <w:tcBorders>
              <w:top w:val="nil"/>
              <w:left w:val="nil"/>
              <w:bottom w:val="nil"/>
              <w:right w:val="nil"/>
            </w:tcBorders>
            <w:shd w:val="clear" w:color="auto" w:fill="FFFFFF"/>
            <w:tcMar>
              <w:top w:w="0" w:type="dxa"/>
              <w:left w:w="0" w:type="dxa"/>
              <w:bottom w:w="0" w:type="dxa"/>
              <w:right w:w="0" w:type="dxa"/>
            </w:tcMar>
          </w:tcPr>
          <w:p w14:paraId="33547A7A"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hAnsi="Arial" w:cs="Arial"/>
                <w:sz w:val="14"/>
                <w:szCs w:val="14"/>
              </w:rPr>
              <w:t>6</w:t>
            </w:r>
            <w:r w:rsidRPr="00A03424">
              <w:rPr>
                <w:rFonts w:ascii="Arial" w:hAnsi="Arial" w:cs="Arial"/>
                <w:sz w:val="14"/>
                <w:szCs w:val="14"/>
              </w:rPr>
              <w:t>0</w:t>
            </w:r>
          </w:p>
        </w:tc>
        <w:tc>
          <w:tcPr>
            <w:tcW w:w="709" w:type="dxa"/>
            <w:tcBorders>
              <w:top w:val="nil"/>
              <w:left w:val="nil"/>
              <w:bottom w:val="nil"/>
              <w:right w:val="nil"/>
            </w:tcBorders>
            <w:shd w:val="clear" w:color="auto" w:fill="FFFFFF"/>
            <w:tcMar>
              <w:top w:w="0" w:type="dxa"/>
              <w:left w:w="0" w:type="dxa"/>
              <w:bottom w:w="0" w:type="dxa"/>
              <w:right w:w="0" w:type="dxa"/>
            </w:tcMar>
          </w:tcPr>
          <w:p w14:paraId="4AEB732F"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A03424">
              <w:rPr>
                <w:rFonts w:ascii="Arial" w:hAnsi="Arial" w:cs="Arial"/>
                <w:sz w:val="14"/>
                <w:szCs w:val="14"/>
              </w:rPr>
              <w:t>1</w:t>
            </w:r>
            <w:r>
              <w:rPr>
                <w:rFonts w:ascii="Arial" w:hAnsi="Arial" w:cs="Arial"/>
                <w:sz w:val="14"/>
                <w:szCs w:val="14"/>
              </w:rPr>
              <w:t>3</w:t>
            </w:r>
            <w:r w:rsidRPr="00A03424">
              <w:rPr>
                <w:rFonts w:ascii="Arial" w:hAnsi="Arial" w:cs="Arial"/>
                <w:sz w:val="14"/>
                <w:szCs w:val="14"/>
              </w:rPr>
              <w:t>0</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45AEBC3F"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97.2</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5B78A57C"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90.4</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3E7175C4"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83.6</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21BFB360"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96.0</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5251352D"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96.6</w:t>
            </w:r>
          </w:p>
        </w:tc>
        <w:tc>
          <w:tcPr>
            <w:tcW w:w="567" w:type="dxa"/>
            <w:tcBorders>
              <w:top w:val="nil"/>
              <w:left w:val="nil"/>
              <w:bottom w:val="nil"/>
              <w:right w:val="nil"/>
            </w:tcBorders>
            <w:shd w:val="clear" w:color="auto" w:fill="92D050"/>
            <w:tcMar>
              <w:top w:w="0" w:type="dxa"/>
              <w:left w:w="0" w:type="dxa"/>
              <w:bottom w:w="0" w:type="dxa"/>
              <w:right w:w="0" w:type="dxa"/>
            </w:tcMar>
            <w:vAlign w:val="center"/>
          </w:tcPr>
          <w:p w14:paraId="1071EE3F"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97.9</w:t>
            </w:r>
          </w:p>
        </w:tc>
        <w:tc>
          <w:tcPr>
            <w:tcW w:w="1380" w:type="dxa"/>
            <w:tcBorders>
              <w:top w:val="nil"/>
              <w:left w:val="nil"/>
              <w:bottom w:val="nil"/>
              <w:right w:val="nil"/>
            </w:tcBorders>
            <w:shd w:val="clear" w:color="auto" w:fill="92D050"/>
            <w:tcMar>
              <w:top w:w="0" w:type="dxa"/>
              <w:left w:w="0" w:type="dxa"/>
              <w:bottom w:w="0" w:type="dxa"/>
              <w:right w:w="0" w:type="dxa"/>
            </w:tcMar>
          </w:tcPr>
          <w:p w14:paraId="7DCD93C4" w14:textId="77777777" w:rsidR="00495804" w:rsidRPr="00A0342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BA47DB">
              <w:rPr>
                <w:rFonts w:ascii="Arial" w:hAnsi="Arial" w:cs="Arial"/>
                <w:sz w:val="14"/>
                <w:szCs w:val="14"/>
              </w:rPr>
              <w:t>Above Threshold</w:t>
            </w:r>
          </w:p>
        </w:tc>
        <w:tc>
          <w:tcPr>
            <w:tcW w:w="836" w:type="dxa"/>
            <w:tcBorders>
              <w:top w:val="nil"/>
              <w:left w:val="nil"/>
              <w:bottom w:val="nil"/>
              <w:right w:val="nil"/>
            </w:tcBorders>
            <w:shd w:val="clear" w:color="auto" w:fill="FFFFFF"/>
            <w:tcMar>
              <w:top w:w="0" w:type="dxa"/>
              <w:left w:w="0" w:type="dxa"/>
              <w:bottom w:w="0" w:type="dxa"/>
              <w:right w:w="0" w:type="dxa"/>
            </w:tcMar>
            <w:vAlign w:val="center"/>
          </w:tcPr>
          <w:p w14:paraId="52AABED6" w14:textId="6993EC9C"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hAnsi="Arial" w:cs="Arial"/>
                <w:color w:val="000000"/>
                <w:sz w:val="14"/>
                <w:szCs w:val="14"/>
              </w:rPr>
              <w:t>21</w:t>
            </w:r>
          </w:p>
        </w:tc>
        <w:tc>
          <w:tcPr>
            <w:tcW w:w="851" w:type="dxa"/>
            <w:tcBorders>
              <w:top w:val="nil"/>
              <w:left w:val="nil"/>
              <w:bottom w:val="nil"/>
              <w:right w:val="nil"/>
            </w:tcBorders>
            <w:shd w:val="clear" w:color="auto" w:fill="FFFFFF"/>
            <w:tcMar>
              <w:top w:w="0" w:type="dxa"/>
              <w:left w:w="0" w:type="dxa"/>
              <w:bottom w:w="0" w:type="dxa"/>
              <w:right w:w="0" w:type="dxa"/>
            </w:tcMar>
            <w:vAlign w:val="center"/>
          </w:tcPr>
          <w:p w14:paraId="7B6802A9"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495804">
              <w:rPr>
                <w:rFonts w:ascii="Arial" w:hAnsi="Arial" w:cs="Arial"/>
                <w:color w:val="000000"/>
                <w:sz w:val="14"/>
                <w:szCs w:val="14"/>
              </w:rPr>
              <w:t>1</w:t>
            </w:r>
          </w:p>
        </w:tc>
      </w:tr>
      <w:tr w:rsidR="00495804" w14:paraId="512D4E50" w14:textId="77777777" w:rsidTr="007D319E">
        <w:trPr>
          <w:jc w:val="center"/>
        </w:trPr>
        <w:tc>
          <w:tcPr>
            <w:tcW w:w="1427" w:type="dxa"/>
            <w:tcBorders>
              <w:top w:val="nil"/>
              <w:left w:val="nil"/>
              <w:bottom w:val="single" w:sz="12" w:space="0" w:color="666666"/>
              <w:right w:val="nil"/>
            </w:tcBorders>
            <w:shd w:val="clear" w:color="auto" w:fill="FFFFFF"/>
            <w:tcMar>
              <w:top w:w="0" w:type="dxa"/>
              <w:left w:w="0" w:type="dxa"/>
              <w:bottom w:w="0" w:type="dxa"/>
              <w:right w:w="0" w:type="dxa"/>
            </w:tcMar>
          </w:tcPr>
          <w:p w14:paraId="55AD8B15" w14:textId="77777777" w:rsidR="00495804" w:rsidRPr="00A0342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A03424">
              <w:rPr>
                <w:rFonts w:ascii="Arial" w:hAnsi="Arial" w:cs="Arial"/>
                <w:sz w:val="12"/>
                <w:szCs w:val="12"/>
              </w:rPr>
              <w:t>SURFCOAST</w:t>
            </w:r>
          </w:p>
        </w:tc>
        <w:tc>
          <w:tcPr>
            <w:tcW w:w="567" w:type="dxa"/>
            <w:tcBorders>
              <w:top w:val="nil"/>
              <w:left w:val="nil"/>
              <w:bottom w:val="single" w:sz="12" w:space="0" w:color="666666"/>
              <w:right w:val="nil"/>
            </w:tcBorders>
            <w:shd w:val="clear" w:color="auto" w:fill="FFFFFF"/>
            <w:tcMar>
              <w:top w:w="0" w:type="dxa"/>
              <w:left w:w="0" w:type="dxa"/>
              <w:bottom w:w="0" w:type="dxa"/>
              <w:right w:w="0" w:type="dxa"/>
            </w:tcMar>
          </w:tcPr>
          <w:p w14:paraId="7DBD897B"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4"/>
                <w:szCs w:val="14"/>
              </w:rPr>
            </w:pPr>
            <w:r>
              <w:rPr>
                <w:rFonts w:ascii="Arial" w:hAnsi="Arial" w:cs="Arial"/>
                <w:sz w:val="14"/>
                <w:szCs w:val="14"/>
              </w:rPr>
              <w:t>4</w:t>
            </w:r>
            <w:r w:rsidRPr="00A03424">
              <w:rPr>
                <w:rFonts w:ascii="Arial" w:hAnsi="Arial" w:cs="Arial"/>
                <w:sz w:val="14"/>
                <w:szCs w:val="14"/>
              </w:rPr>
              <w:t>0</w:t>
            </w:r>
          </w:p>
        </w:tc>
        <w:tc>
          <w:tcPr>
            <w:tcW w:w="850" w:type="dxa"/>
            <w:tcBorders>
              <w:top w:val="nil"/>
              <w:left w:val="nil"/>
              <w:bottom w:val="single" w:sz="12" w:space="0" w:color="666666"/>
              <w:right w:val="nil"/>
            </w:tcBorders>
            <w:shd w:val="clear" w:color="auto" w:fill="FFFFFF"/>
            <w:tcMar>
              <w:top w:w="0" w:type="dxa"/>
              <w:left w:w="0" w:type="dxa"/>
              <w:bottom w:w="0" w:type="dxa"/>
              <w:right w:w="0" w:type="dxa"/>
            </w:tcMar>
          </w:tcPr>
          <w:p w14:paraId="6B502041"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4"/>
                <w:szCs w:val="14"/>
              </w:rPr>
            </w:pPr>
            <w:r>
              <w:rPr>
                <w:rFonts w:ascii="Arial" w:hAnsi="Arial" w:cs="Arial"/>
                <w:sz w:val="14"/>
                <w:szCs w:val="14"/>
              </w:rPr>
              <w:t>6</w:t>
            </w:r>
            <w:r w:rsidRPr="00A03424">
              <w:rPr>
                <w:rFonts w:ascii="Arial" w:hAnsi="Arial" w:cs="Arial"/>
                <w:sz w:val="14"/>
                <w:szCs w:val="14"/>
              </w:rPr>
              <w:t>0</w:t>
            </w:r>
          </w:p>
        </w:tc>
        <w:tc>
          <w:tcPr>
            <w:tcW w:w="709" w:type="dxa"/>
            <w:tcBorders>
              <w:top w:val="nil"/>
              <w:left w:val="nil"/>
              <w:bottom w:val="single" w:sz="12" w:space="0" w:color="666666"/>
              <w:right w:val="nil"/>
            </w:tcBorders>
            <w:shd w:val="clear" w:color="auto" w:fill="FFFFFF"/>
            <w:tcMar>
              <w:top w:w="0" w:type="dxa"/>
              <w:left w:w="0" w:type="dxa"/>
              <w:bottom w:w="0" w:type="dxa"/>
              <w:right w:w="0" w:type="dxa"/>
            </w:tcMar>
          </w:tcPr>
          <w:p w14:paraId="7BF23F17"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4"/>
                <w:szCs w:val="14"/>
              </w:rPr>
            </w:pPr>
            <w:r>
              <w:rPr>
                <w:rFonts w:ascii="Arial" w:hAnsi="Arial" w:cs="Arial"/>
                <w:sz w:val="14"/>
                <w:szCs w:val="14"/>
              </w:rPr>
              <w:t>7</w:t>
            </w:r>
            <w:r w:rsidRPr="00A03424">
              <w:rPr>
                <w:rFonts w:ascii="Arial" w:hAnsi="Arial" w:cs="Arial"/>
                <w:sz w:val="14"/>
                <w:szCs w:val="14"/>
              </w:rPr>
              <w:t>0</w:t>
            </w:r>
          </w:p>
        </w:tc>
        <w:tc>
          <w:tcPr>
            <w:tcW w:w="567" w:type="dxa"/>
            <w:tcBorders>
              <w:top w:val="nil"/>
              <w:left w:val="nil"/>
              <w:bottom w:val="single" w:sz="12" w:space="0" w:color="666666"/>
              <w:right w:val="nil"/>
            </w:tcBorders>
            <w:shd w:val="clear" w:color="auto" w:fill="FFFF00"/>
            <w:tcMar>
              <w:top w:w="0" w:type="dxa"/>
              <w:left w:w="0" w:type="dxa"/>
              <w:bottom w:w="0" w:type="dxa"/>
              <w:right w:w="0" w:type="dxa"/>
            </w:tcMar>
            <w:vAlign w:val="center"/>
          </w:tcPr>
          <w:p w14:paraId="176B61B3"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4"/>
                <w:szCs w:val="14"/>
              </w:rPr>
            </w:pPr>
            <w:r w:rsidRPr="00495804">
              <w:rPr>
                <w:rFonts w:ascii="Arial" w:hAnsi="Arial" w:cs="Arial"/>
                <w:color w:val="000000"/>
                <w:sz w:val="14"/>
                <w:szCs w:val="14"/>
              </w:rPr>
              <w:t>51.7</w:t>
            </w:r>
          </w:p>
        </w:tc>
        <w:tc>
          <w:tcPr>
            <w:tcW w:w="567" w:type="dxa"/>
            <w:tcBorders>
              <w:top w:val="nil"/>
              <w:left w:val="nil"/>
              <w:bottom w:val="single" w:sz="12" w:space="0" w:color="666666"/>
              <w:right w:val="nil"/>
            </w:tcBorders>
            <w:shd w:val="clear" w:color="auto" w:fill="FFFF00"/>
            <w:tcMar>
              <w:top w:w="0" w:type="dxa"/>
              <w:left w:w="0" w:type="dxa"/>
              <w:bottom w:w="0" w:type="dxa"/>
              <w:right w:w="0" w:type="dxa"/>
            </w:tcMar>
            <w:vAlign w:val="center"/>
          </w:tcPr>
          <w:p w14:paraId="0D8FCBC0"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4"/>
                <w:szCs w:val="14"/>
              </w:rPr>
            </w:pPr>
            <w:r w:rsidRPr="00495804">
              <w:rPr>
                <w:rFonts w:ascii="Arial" w:hAnsi="Arial" w:cs="Arial"/>
                <w:color w:val="000000"/>
                <w:sz w:val="14"/>
                <w:szCs w:val="14"/>
              </w:rPr>
              <w:t>54.2</w:t>
            </w:r>
          </w:p>
        </w:tc>
        <w:tc>
          <w:tcPr>
            <w:tcW w:w="567" w:type="dxa"/>
            <w:tcBorders>
              <w:top w:val="nil"/>
              <w:left w:val="nil"/>
              <w:bottom w:val="single" w:sz="12" w:space="0" w:color="666666"/>
              <w:right w:val="nil"/>
            </w:tcBorders>
            <w:shd w:val="clear" w:color="auto" w:fill="FFFF00"/>
            <w:tcMar>
              <w:top w:w="0" w:type="dxa"/>
              <w:left w:w="0" w:type="dxa"/>
              <w:bottom w:w="0" w:type="dxa"/>
              <w:right w:w="0" w:type="dxa"/>
            </w:tcMar>
            <w:vAlign w:val="center"/>
          </w:tcPr>
          <w:p w14:paraId="60882F4F"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4"/>
                <w:szCs w:val="14"/>
              </w:rPr>
            </w:pPr>
            <w:r w:rsidRPr="00495804">
              <w:rPr>
                <w:rFonts w:ascii="Arial" w:hAnsi="Arial" w:cs="Arial"/>
                <w:color w:val="000000"/>
                <w:sz w:val="14"/>
                <w:szCs w:val="14"/>
              </w:rPr>
              <w:t>55.4</w:t>
            </w:r>
          </w:p>
        </w:tc>
        <w:tc>
          <w:tcPr>
            <w:tcW w:w="567" w:type="dxa"/>
            <w:tcBorders>
              <w:top w:val="nil"/>
              <w:left w:val="nil"/>
              <w:bottom w:val="single" w:sz="12" w:space="0" w:color="666666"/>
              <w:right w:val="nil"/>
            </w:tcBorders>
            <w:shd w:val="clear" w:color="auto" w:fill="FFFF00"/>
            <w:tcMar>
              <w:top w:w="0" w:type="dxa"/>
              <w:left w:w="0" w:type="dxa"/>
              <w:bottom w:w="0" w:type="dxa"/>
              <w:right w:w="0" w:type="dxa"/>
            </w:tcMar>
            <w:vAlign w:val="center"/>
          </w:tcPr>
          <w:p w14:paraId="638BCA21"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4"/>
                <w:szCs w:val="14"/>
              </w:rPr>
            </w:pPr>
            <w:r w:rsidRPr="00495804">
              <w:rPr>
                <w:rFonts w:ascii="Arial" w:hAnsi="Arial" w:cs="Arial"/>
                <w:color w:val="000000"/>
                <w:sz w:val="14"/>
                <w:szCs w:val="14"/>
              </w:rPr>
              <w:t>54.7</w:t>
            </w:r>
          </w:p>
        </w:tc>
        <w:tc>
          <w:tcPr>
            <w:tcW w:w="567" w:type="dxa"/>
            <w:tcBorders>
              <w:top w:val="nil"/>
              <w:left w:val="nil"/>
              <w:bottom w:val="single" w:sz="12" w:space="0" w:color="666666"/>
              <w:right w:val="nil"/>
            </w:tcBorders>
            <w:shd w:val="clear" w:color="auto" w:fill="92D050"/>
            <w:tcMar>
              <w:top w:w="0" w:type="dxa"/>
              <w:left w:w="0" w:type="dxa"/>
              <w:bottom w:w="0" w:type="dxa"/>
              <w:right w:w="0" w:type="dxa"/>
            </w:tcMar>
            <w:vAlign w:val="center"/>
          </w:tcPr>
          <w:p w14:paraId="04D64B6E"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4"/>
                <w:szCs w:val="14"/>
              </w:rPr>
            </w:pPr>
            <w:r w:rsidRPr="00495804">
              <w:rPr>
                <w:rFonts w:ascii="Arial" w:hAnsi="Arial" w:cs="Arial"/>
                <w:color w:val="000000"/>
                <w:sz w:val="14"/>
                <w:szCs w:val="14"/>
              </w:rPr>
              <w:t>60.3</w:t>
            </w:r>
          </w:p>
        </w:tc>
        <w:tc>
          <w:tcPr>
            <w:tcW w:w="567" w:type="dxa"/>
            <w:tcBorders>
              <w:top w:val="nil"/>
              <w:left w:val="nil"/>
              <w:bottom w:val="single" w:sz="12" w:space="0" w:color="666666"/>
              <w:right w:val="nil"/>
            </w:tcBorders>
            <w:shd w:val="clear" w:color="auto" w:fill="92D050"/>
            <w:tcMar>
              <w:top w:w="0" w:type="dxa"/>
              <w:left w:w="0" w:type="dxa"/>
              <w:bottom w:w="0" w:type="dxa"/>
              <w:right w:w="0" w:type="dxa"/>
            </w:tcMar>
            <w:vAlign w:val="center"/>
          </w:tcPr>
          <w:p w14:paraId="2C185C9B"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4"/>
                <w:szCs w:val="14"/>
              </w:rPr>
            </w:pPr>
            <w:r w:rsidRPr="00495804">
              <w:rPr>
                <w:rFonts w:ascii="Arial" w:hAnsi="Arial" w:cs="Arial"/>
                <w:color w:val="000000"/>
                <w:sz w:val="14"/>
                <w:szCs w:val="14"/>
              </w:rPr>
              <w:t>61.5</w:t>
            </w:r>
          </w:p>
        </w:tc>
        <w:tc>
          <w:tcPr>
            <w:tcW w:w="1380" w:type="dxa"/>
            <w:tcBorders>
              <w:top w:val="nil"/>
              <w:left w:val="nil"/>
              <w:bottom w:val="single" w:sz="12" w:space="0" w:color="666666"/>
              <w:right w:val="nil"/>
            </w:tcBorders>
            <w:shd w:val="clear" w:color="auto" w:fill="92D050"/>
            <w:tcMar>
              <w:top w:w="0" w:type="dxa"/>
              <w:left w:w="0" w:type="dxa"/>
              <w:bottom w:w="0" w:type="dxa"/>
              <w:right w:w="0" w:type="dxa"/>
            </w:tcMar>
          </w:tcPr>
          <w:p w14:paraId="3DA56F24" w14:textId="77777777" w:rsidR="00495804" w:rsidRPr="00A0342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4"/>
                <w:szCs w:val="14"/>
              </w:rPr>
            </w:pPr>
            <w:r w:rsidRPr="00A03424">
              <w:rPr>
                <w:rFonts w:ascii="Arial" w:hAnsi="Arial" w:cs="Arial"/>
                <w:sz w:val="14"/>
                <w:szCs w:val="14"/>
              </w:rPr>
              <w:t>Above Threshold</w:t>
            </w:r>
          </w:p>
        </w:tc>
        <w:tc>
          <w:tcPr>
            <w:tcW w:w="836"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0EA580D6"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4"/>
                <w:szCs w:val="14"/>
              </w:rPr>
            </w:pPr>
            <w:r w:rsidRPr="00495804">
              <w:rPr>
                <w:rFonts w:ascii="Arial" w:hAnsi="Arial" w:cs="Arial"/>
                <w:color w:val="000000"/>
                <w:sz w:val="14"/>
                <w:szCs w:val="14"/>
              </w:rPr>
              <w:t>2</w:t>
            </w:r>
          </w:p>
        </w:tc>
        <w:tc>
          <w:tcPr>
            <w:tcW w:w="851"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7E4C5387" w14:textId="77777777" w:rsidR="00495804" w:rsidRPr="00495804" w:rsidRDefault="00495804" w:rsidP="007D319E">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4"/>
                <w:szCs w:val="14"/>
              </w:rPr>
            </w:pPr>
            <w:r w:rsidRPr="00495804">
              <w:rPr>
                <w:rFonts w:ascii="Arial" w:hAnsi="Arial" w:cs="Arial"/>
                <w:color w:val="000000"/>
                <w:sz w:val="14"/>
                <w:szCs w:val="14"/>
              </w:rPr>
              <w:t>1</w:t>
            </w:r>
          </w:p>
        </w:tc>
      </w:tr>
    </w:tbl>
    <w:p w14:paraId="52223F09" w14:textId="77777777" w:rsidR="00495804" w:rsidRDefault="00495804" w:rsidP="00495804">
      <w:pPr>
        <w:pStyle w:val="TableCaption"/>
      </w:pPr>
    </w:p>
    <w:p w14:paraId="0FCBF21F" w14:textId="7D517AA3" w:rsidR="00416C47" w:rsidRDefault="00495804" w:rsidP="00416C47">
      <w:pPr>
        <w:pStyle w:val="TableCaption"/>
      </w:pPr>
      <w:bookmarkStart w:id="130" w:name="_Toc192762275"/>
      <w:bookmarkStart w:id="131" w:name="Xde8b2a0c74917e686b3dcb53c92497c68b5d763"/>
      <w:bookmarkStart w:id="132" w:name="results"/>
      <w:bookmarkEnd w:id="62"/>
      <w:bookmarkEnd w:id="63"/>
      <w:bookmarkEnd w:id="78"/>
      <w:r>
        <w:t xml:space="preserve">Table 7: </w:t>
      </w:r>
      <w:r w:rsidR="00BF48B3">
        <w:t>Draft Harvest Strategy</w:t>
      </w:r>
      <w:r>
        <w:t xml:space="preserve"> results</w:t>
      </w:r>
      <w:r w:rsidR="00416C47">
        <w:t xml:space="preserve"> (nominal reference points) </w:t>
      </w:r>
      <w:r>
        <w:t>for Central Zone SMUs, with suggested target catch ranges.</w:t>
      </w:r>
      <w:bookmarkEnd w:id="130"/>
    </w:p>
    <w:tbl>
      <w:tblPr>
        <w:tblW w:w="10767" w:type="dxa"/>
        <w:jc w:val="center"/>
        <w:tblLayout w:type="fixed"/>
        <w:tblLook w:val="04A0" w:firstRow="1" w:lastRow="0" w:firstColumn="1" w:lastColumn="0" w:noHBand="0" w:noVBand="1"/>
      </w:tblPr>
      <w:tblGrid>
        <w:gridCol w:w="1418"/>
        <w:gridCol w:w="709"/>
        <w:gridCol w:w="850"/>
        <w:gridCol w:w="969"/>
        <w:gridCol w:w="992"/>
        <w:gridCol w:w="934"/>
        <w:gridCol w:w="767"/>
        <w:gridCol w:w="874"/>
        <w:gridCol w:w="1216"/>
        <w:gridCol w:w="1046"/>
        <w:gridCol w:w="992"/>
      </w:tblGrid>
      <w:tr w:rsidR="00416C47" w14:paraId="566E4FB9" w14:textId="77777777" w:rsidTr="00CD5C57">
        <w:trPr>
          <w:tblHeader/>
          <w:jc w:val="center"/>
        </w:trPr>
        <w:tc>
          <w:tcPr>
            <w:tcW w:w="1418"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1E1453F9" w14:textId="77777777" w:rsidR="00416C47" w:rsidRDefault="00416C47" w:rsidP="00CD5C5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eastAsia="Arial" w:hAnsi="Arial" w:cs="Arial"/>
                <w:color w:val="000000"/>
                <w:sz w:val="14"/>
                <w:szCs w:val="14"/>
              </w:rPr>
              <w:t>SMU</w:t>
            </w:r>
          </w:p>
        </w:tc>
        <w:tc>
          <w:tcPr>
            <w:tcW w:w="709"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0CE64097" w14:textId="77777777" w:rsidR="00416C47" w:rsidRDefault="00416C47" w:rsidP="00CD5C5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eastAsia="Arial" w:hAnsi="Arial" w:cs="Arial"/>
                <w:color w:val="000000"/>
                <w:sz w:val="14"/>
                <w:szCs w:val="14"/>
              </w:rPr>
              <w:t>4yr gradient</w:t>
            </w:r>
          </w:p>
        </w:tc>
        <w:tc>
          <w:tcPr>
            <w:tcW w:w="850"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78489F1E" w14:textId="77777777" w:rsidR="00416C47" w:rsidRDefault="00416C47" w:rsidP="00CD5C5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eastAsia="Arial" w:hAnsi="Arial" w:cs="Arial"/>
                <w:color w:val="000000"/>
                <w:sz w:val="14"/>
                <w:szCs w:val="14"/>
              </w:rPr>
              <w:t>Primary Indicator</w:t>
            </w:r>
          </w:p>
        </w:tc>
        <w:tc>
          <w:tcPr>
            <w:tcW w:w="969"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150D3FEE" w14:textId="77777777" w:rsidR="00416C47" w:rsidRDefault="00416C47" w:rsidP="00CD5C5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eastAsia="Arial" w:hAnsi="Arial" w:cs="Arial"/>
                <w:color w:val="000000"/>
                <w:sz w:val="14"/>
                <w:szCs w:val="14"/>
              </w:rPr>
              <w:t>2yr ratio</w:t>
            </w:r>
            <w:proofErr w:type="gramStart"/>
            <w:r>
              <w:rPr>
                <w:rFonts w:ascii="Arial" w:eastAsia="Arial" w:hAnsi="Arial" w:cs="Arial"/>
                <w:color w:val="000000"/>
                <w:sz w:val="14"/>
                <w:szCs w:val="14"/>
              </w:rPr>
              <w:t xml:space="preserve">   (</w:t>
            </w:r>
            <w:proofErr w:type="gramEnd"/>
            <w:r>
              <w:rPr>
                <w:rFonts w:ascii="Arial" w:eastAsia="Arial" w:hAnsi="Arial" w:cs="Arial"/>
                <w:color w:val="000000"/>
                <w:sz w:val="14"/>
                <w:szCs w:val="14"/>
              </w:rPr>
              <w:t>% change)</w:t>
            </w:r>
          </w:p>
        </w:tc>
        <w:tc>
          <w:tcPr>
            <w:tcW w:w="992"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385A5505" w14:textId="77777777" w:rsidR="00416C47" w:rsidRDefault="00416C47" w:rsidP="00CD5C5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eastAsia="Arial" w:hAnsi="Arial" w:cs="Arial"/>
                <w:color w:val="000000"/>
                <w:sz w:val="14"/>
                <w:szCs w:val="14"/>
              </w:rPr>
              <w:t>Secondary Indicator</w:t>
            </w:r>
          </w:p>
        </w:tc>
        <w:tc>
          <w:tcPr>
            <w:tcW w:w="934"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7C7C6632" w14:textId="77777777" w:rsidR="00416C47" w:rsidRDefault="00416C47" w:rsidP="00CD5C5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eastAsia="Arial" w:hAnsi="Arial" w:cs="Arial"/>
                <w:color w:val="000000"/>
                <w:sz w:val="14"/>
                <w:szCs w:val="14"/>
              </w:rPr>
              <w:t>Primary Category</w:t>
            </w:r>
          </w:p>
        </w:tc>
        <w:tc>
          <w:tcPr>
            <w:tcW w:w="767"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4B699402" w14:textId="77777777" w:rsidR="00416C47" w:rsidRDefault="00416C47" w:rsidP="00CD5C5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eastAsia="Arial" w:hAnsi="Arial" w:cs="Arial"/>
                <w:color w:val="000000"/>
                <w:sz w:val="14"/>
                <w:szCs w:val="14"/>
              </w:rPr>
              <w:t xml:space="preserve">Tertiary Indicator  </w:t>
            </w:r>
          </w:p>
        </w:tc>
        <w:tc>
          <w:tcPr>
            <w:tcW w:w="874"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2C5FF6B5" w14:textId="77777777" w:rsidR="00416C47" w:rsidRDefault="00416C47" w:rsidP="00CD5C5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eastAsia="Arial" w:hAnsi="Arial" w:cs="Arial"/>
                <w:color w:val="000000"/>
                <w:sz w:val="14"/>
                <w:szCs w:val="14"/>
              </w:rPr>
              <w:t>Final Category</w:t>
            </w:r>
          </w:p>
        </w:tc>
        <w:tc>
          <w:tcPr>
            <w:tcW w:w="1216"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78883965" w14:textId="77777777" w:rsidR="00416C47" w:rsidRDefault="00416C47" w:rsidP="00CD5C5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eastAsia="Arial" w:hAnsi="Arial" w:cs="Arial"/>
                <w:color w:val="000000"/>
                <w:sz w:val="14"/>
                <w:szCs w:val="14"/>
              </w:rPr>
              <w:t>2024/25 Target Catch (OT, t)</w:t>
            </w:r>
          </w:p>
        </w:tc>
        <w:tc>
          <w:tcPr>
            <w:tcW w:w="1046"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1D0EC803" w14:textId="77777777" w:rsidR="00416C47" w:rsidRDefault="00416C47" w:rsidP="00CD5C5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eastAsia="Arial" w:hAnsi="Arial" w:cs="Arial"/>
                <w:color w:val="000000"/>
                <w:sz w:val="14"/>
                <w:szCs w:val="14"/>
              </w:rPr>
              <w:t>Total catch, Lower (t)</w:t>
            </w:r>
          </w:p>
        </w:tc>
        <w:tc>
          <w:tcPr>
            <w:tcW w:w="992"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5B1BD95B" w14:textId="77777777" w:rsidR="00416C47" w:rsidRDefault="00416C47" w:rsidP="00CD5C5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eastAsia="Arial" w:hAnsi="Arial" w:cs="Arial"/>
                <w:color w:val="000000"/>
                <w:sz w:val="14"/>
                <w:szCs w:val="14"/>
              </w:rPr>
              <w:t>Total catch, Upper (t)</w:t>
            </w:r>
          </w:p>
        </w:tc>
      </w:tr>
      <w:tr w:rsidR="00416C47" w14:paraId="4B9A5F3D" w14:textId="77777777" w:rsidTr="001C16ED">
        <w:trPr>
          <w:jc w:val="center"/>
        </w:trPr>
        <w:tc>
          <w:tcPr>
            <w:tcW w:w="1418"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60F559FA" w14:textId="77777777" w:rsidR="00416C47" w:rsidRPr="00A03424"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2"/>
                <w:szCs w:val="12"/>
              </w:rPr>
            </w:pPr>
            <w:r w:rsidRPr="00A03424">
              <w:rPr>
                <w:rFonts w:ascii="Arial" w:hAnsi="Arial" w:cs="Arial"/>
                <w:color w:val="000000"/>
                <w:sz w:val="12"/>
                <w:szCs w:val="12"/>
              </w:rPr>
              <w:t>BACK BEACHES</w:t>
            </w:r>
          </w:p>
        </w:tc>
        <w:tc>
          <w:tcPr>
            <w:tcW w:w="709"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3F89A9A2"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 xml:space="preserve"> 5.30</w:t>
            </w:r>
          </w:p>
        </w:tc>
        <w:tc>
          <w:tcPr>
            <w:tcW w:w="850"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1F3D6F37"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Increasing</w:t>
            </w:r>
          </w:p>
        </w:tc>
        <w:tc>
          <w:tcPr>
            <w:tcW w:w="969"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12E04FC6"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 xml:space="preserve"> 0.3</w:t>
            </w:r>
          </w:p>
        </w:tc>
        <w:tc>
          <w:tcPr>
            <w:tcW w:w="992"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42611AA6"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934" w:type="dxa"/>
            <w:tcBorders>
              <w:top w:val="single" w:sz="12" w:space="0" w:color="666666"/>
              <w:left w:val="nil"/>
              <w:bottom w:val="nil"/>
              <w:right w:val="nil"/>
            </w:tcBorders>
            <w:shd w:val="clear" w:color="auto" w:fill="92D050"/>
            <w:tcMar>
              <w:top w:w="0" w:type="dxa"/>
              <w:left w:w="0" w:type="dxa"/>
              <w:bottom w:w="0" w:type="dxa"/>
              <w:right w:w="0" w:type="dxa"/>
            </w:tcMar>
            <w:vAlign w:val="center"/>
          </w:tcPr>
          <w:p w14:paraId="2248233B"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Increasing</w:t>
            </w:r>
          </w:p>
        </w:tc>
        <w:tc>
          <w:tcPr>
            <w:tcW w:w="767"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447C4881" w14:textId="77777777" w:rsidR="00416C47"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eastAsia="Arial" w:hAnsi="Arial" w:cs="Arial"/>
                <w:color w:val="000000"/>
                <w:sz w:val="14"/>
                <w:szCs w:val="14"/>
              </w:rPr>
              <w:t>NA</w:t>
            </w:r>
          </w:p>
        </w:tc>
        <w:tc>
          <w:tcPr>
            <w:tcW w:w="874" w:type="dxa"/>
            <w:tcBorders>
              <w:top w:val="single" w:sz="12" w:space="0" w:color="666666"/>
              <w:left w:val="nil"/>
              <w:bottom w:val="nil"/>
              <w:right w:val="nil"/>
            </w:tcBorders>
            <w:shd w:val="clear" w:color="auto" w:fill="92D050"/>
            <w:tcMar>
              <w:top w:w="0" w:type="dxa"/>
              <w:left w:w="0" w:type="dxa"/>
              <w:bottom w:w="0" w:type="dxa"/>
              <w:right w:w="0" w:type="dxa"/>
            </w:tcMar>
            <w:vAlign w:val="center"/>
          </w:tcPr>
          <w:p w14:paraId="6EF64DEF" w14:textId="77777777" w:rsidR="00416C47" w:rsidRPr="00A03424"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Increasing</w:t>
            </w:r>
          </w:p>
        </w:tc>
        <w:tc>
          <w:tcPr>
            <w:tcW w:w="1216" w:type="dxa"/>
            <w:tcBorders>
              <w:top w:val="single" w:sz="12" w:space="0" w:color="666666"/>
              <w:left w:val="nil"/>
              <w:bottom w:val="nil"/>
              <w:right w:val="nil"/>
            </w:tcBorders>
            <w:shd w:val="clear" w:color="auto" w:fill="FFFFFF"/>
            <w:tcMar>
              <w:top w:w="0" w:type="dxa"/>
              <w:left w:w="0" w:type="dxa"/>
              <w:bottom w:w="0" w:type="dxa"/>
              <w:right w:w="0" w:type="dxa"/>
            </w:tcMar>
            <w:vAlign w:val="bottom"/>
          </w:tcPr>
          <w:p w14:paraId="7A18B831"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41.5</w:t>
            </w:r>
          </w:p>
        </w:tc>
        <w:tc>
          <w:tcPr>
            <w:tcW w:w="1046" w:type="dxa"/>
            <w:tcBorders>
              <w:top w:val="single" w:sz="12" w:space="0" w:color="666666"/>
              <w:left w:val="nil"/>
              <w:bottom w:val="nil"/>
              <w:right w:val="nil"/>
            </w:tcBorders>
            <w:shd w:val="clear" w:color="auto" w:fill="FFFFFF"/>
            <w:tcMar>
              <w:top w:w="0" w:type="dxa"/>
              <w:left w:w="0" w:type="dxa"/>
              <w:bottom w:w="0" w:type="dxa"/>
              <w:right w:w="0" w:type="dxa"/>
            </w:tcMar>
            <w:vAlign w:val="bottom"/>
          </w:tcPr>
          <w:p w14:paraId="215F1F12" w14:textId="31B9D6B4"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color w:val="000000"/>
                <w:sz w:val="14"/>
                <w:szCs w:val="14"/>
              </w:rPr>
            </w:pPr>
            <w:r w:rsidRPr="00416C47">
              <w:rPr>
                <w:rFonts w:ascii="Arial" w:hAnsi="Arial" w:cs="Arial"/>
                <w:color w:val="000000"/>
                <w:sz w:val="14"/>
                <w:szCs w:val="14"/>
              </w:rPr>
              <w:t>41.5, 43.6</w:t>
            </w:r>
          </w:p>
        </w:tc>
        <w:tc>
          <w:tcPr>
            <w:tcW w:w="992" w:type="dxa"/>
            <w:tcBorders>
              <w:top w:val="single" w:sz="12" w:space="0" w:color="666666"/>
              <w:left w:val="nil"/>
              <w:bottom w:val="nil"/>
              <w:right w:val="nil"/>
            </w:tcBorders>
            <w:shd w:val="clear" w:color="auto" w:fill="FFFFFF"/>
            <w:tcMar>
              <w:top w:w="0" w:type="dxa"/>
              <w:left w:w="0" w:type="dxa"/>
              <w:bottom w:w="0" w:type="dxa"/>
              <w:right w:w="0" w:type="dxa"/>
            </w:tcMar>
            <w:vAlign w:val="bottom"/>
          </w:tcPr>
          <w:p w14:paraId="5937C556" w14:textId="4AB4EB5F"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color w:val="000000"/>
                <w:sz w:val="14"/>
                <w:szCs w:val="14"/>
              </w:rPr>
            </w:pPr>
            <w:r w:rsidRPr="00416C47">
              <w:rPr>
                <w:rFonts w:ascii="Arial" w:hAnsi="Arial" w:cs="Arial"/>
                <w:color w:val="000000"/>
                <w:sz w:val="14"/>
                <w:szCs w:val="14"/>
              </w:rPr>
              <w:t>47.7, 51.9</w:t>
            </w:r>
          </w:p>
        </w:tc>
      </w:tr>
      <w:tr w:rsidR="00416C47" w14:paraId="6E9C3948" w14:textId="77777777" w:rsidTr="001C16ED">
        <w:trPr>
          <w:jc w:val="center"/>
        </w:trPr>
        <w:tc>
          <w:tcPr>
            <w:tcW w:w="1418" w:type="dxa"/>
            <w:tcBorders>
              <w:top w:val="nil"/>
              <w:left w:val="nil"/>
              <w:bottom w:val="nil"/>
              <w:right w:val="nil"/>
            </w:tcBorders>
            <w:shd w:val="clear" w:color="auto" w:fill="FFFFFF"/>
            <w:tcMar>
              <w:top w:w="0" w:type="dxa"/>
              <w:left w:w="0" w:type="dxa"/>
              <w:bottom w:w="0" w:type="dxa"/>
              <w:right w:w="0" w:type="dxa"/>
            </w:tcMar>
            <w:vAlign w:val="center"/>
          </w:tcPr>
          <w:p w14:paraId="7C448FAF" w14:textId="77777777" w:rsidR="00416C47" w:rsidRPr="00A03424"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2"/>
                <w:szCs w:val="12"/>
              </w:rPr>
            </w:pPr>
            <w:r w:rsidRPr="00A03424">
              <w:rPr>
                <w:rFonts w:ascii="Arial" w:hAnsi="Arial" w:cs="Arial"/>
                <w:color w:val="000000"/>
                <w:sz w:val="12"/>
                <w:szCs w:val="12"/>
              </w:rPr>
              <w:t>CAPE LIPTRAP</w:t>
            </w:r>
          </w:p>
        </w:tc>
        <w:tc>
          <w:tcPr>
            <w:tcW w:w="709" w:type="dxa"/>
            <w:tcBorders>
              <w:top w:val="nil"/>
              <w:left w:val="nil"/>
              <w:bottom w:val="nil"/>
              <w:right w:val="nil"/>
            </w:tcBorders>
            <w:shd w:val="clear" w:color="auto" w:fill="FFFFFF"/>
            <w:tcMar>
              <w:top w:w="0" w:type="dxa"/>
              <w:left w:w="0" w:type="dxa"/>
              <w:bottom w:w="0" w:type="dxa"/>
              <w:right w:w="0" w:type="dxa"/>
            </w:tcMar>
            <w:vAlign w:val="center"/>
          </w:tcPr>
          <w:p w14:paraId="6D491552"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 xml:space="preserve"> 1.46</w:t>
            </w:r>
          </w:p>
        </w:tc>
        <w:tc>
          <w:tcPr>
            <w:tcW w:w="850" w:type="dxa"/>
            <w:tcBorders>
              <w:top w:val="nil"/>
              <w:left w:val="nil"/>
              <w:bottom w:val="nil"/>
              <w:right w:val="nil"/>
            </w:tcBorders>
            <w:shd w:val="clear" w:color="auto" w:fill="FFFFFF"/>
            <w:tcMar>
              <w:top w:w="0" w:type="dxa"/>
              <w:left w:w="0" w:type="dxa"/>
              <w:bottom w:w="0" w:type="dxa"/>
              <w:right w:w="0" w:type="dxa"/>
            </w:tcMar>
            <w:vAlign w:val="center"/>
          </w:tcPr>
          <w:p w14:paraId="27C3E898"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969" w:type="dxa"/>
            <w:tcBorders>
              <w:top w:val="nil"/>
              <w:left w:val="nil"/>
              <w:bottom w:val="nil"/>
              <w:right w:val="nil"/>
            </w:tcBorders>
            <w:shd w:val="clear" w:color="auto" w:fill="FFFFFF"/>
            <w:tcMar>
              <w:top w:w="0" w:type="dxa"/>
              <w:left w:w="0" w:type="dxa"/>
              <w:bottom w:w="0" w:type="dxa"/>
              <w:right w:w="0" w:type="dxa"/>
            </w:tcMar>
            <w:vAlign w:val="center"/>
          </w:tcPr>
          <w:p w14:paraId="21BEE829"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-0.4</w:t>
            </w:r>
          </w:p>
        </w:tc>
        <w:tc>
          <w:tcPr>
            <w:tcW w:w="992" w:type="dxa"/>
            <w:tcBorders>
              <w:top w:val="nil"/>
              <w:left w:val="nil"/>
              <w:bottom w:val="nil"/>
              <w:right w:val="nil"/>
            </w:tcBorders>
            <w:shd w:val="clear" w:color="auto" w:fill="FFFFFF"/>
            <w:tcMar>
              <w:top w:w="0" w:type="dxa"/>
              <w:left w:w="0" w:type="dxa"/>
              <w:bottom w:w="0" w:type="dxa"/>
              <w:right w:w="0" w:type="dxa"/>
            </w:tcMar>
            <w:vAlign w:val="center"/>
          </w:tcPr>
          <w:p w14:paraId="33DD37AD"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934" w:type="dxa"/>
            <w:tcBorders>
              <w:top w:val="nil"/>
              <w:left w:val="nil"/>
              <w:bottom w:val="nil"/>
              <w:right w:val="nil"/>
            </w:tcBorders>
            <w:shd w:val="clear" w:color="auto" w:fill="FFFF00"/>
            <w:tcMar>
              <w:top w:w="0" w:type="dxa"/>
              <w:left w:w="0" w:type="dxa"/>
              <w:bottom w:w="0" w:type="dxa"/>
              <w:right w:w="0" w:type="dxa"/>
            </w:tcMar>
            <w:vAlign w:val="center"/>
          </w:tcPr>
          <w:p w14:paraId="48ADA5F7"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767" w:type="dxa"/>
            <w:tcBorders>
              <w:top w:val="nil"/>
              <w:left w:val="nil"/>
              <w:bottom w:val="nil"/>
              <w:right w:val="nil"/>
            </w:tcBorders>
            <w:shd w:val="clear" w:color="auto" w:fill="FFFFFF"/>
            <w:tcMar>
              <w:top w:w="0" w:type="dxa"/>
              <w:left w:w="0" w:type="dxa"/>
              <w:bottom w:w="0" w:type="dxa"/>
              <w:right w:w="0" w:type="dxa"/>
            </w:tcMar>
            <w:vAlign w:val="center"/>
          </w:tcPr>
          <w:p w14:paraId="48C4BE76" w14:textId="77777777" w:rsidR="00416C47"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eastAsia="Arial" w:hAnsi="Arial" w:cs="Arial"/>
                <w:color w:val="000000"/>
                <w:sz w:val="14"/>
                <w:szCs w:val="14"/>
              </w:rPr>
              <w:t>NA</w:t>
            </w:r>
          </w:p>
        </w:tc>
        <w:tc>
          <w:tcPr>
            <w:tcW w:w="874" w:type="dxa"/>
            <w:tcBorders>
              <w:top w:val="nil"/>
              <w:left w:val="nil"/>
              <w:bottom w:val="nil"/>
              <w:right w:val="nil"/>
            </w:tcBorders>
            <w:shd w:val="clear" w:color="auto" w:fill="FFFF00"/>
            <w:tcMar>
              <w:top w:w="0" w:type="dxa"/>
              <w:left w:w="0" w:type="dxa"/>
              <w:bottom w:w="0" w:type="dxa"/>
              <w:right w:w="0" w:type="dxa"/>
            </w:tcMar>
            <w:vAlign w:val="center"/>
          </w:tcPr>
          <w:p w14:paraId="3ECB8484" w14:textId="77777777" w:rsidR="00416C47" w:rsidRPr="00A03424"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1216" w:type="dxa"/>
            <w:tcBorders>
              <w:top w:val="nil"/>
              <w:left w:val="nil"/>
              <w:bottom w:val="nil"/>
              <w:right w:val="nil"/>
            </w:tcBorders>
            <w:shd w:val="clear" w:color="auto" w:fill="FFFFFF"/>
            <w:tcMar>
              <w:top w:w="0" w:type="dxa"/>
              <w:left w:w="0" w:type="dxa"/>
              <w:bottom w:w="0" w:type="dxa"/>
              <w:right w:w="0" w:type="dxa"/>
            </w:tcMar>
            <w:vAlign w:val="center"/>
          </w:tcPr>
          <w:p w14:paraId="20A79904"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9.4</w:t>
            </w:r>
          </w:p>
        </w:tc>
        <w:tc>
          <w:tcPr>
            <w:tcW w:w="1046" w:type="dxa"/>
            <w:tcBorders>
              <w:top w:val="nil"/>
              <w:left w:val="nil"/>
              <w:bottom w:val="nil"/>
              <w:right w:val="nil"/>
            </w:tcBorders>
            <w:shd w:val="clear" w:color="auto" w:fill="FFFFFF"/>
            <w:tcMar>
              <w:top w:w="0" w:type="dxa"/>
              <w:left w:w="0" w:type="dxa"/>
              <w:bottom w:w="0" w:type="dxa"/>
              <w:right w:w="0" w:type="dxa"/>
            </w:tcMar>
            <w:vAlign w:val="bottom"/>
          </w:tcPr>
          <w:p w14:paraId="58A5F8DB" w14:textId="082B2A96"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color w:val="000000"/>
                <w:sz w:val="14"/>
                <w:szCs w:val="14"/>
              </w:rPr>
            </w:pPr>
            <w:r w:rsidRPr="00416C47">
              <w:rPr>
                <w:rFonts w:ascii="Arial" w:hAnsi="Arial" w:cs="Arial"/>
                <w:color w:val="000000"/>
                <w:sz w:val="14"/>
                <w:szCs w:val="14"/>
              </w:rPr>
              <w:t>8.9</w:t>
            </w:r>
          </w:p>
        </w:tc>
        <w:tc>
          <w:tcPr>
            <w:tcW w:w="992" w:type="dxa"/>
            <w:tcBorders>
              <w:top w:val="nil"/>
              <w:left w:val="nil"/>
              <w:bottom w:val="nil"/>
              <w:right w:val="nil"/>
            </w:tcBorders>
            <w:shd w:val="clear" w:color="auto" w:fill="FFFFFF"/>
            <w:tcMar>
              <w:top w:w="0" w:type="dxa"/>
              <w:left w:w="0" w:type="dxa"/>
              <w:bottom w:w="0" w:type="dxa"/>
              <w:right w:w="0" w:type="dxa"/>
            </w:tcMar>
            <w:vAlign w:val="bottom"/>
          </w:tcPr>
          <w:p w14:paraId="7248D18E" w14:textId="4DA16DDC"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color w:val="000000"/>
                <w:sz w:val="14"/>
                <w:szCs w:val="14"/>
              </w:rPr>
            </w:pPr>
            <w:r w:rsidRPr="00416C47">
              <w:rPr>
                <w:rFonts w:ascii="Arial" w:hAnsi="Arial" w:cs="Arial"/>
                <w:color w:val="000000"/>
                <w:sz w:val="14"/>
                <w:szCs w:val="14"/>
              </w:rPr>
              <w:t>9.9</w:t>
            </w:r>
          </w:p>
        </w:tc>
      </w:tr>
      <w:tr w:rsidR="00416C47" w14:paraId="157E79BD" w14:textId="77777777" w:rsidTr="001C16ED">
        <w:trPr>
          <w:jc w:val="center"/>
        </w:trPr>
        <w:tc>
          <w:tcPr>
            <w:tcW w:w="1418" w:type="dxa"/>
            <w:tcBorders>
              <w:top w:val="nil"/>
              <w:left w:val="nil"/>
              <w:bottom w:val="nil"/>
              <w:right w:val="nil"/>
            </w:tcBorders>
            <w:shd w:val="clear" w:color="auto" w:fill="FFFFFF"/>
            <w:tcMar>
              <w:top w:w="0" w:type="dxa"/>
              <w:left w:w="0" w:type="dxa"/>
              <w:bottom w:w="0" w:type="dxa"/>
              <w:right w:w="0" w:type="dxa"/>
            </w:tcMar>
            <w:vAlign w:val="center"/>
          </w:tcPr>
          <w:p w14:paraId="7A4E735E" w14:textId="77777777" w:rsidR="00416C47" w:rsidRPr="00A03424"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2"/>
                <w:szCs w:val="12"/>
              </w:rPr>
            </w:pPr>
            <w:r w:rsidRPr="00A03424">
              <w:rPr>
                <w:rFonts w:ascii="Arial" w:hAnsi="Arial" w:cs="Arial"/>
                <w:color w:val="000000"/>
                <w:sz w:val="12"/>
                <w:szCs w:val="12"/>
              </w:rPr>
              <w:t>CAPE OTWAY</w:t>
            </w:r>
          </w:p>
        </w:tc>
        <w:tc>
          <w:tcPr>
            <w:tcW w:w="709" w:type="dxa"/>
            <w:tcBorders>
              <w:top w:val="nil"/>
              <w:left w:val="nil"/>
              <w:bottom w:val="nil"/>
              <w:right w:val="nil"/>
            </w:tcBorders>
            <w:shd w:val="clear" w:color="auto" w:fill="FFFFFF"/>
            <w:tcMar>
              <w:top w:w="0" w:type="dxa"/>
              <w:left w:w="0" w:type="dxa"/>
              <w:bottom w:w="0" w:type="dxa"/>
              <w:right w:w="0" w:type="dxa"/>
            </w:tcMar>
            <w:vAlign w:val="center"/>
          </w:tcPr>
          <w:p w14:paraId="2EACD2DD"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-0.15</w:t>
            </w:r>
          </w:p>
        </w:tc>
        <w:tc>
          <w:tcPr>
            <w:tcW w:w="850" w:type="dxa"/>
            <w:tcBorders>
              <w:top w:val="nil"/>
              <w:left w:val="nil"/>
              <w:bottom w:val="nil"/>
              <w:right w:val="nil"/>
            </w:tcBorders>
            <w:shd w:val="clear" w:color="auto" w:fill="FFFFFF"/>
            <w:tcMar>
              <w:top w:w="0" w:type="dxa"/>
              <w:left w:w="0" w:type="dxa"/>
              <w:bottom w:w="0" w:type="dxa"/>
              <w:right w:w="0" w:type="dxa"/>
            </w:tcMar>
            <w:vAlign w:val="center"/>
          </w:tcPr>
          <w:p w14:paraId="3722298C"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969" w:type="dxa"/>
            <w:tcBorders>
              <w:top w:val="nil"/>
              <w:left w:val="nil"/>
              <w:bottom w:val="nil"/>
              <w:right w:val="nil"/>
            </w:tcBorders>
            <w:shd w:val="clear" w:color="auto" w:fill="FFFFFF"/>
            <w:tcMar>
              <w:top w:w="0" w:type="dxa"/>
              <w:left w:w="0" w:type="dxa"/>
              <w:bottom w:w="0" w:type="dxa"/>
              <w:right w:w="0" w:type="dxa"/>
            </w:tcMar>
            <w:vAlign w:val="center"/>
          </w:tcPr>
          <w:p w14:paraId="34A0C1B7"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 xml:space="preserve"> 3.8</w:t>
            </w:r>
          </w:p>
        </w:tc>
        <w:tc>
          <w:tcPr>
            <w:tcW w:w="992" w:type="dxa"/>
            <w:tcBorders>
              <w:top w:val="nil"/>
              <w:left w:val="nil"/>
              <w:bottom w:val="nil"/>
              <w:right w:val="nil"/>
            </w:tcBorders>
            <w:shd w:val="clear" w:color="auto" w:fill="FFFFFF"/>
            <w:tcMar>
              <w:top w:w="0" w:type="dxa"/>
              <w:left w:w="0" w:type="dxa"/>
              <w:bottom w:w="0" w:type="dxa"/>
              <w:right w:w="0" w:type="dxa"/>
            </w:tcMar>
            <w:vAlign w:val="center"/>
          </w:tcPr>
          <w:p w14:paraId="16346BDD"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934" w:type="dxa"/>
            <w:tcBorders>
              <w:top w:val="nil"/>
              <w:left w:val="nil"/>
              <w:bottom w:val="nil"/>
              <w:right w:val="nil"/>
            </w:tcBorders>
            <w:shd w:val="clear" w:color="auto" w:fill="FFFF00"/>
            <w:tcMar>
              <w:top w:w="0" w:type="dxa"/>
              <w:left w:w="0" w:type="dxa"/>
              <w:bottom w:w="0" w:type="dxa"/>
              <w:right w:w="0" w:type="dxa"/>
            </w:tcMar>
            <w:vAlign w:val="center"/>
          </w:tcPr>
          <w:p w14:paraId="741AC3B7"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767" w:type="dxa"/>
            <w:tcBorders>
              <w:top w:val="nil"/>
              <w:left w:val="nil"/>
              <w:bottom w:val="nil"/>
              <w:right w:val="nil"/>
            </w:tcBorders>
            <w:shd w:val="clear" w:color="auto" w:fill="FFFFFF"/>
            <w:tcMar>
              <w:top w:w="0" w:type="dxa"/>
              <w:left w:w="0" w:type="dxa"/>
              <w:bottom w:w="0" w:type="dxa"/>
              <w:right w:w="0" w:type="dxa"/>
            </w:tcMar>
            <w:vAlign w:val="center"/>
          </w:tcPr>
          <w:p w14:paraId="41D339CB" w14:textId="77777777" w:rsidR="00416C47"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eastAsia="Arial" w:hAnsi="Arial" w:cs="Arial"/>
                <w:color w:val="000000"/>
                <w:sz w:val="14"/>
                <w:szCs w:val="14"/>
              </w:rPr>
              <w:t>NA</w:t>
            </w:r>
          </w:p>
        </w:tc>
        <w:tc>
          <w:tcPr>
            <w:tcW w:w="874" w:type="dxa"/>
            <w:tcBorders>
              <w:top w:val="nil"/>
              <w:left w:val="nil"/>
              <w:bottom w:val="nil"/>
              <w:right w:val="nil"/>
            </w:tcBorders>
            <w:shd w:val="clear" w:color="auto" w:fill="FFFF00"/>
            <w:tcMar>
              <w:top w:w="0" w:type="dxa"/>
              <w:left w:w="0" w:type="dxa"/>
              <w:bottom w:w="0" w:type="dxa"/>
              <w:right w:w="0" w:type="dxa"/>
            </w:tcMar>
            <w:vAlign w:val="center"/>
          </w:tcPr>
          <w:p w14:paraId="5F5CF364" w14:textId="77777777" w:rsidR="00416C47" w:rsidRPr="00A03424"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1216" w:type="dxa"/>
            <w:tcBorders>
              <w:top w:val="nil"/>
              <w:left w:val="nil"/>
              <w:bottom w:val="nil"/>
              <w:right w:val="nil"/>
            </w:tcBorders>
            <w:shd w:val="clear" w:color="auto" w:fill="FFFFFF"/>
            <w:tcMar>
              <w:top w:w="0" w:type="dxa"/>
              <w:left w:w="0" w:type="dxa"/>
              <w:bottom w:w="0" w:type="dxa"/>
              <w:right w:w="0" w:type="dxa"/>
            </w:tcMar>
            <w:vAlign w:val="center"/>
          </w:tcPr>
          <w:p w14:paraId="0BF22A95"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49</w:t>
            </w:r>
            <w:r>
              <w:rPr>
                <w:rFonts w:ascii="Arial" w:hAnsi="Arial" w:cs="Arial"/>
                <w:color w:val="000000"/>
                <w:sz w:val="14"/>
                <w:szCs w:val="14"/>
              </w:rPr>
              <w:t>.0</w:t>
            </w:r>
          </w:p>
        </w:tc>
        <w:tc>
          <w:tcPr>
            <w:tcW w:w="1046" w:type="dxa"/>
            <w:tcBorders>
              <w:top w:val="nil"/>
              <w:left w:val="nil"/>
              <w:bottom w:val="nil"/>
              <w:right w:val="nil"/>
            </w:tcBorders>
            <w:shd w:val="clear" w:color="auto" w:fill="FFFFFF"/>
            <w:tcMar>
              <w:top w:w="0" w:type="dxa"/>
              <w:left w:w="0" w:type="dxa"/>
              <w:bottom w:w="0" w:type="dxa"/>
              <w:right w:w="0" w:type="dxa"/>
            </w:tcMar>
            <w:vAlign w:val="bottom"/>
          </w:tcPr>
          <w:p w14:paraId="64585524" w14:textId="3D6B3CBC"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color w:val="000000"/>
                <w:sz w:val="14"/>
                <w:szCs w:val="14"/>
              </w:rPr>
            </w:pPr>
            <w:r w:rsidRPr="00416C47">
              <w:rPr>
                <w:rFonts w:ascii="Arial" w:hAnsi="Arial" w:cs="Arial"/>
                <w:color w:val="000000"/>
                <w:sz w:val="14"/>
                <w:szCs w:val="14"/>
              </w:rPr>
              <w:t>46.6</w:t>
            </w:r>
          </w:p>
        </w:tc>
        <w:tc>
          <w:tcPr>
            <w:tcW w:w="992" w:type="dxa"/>
            <w:tcBorders>
              <w:top w:val="nil"/>
              <w:left w:val="nil"/>
              <w:bottom w:val="nil"/>
              <w:right w:val="nil"/>
            </w:tcBorders>
            <w:shd w:val="clear" w:color="auto" w:fill="FFFFFF"/>
            <w:tcMar>
              <w:top w:w="0" w:type="dxa"/>
              <w:left w:w="0" w:type="dxa"/>
              <w:bottom w:w="0" w:type="dxa"/>
              <w:right w:w="0" w:type="dxa"/>
            </w:tcMar>
            <w:vAlign w:val="bottom"/>
          </w:tcPr>
          <w:p w14:paraId="2BC73D11" w14:textId="37AEE226"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color w:val="000000"/>
                <w:sz w:val="14"/>
                <w:szCs w:val="14"/>
              </w:rPr>
            </w:pPr>
            <w:r w:rsidRPr="00416C47">
              <w:rPr>
                <w:rFonts w:ascii="Arial" w:hAnsi="Arial" w:cs="Arial"/>
                <w:color w:val="000000"/>
                <w:sz w:val="14"/>
                <w:szCs w:val="14"/>
              </w:rPr>
              <w:t>51.5</w:t>
            </w:r>
          </w:p>
        </w:tc>
      </w:tr>
      <w:tr w:rsidR="00416C47" w14:paraId="3B9B01E8" w14:textId="77777777" w:rsidTr="001C16ED">
        <w:trPr>
          <w:jc w:val="center"/>
        </w:trPr>
        <w:tc>
          <w:tcPr>
            <w:tcW w:w="1418" w:type="dxa"/>
            <w:tcBorders>
              <w:top w:val="nil"/>
              <w:left w:val="nil"/>
              <w:bottom w:val="nil"/>
              <w:right w:val="nil"/>
            </w:tcBorders>
            <w:shd w:val="clear" w:color="auto" w:fill="FFFFFF"/>
            <w:tcMar>
              <w:top w:w="0" w:type="dxa"/>
              <w:left w:w="0" w:type="dxa"/>
              <w:bottom w:w="0" w:type="dxa"/>
              <w:right w:w="0" w:type="dxa"/>
            </w:tcMar>
            <w:vAlign w:val="center"/>
          </w:tcPr>
          <w:p w14:paraId="301102DB" w14:textId="77777777" w:rsidR="00416C47" w:rsidRPr="00A03424"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2"/>
                <w:szCs w:val="12"/>
              </w:rPr>
            </w:pPr>
            <w:r w:rsidRPr="00A03424">
              <w:rPr>
                <w:rFonts w:ascii="Arial" w:hAnsi="Arial" w:cs="Arial"/>
                <w:color w:val="000000"/>
                <w:sz w:val="12"/>
                <w:szCs w:val="12"/>
              </w:rPr>
              <w:t>CLIFFY GROUP</w:t>
            </w:r>
          </w:p>
        </w:tc>
        <w:tc>
          <w:tcPr>
            <w:tcW w:w="709" w:type="dxa"/>
            <w:tcBorders>
              <w:top w:val="nil"/>
              <w:left w:val="nil"/>
              <w:bottom w:val="nil"/>
              <w:right w:val="nil"/>
            </w:tcBorders>
            <w:shd w:val="clear" w:color="auto" w:fill="FFFFFF"/>
            <w:tcMar>
              <w:top w:w="0" w:type="dxa"/>
              <w:left w:w="0" w:type="dxa"/>
              <w:bottom w:w="0" w:type="dxa"/>
              <w:right w:w="0" w:type="dxa"/>
            </w:tcMar>
            <w:vAlign w:val="center"/>
          </w:tcPr>
          <w:p w14:paraId="17A75212"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 xml:space="preserve"> 3.98</w:t>
            </w:r>
          </w:p>
        </w:tc>
        <w:tc>
          <w:tcPr>
            <w:tcW w:w="850" w:type="dxa"/>
            <w:tcBorders>
              <w:top w:val="nil"/>
              <w:left w:val="nil"/>
              <w:bottom w:val="nil"/>
              <w:right w:val="nil"/>
            </w:tcBorders>
            <w:shd w:val="clear" w:color="auto" w:fill="FFFFFF"/>
            <w:tcMar>
              <w:top w:w="0" w:type="dxa"/>
              <w:left w:w="0" w:type="dxa"/>
              <w:bottom w:w="0" w:type="dxa"/>
              <w:right w:w="0" w:type="dxa"/>
            </w:tcMar>
            <w:vAlign w:val="center"/>
          </w:tcPr>
          <w:p w14:paraId="09042D19"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969" w:type="dxa"/>
            <w:tcBorders>
              <w:top w:val="nil"/>
              <w:left w:val="nil"/>
              <w:bottom w:val="nil"/>
              <w:right w:val="nil"/>
            </w:tcBorders>
            <w:shd w:val="clear" w:color="auto" w:fill="FFFFFF"/>
            <w:tcMar>
              <w:top w:w="0" w:type="dxa"/>
              <w:left w:w="0" w:type="dxa"/>
              <w:bottom w:w="0" w:type="dxa"/>
              <w:right w:w="0" w:type="dxa"/>
            </w:tcMar>
            <w:vAlign w:val="center"/>
          </w:tcPr>
          <w:p w14:paraId="0042C02C"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 xml:space="preserve"> 1.5</w:t>
            </w:r>
          </w:p>
        </w:tc>
        <w:tc>
          <w:tcPr>
            <w:tcW w:w="992" w:type="dxa"/>
            <w:tcBorders>
              <w:top w:val="nil"/>
              <w:left w:val="nil"/>
              <w:bottom w:val="nil"/>
              <w:right w:val="nil"/>
            </w:tcBorders>
            <w:shd w:val="clear" w:color="auto" w:fill="FFFFFF"/>
            <w:tcMar>
              <w:top w:w="0" w:type="dxa"/>
              <w:left w:w="0" w:type="dxa"/>
              <w:bottom w:w="0" w:type="dxa"/>
              <w:right w:w="0" w:type="dxa"/>
            </w:tcMar>
            <w:vAlign w:val="center"/>
          </w:tcPr>
          <w:p w14:paraId="1BD31248"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934" w:type="dxa"/>
            <w:tcBorders>
              <w:top w:val="nil"/>
              <w:left w:val="nil"/>
              <w:bottom w:val="nil"/>
              <w:right w:val="nil"/>
            </w:tcBorders>
            <w:shd w:val="clear" w:color="auto" w:fill="FFFF00"/>
            <w:tcMar>
              <w:top w:w="0" w:type="dxa"/>
              <w:left w:w="0" w:type="dxa"/>
              <w:bottom w:w="0" w:type="dxa"/>
              <w:right w:w="0" w:type="dxa"/>
            </w:tcMar>
            <w:vAlign w:val="center"/>
          </w:tcPr>
          <w:p w14:paraId="0B7113C6"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767" w:type="dxa"/>
            <w:tcBorders>
              <w:top w:val="nil"/>
              <w:left w:val="nil"/>
              <w:bottom w:val="nil"/>
              <w:right w:val="nil"/>
            </w:tcBorders>
            <w:shd w:val="clear" w:color="auto" w:fill="FFFFFF"/>
            <w:tcMar>
              <w:top w:w="0" w:type="dxa"/>
              <w:left w:w="0" w:type="dxa"/>
              <w:bottom w:w="0" w:type="dxa"/>
              <w:right w:w="0" w:type="dxa"/>
            </w:tcMar>
            <w:vAlign w:val="center"/>
          </w:tcPr>
          <w:p w14:paraId="0C105CF6" w14:textId="77777777" w:rsidR="00416C47"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eastAsia="Arial" w:hAnsi="Arial" w:cs="Arial"/>
                <w:color w:val="000000"/>
                <w:sz w:val="14"/>
                <w:szCs w:val="14"/>
              </w:rPr>
              <w:t>NA</w:t>
            </w:r>
          </w:p>
        </w:tc>
        <w:tc>
          <w:tcPr>
            <w:tcW w:w="874" w:type="dxa"/>
            <w:tcBorders>
              <w:top w:val="nil"/>
              <w:left w:val="nil"/>
              <w:bottom w:val="nil"/>
              <w:right w:val="nil"/>
            </w:tcBorders>
            <w:shd w:val="clear" w:color="auto" w:fill="FFFF00"/>
            <w:tcMar>
              <w:top w:w="0" w:type="dxa"/>
              <w:left w:w="0" w:type="dxa"/>
              <w:bottom w:w="0" w:type="dxa"/>
              <w:right w:w="0" w:type="dxa"/>
            </w:tcMar>
            <w:vAlign w:val="center"/>
          </w:tcPr>
          <w:p w14:paraId="6ACB0E86" w14:textId="77777777" w:rsidR="00416C47" w:rsidRPr="00A03424"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1216" w:type="dxa"/>
            <w:tcBorders>
              <w:top w:val="nil"/>
              <w:left w:val="nil"/>
              <w:bottom w:val="nil"/>
              <w:right w:val="nil"/>
            </w:tcBorders>
            <w:shd w:val="clear" w:color="auto" w:fill="FFFFFF"/>
            <w:tcMar>
              <w:top w:w="0" w:type="dxa"/>
              <w:left w:w="0" w:type="dxa"/>
              <w:bottom w:w="0" w:type="dxa"/>
              <w:right w:w="0" w:type="dxa"/>
            </w:tcMar>
            <w:vAlign w:val="center"/>
          </w:tcPr>
          <w:p w14:paraId="0AF91DA0"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4.7</w:t>
            </w:r>
          </w:p>
        </w:tc>
        <w:tc>
          <w:tcPr>
            <w:tcW w:w="1046" w:type="dxa"/>
            <w:tcBorders>
              <w:top w:val="nil"/>
              <w:left w:val="nil"/>
              <w:bottom w:val="nil"/>
              <w:right w:val="nil"/>
            </w:tcBorders>
            <w:shd w:val="clear" w:color="auto" w:fill="FFFFFF"/>
            <w:tcMar>
              <w:top w:w="0" w:type="dxa"/>
              <w:left w:w="0" w:type="dxa"/>
              <w:bottom w:w="0" w:type="dxa"/>
              <w:right w:w="0" w:type="dxa"/>
            </w:tcMar>
            <w:vAlign w:val="bottom"/>
          </w:tcPr>
          <w:p w14:paraId="11F228D1" w14:textId="216BE21F"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color w:val="000000"/>
                <w:sz w:val="14"/>
                <w:szCs w:val="14"/>
              </w:rPr>
            </w:pPr>
            <w:r w:rsidRPr="00416C47">
              <w:rPr>
                <w:rFonts w:ascii="Arial" w:hAnsi="Arial" w:cs="Arial"/>
                <w:color w:val="000000"/>
                <w:sz w:val="14"/>
                <w:szCs w:val="14"/>
              </w:rPr>
              <w:t>4.5</w:t>
            </w:r>
          </w:p>
        </w:tc>
        <w:tc>
          <w:tcPr>
            <w:tcW w:w="992" w:type="dxa"/>
            <w:tcBorders>
              <w:top w:val="nil"/>
              <w:left w:val="nil"/>
              <w:bottom w:val="nil"/>
              <w:right w:val="nil"/>
            </w:tcBorders>
            <w:shd w:val="clear" w:color="auto" w:fill="FFFFFF"/>
            <w:tcMar>
              <w:top w:w="0" w:type="dxa"/>
              <w:left w:w="0" w:type="dxa"/>
              <w:bottom w:w="0" w:type="dxa"/>
              <w:right w:w="0" w:type="dxa"/>
            </w:tcMar>
            <w:vAlign w:val="bottom"/>
          </w:tcPr>
          <w:p w14:paraId="12149B6B" w14:textId="05E38506"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color w:val="000000"/>
                <w:sz w:val="14"/>
                <w:szCs w:val="14"/>
              </w:rPr>
            </w:pPr>
            <w:r w:rsidRPr="00416C47">
              <w:rPr>
                <w:rFonts w:ascii="Arial" w:hAnsi="Arial" w:cs="Arial"/>
                <w:color w:val="000000"/>
                <w:sz w:val="14"/>
                <w:szCs w:val="14"/>
              </w:rPr>
              <w:t>4.9</w:t>
            </w:r>
          </w:p>
        </w:tc>
      </w:tr>
      <w:tr w:rsidR="00416C47" w14:paraId="4FAE9FA5" w14:textId="77777777" w:rsidTr="001C16ED">
        <w:trPr>
          <w:jc w:val="center"/>
        </w:trPr>
        <w:tc>
          <w:tcPr>
            <w:tcW w:w="1418" w:type="dxa"/>
            <w:tcBorders>
              <w:top w:val="nil"/>
              <w:left w:val="nil"/>
              <w:bottom w:val="nil"/>
              <w:right w:val="nil"/>
            </w:tcBorders>
            <w:shd w:val="clear" w:color="auto" w:fill="FFFFFF"/>
            <w:tcMar>
              <w:top w:w="0" w:type="dxa"/>
              <w:left w:w="0" w:type="dxa"/>
              <w:bottom w:w="0" w:type="dxa"/>
              <w:right w:w="0" w:type="dxa"/>
            </w:tcMar>
            <w:vAlign w:val="center"/>
          </w:tcPr>
          <w:p w14:paraId="44A4F74D" w14:textId="77777777" w:rsidR="00416C47" w:rsidRPr="00A03424"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2"/>
                <w:szCs w:val="12"/>
              </w:rPr>
            </w:pPr>
            <w:r w:rsidRPr="00A03424">
              <w:rPr>
                <w:rFonts w:ascii="Arial" w:hAnsi="Arial" w:cs="Arial"/>
                <w:color w:val="000000"/>
                <w:sz w:val="12"/>
                <w:szCs w:val="12"/>
              </w:rPr>
              <w:t>FLINDERS</w:t>
            </w:r>
          </w:p>
        </w:tc>
        <w:tc>
          <w:tcPr>
            <w:tcW w:w="709" w:type="dxa"/>
            <w:tcBorders>
              <w:top w:val="nil"/>
              <w:left w:val="nil"/>
              <w:bottom w:val="nil"/>
              <w:right w:val="nil"/>
            </w:tcBorders>
            <w:shd w:val="clear" w:color="auto" w:fill="FFFFFF"/>
            <w:tcMar>
              <w:top w:w="0" w:type="dxa"/>
              <w:left w:w="0" w:type="dxa"/>
              <w:bottom w:w="0" w:type="dxa"/>
              <w:right w:w="0" w:type="dxa"/>
            </w:tcMar>
            <w:vAlign w:val="center"/>
          </w:tcPr>
          <w:p w14:paraId="07B00C88"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 xml:space="preserve"> 6.89</w:t>
            </w:r>
          </w:p>
        </w:tc>
        <w:tc>
          <w:tcPr>
            <w:tcW w:w="850" w:type="dxa"/>
            <w:tcBorders>
              <w:top w:val="nil"/>
              <w:left w:val="nil"/>
              <w:bottom w:val="nil"/>
              <w:right w:val="nil"/>
            </w:tcBorders>
            <w:shd w:val="clear" w:color="auto" w:fill="FFFFFF"/>
            <w:tcMar>
              <w:top w:w="0" w:type="dxa"/>
              <w:left w:w="0" w:type="dxa"/>
              <w:bottom w:w="0" w:type="dxa"/>
              <w:right w:w="0" w:type="dxa"/>
            </w:tcMar>
            <w:vAlign w:val="center"/>
          </w:tcPr>
          <w:p w14:paraId="07DD82CB"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Increasing</w:t>
            </w:r>
          </w:p>
        </w:tc>
        <w:tc>
          <w:tcPr>
            <w:tcW w:w="969" w:type="dxa"/>
            <w:tcBorders>
              <w:top w:val="nil"/>
              <w:left w:val="nil"/>
              <w:bottom w:val="nil"/>
              <w:right w:val="nil"/>
            </w:tcBorders>
            <w:shd w:val="clear" w:color="auto" w:fill="FFFFFF"/>
            <w:tcMar>
              <w:top w:w="0" w:type="dxa"/>
              <w:left w:w="0" w:type="dxa"/>
              <w:bottom w:w="0" w:type="dxa"/>
              <w:right w:w="0" w:type="dxa"/>
            </w:tcMar>
            <w:vAlign w:val="center"/>
          </w:tcPr>
          <w:p w14:paraId="57EF60DD"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 xml:space="preserve"> 5.8</w:t>
            </w:r>
          </w:p>
        </w:tc>
        <w:tc>
          <w:tcPr>
            <w:tcW w:w="992" w:type="dxa"/>
            <w:tcBorders>
              <w:top w:val="nil"/>
              <w:left w:val="nil"/>
              <w:bottom w:val="nil"/>
              <w:right w:val="nil"/>
            </w:tcBorders>
            <w:shd w:val="clear" w:color="auto" w:fill="FFFFFF"/>
            <w:tcMar>
              <w:top w:w="0" w:type="dxa"/>
              <w:left w:w="0" w:type="dxa"/>
              <w:bottom w:w="0" w:type="dxa"/>
              <w:right w:w="0" w:type="dxa"/>
            </w:tcMar>
            <w:vAlign w:val="center"/>
          </w:tcPr>
          <w:p w14:paraId="1563E431"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Increasing</w:t>
            </w:r>
          </w:p>
        </w:tc>
        <w:tc>
          <w:tcPr>
            <w:tcW w:w="934" w:type="dxa"/>
            <w:tcBorders>
              <w:top w:val="nil"/>
              <w:left w:val="nil"/>
              <w:bottom w:val="nil"/>
              <w:right w:val="nil"/>
            </w:tcBorders>
            <w:shd w:val="clear" w:color="auto" w:fill="92D050"/>
            <w:tcMar>
              <w:top w:w="0" w:type="dxa"/>
              <w:left w:w="0" w:type="dxa"/>
              <w:bottom w:w="0" w:type="dxa"/>
              <w:right w:w="0" w:type="dxa"/>
            </w:tcMar>
            <w:vAlign w:val="center"/>
          </w:tcPr>
          <w:p w14:paraId="3435E07A"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Increasing</w:t>
            </w:r>
          </w:p>
        </w:tc>
        <w:tc>
          <w:tcPr>
            <w:tcW w:w="767" w:type="dxa"/>
            <w:tcBorders>
              <w:top w:val="nil"/>
              <w:left w:val="nil"/>
              <w:bottom w:val="nil"/>
              <w:right w:val="nil"/>
            </w:tcBorders>
            <w:shd w:val="clear" w:color="auto" w:fill="FFFFFF"/>
            <w:tcMar>
              <w:top w:w="0" w:type="dxa"/>
              <w:left w:w="0" w:type="dxa"/>
              <w:bottom w:w="0" w:type="dxa"/>
              <w:right w:w="0" w:type="dxa"/>
            </w:tcMar>
            <w:vAlign w:val="center"/>
          </w:tcPr>
          <w:p w14:paraId="11F17666" w14:textId="77777777" w:rsidR="00416C47"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eastAsia="Arial" w:hAnsi="Arial" w:cs="Arial"/>
                <w:color w:val="000000"/>
                <w:sz w:val="14"/>
                <w:szCs w:val="14"/>
              </w:rPr>
              <w:t>NA</w:t>
            </w:r>
          </w:p>
        </w:tc>
        <w:tc>
          <w:tcPr>
            <w:tcW w:w="874" w:type="dxa"/>
            <w:tcBorders>
              <w:top w:val="nil"/>
              <w:left w:val="nil"/>
              <w:bottom w:val="nil"/>
              <w:right w:val="nil"/>
            </w:tcBorders>
            <w:shd w:val="clear" w:color="auto" w:fill="92D050"/>
            <w:tcMar>
              <w:top w:w="0" w:type="dxa"/>
              <w:left w:w="0" w:type="dxa"/>
              <w:bottom w:w="0" w:type="dxa"/>
              <w:right w:w="0" w:type="dxa"/>
            </w:tcMar>
            <w:vAlign w:val="center"/>
          </w:tcPr>
          <w:p w14:paraId="7757E4DE" w14:textId="77777777" w:rsidR="00416C47" w:rsidRPr="00A03424"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Increasing</w:t>
            </w:r>
          </w:p>
        </w:tc>
        <w:tc>
          <w:tcPr>
            <w:tcW w:w="1216" w:type="dxa"/>
            <w:tcBorders>
              <w:top w:val="nil"/>
              <w:left w:val="nil"/>
              <w:bottom w:val="nil"/>
              <w:right w:val="nil"/>
            </w:tcBorders>
            <w:shd w:val="clear" w:color="auto" w:fill="FFFFFF"/>
            <w:tcMar>
              <w:top w:w="0" w:type="dxa"/>
              <w:left w:w="0" w:type="dxa"/>
              <w:bottom w:w="0" w:type="dxa"/>
              <w:right w:w="0" w:type="dxa"/>
            </w:tcMar>
            <w:vAlign w:val="center"/>
          </w:tcPr>
          <w:p w14:paraId="01F4133C"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20.5</w:t>
            </w:r>
          </w:p>
        </w:tc>
        <w:tc>
          <w:tcPr>
            <w:tcW w:w="1046" w:type="dxa"/>
            <w:tcBorders>
              <w:top w:val="nil"/>
              <w:left w:val="nil"/>
              <w:bottom w:val="nil"/>
              <w:right w:val="nil"/>
            </w:tcBorders>
            <w:shd w:val="clear" w:color="auto" w:fill="FFFFFF"/>
            <w:tcMar>
              <w:top w:w="0" w:type="dxa"/>
              <w:left w:w="0" w:type="dxa"/>
              <w:bottom w:w="0" w:type="dxa"/>
              <w:right w:w="0" w:type="dxa"/>
            </w:tcMar>
            <w:vAlign w:val="bottom"/>
          </w:tcPr>
          <w:p w14:paraId="0B929E92" w14:textId="4916AFE4"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color w:val="000000"/>
                <w:sz w:val="14"/>
                <w:szCs w:val="14"/>
              </w:rPr>
            </w:pPr>
            <w:r w:rsidRPr="00416C47">
              <w:rPr>
                <w:rFonts w:ascii="Arial" w:hAnsi="Arial" w:cs="Arial"/>
                <w:color w:val="000000"/>
                <w:sz w:val="14"/>
                <w:szCs w:val="14"/>
              </w:rPr>
              <w:t>19.5</w:t>
            </w:r>
          </w:p>
        </w:tc>
        <w:tc>
          <w:tcPr>
            <w:tcW w:w="992" w:type="dxa"/>
            <w:tcBorders>
              <w:top w:val="nil"/>
              <w:left w:val="nil"/>
              <w:bottom w:val="nil"/>
              <w:right w:val="nil"/>
            </w:tcBorders>
            <w:shd w:val="clear" w:color="auto" w:fill="FFFFFF"/>
            <w:tcMar>
              <w:top w:w="0" w:type="dxa"/>
              <w:left w:w="0" w:type="dxa"/>
              <w:bottom w:w="0" w:type="dxa"/>
              <w:right w:w="0" w:type="dxa"/>
            </w:tcMar>
            <w:vAlign w:val="bottom"/>
          </w:tcPr>
          <w:p w14:paraId="12D9FC3E" w14:textId="28F7CB3E"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color w:val="000000"/>
                <w:sz w:val="14"/>
                <w:szCs w:val="14"/>
              </w:rPr>
            </w:pPr>
            <w:r w:rsidRPr="00416C47">
              <w:rPr>
                <w:rFonts w:ascii="Arial" w:hAnsi="Arial" w:cs="Arial"/>
                <w:color w:val="000000"/>
                <w:sz w:val="14"/>
                <w:szCs w:val="14"/>
              </w:rPr>
              <w:t>21.5</w:t>
            </w:r>
          </w:p>
        </w:tc>
      </w:tr>
      <w:tr w:rsidR="00416C47" w14:paraId="4572DCF7" w14:textId="77777777" w:rsidTr="001C16ED">
        <w:trPr>
          <w:jc w:val="center"/>
        </w:trPr>
        <w:tc>
          <w:tcPr>
            <w:tcW w:w="1418" w:type="dxa"/>
            <w:tcBorders>
              <w:top w:val="nil"/>
              <w:left w:val="nil"/>
              <w:bottom w:val="nil"/>
              <w:right w:val="nil"/>
            </w:tcBorders>
            <w:shd w:val="clear" w:color="auto" w:fill="FFFFFF"/>
            <w:tcMar>
              <w:top w:w="0" w:type="dxa"/>
              <w:left w:w="0" w:type="dxa"/>
              <w:bottom w:w="0" w:type="dxa"/>
              <w:right w:w="0" w:type="dxa"/>
            </w:tcMar>
            <w:vAlign w:val="center"/>
          </w:tcPr>
          <w:p w14:paraId="792F5252" w14:textId="77777777" w:rsidR="00416C47" w:rsidRPr="00A03424"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2"/>
                <w:szCs w:val="12"/>
              </w:rPr>
            </w:pPr>
            <w:r w:rsidRPr="00A03424">
              <w:rPr>
                <w:rFonts w:ascii="Arial" w:hAnsi="Arial" w:cs="Arial"/>
                <w:color w:val="000000"/>
                <w:sz w:val="12"/>
                <w:szCs w:val="12"/>
              </w:rPr>
              <w:t>KILCUNDA</w:t>
            </w:r>
          </w:p>
        </w:tc>
        <w:tc>
          <w:tcPr>
            <w:tcW w:w="709" w:type="dxa"/>
            <w:tcBorders>
              <w:top w:val="nil"/>
              <w:left w:val="nil"/>
              <w:bottom w:val="nil"/>
              <w:right w:val="nil"/>
            </w:tcBorders>
            <w:shd w:val="clear" w:color="auto" w:fill="FFFFFF"/>
            <w:tcMar>
              <w:top w:w="0" w:type="dxa"/>
              <w:left w:w="0" w:type="dxa"/>
              <w:bottom w:w="0" w:type="dxa"/>
              <w:right w:w="0" w:type="dxa"/>
            </w:tcMar>
            <w:vAlign w:val="center"/>
          </w:tcPr>
          <w:p w14:paraId="2775FFFD"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-0.77</w:t>
            </w:r>
          </w:p>
        </w:tc>
        <w:tc>
          <w:tcPr>
            <w:tcW w:w="850" w:type="dxa"/>
            <w:tcBorders>
              <w:top w:val="nil"/>
              <w:left w:val="nil"/>
              <w:bottom w:val="nil"/>
              <w:right w:val="nil"/>
            </w:tcBorders>
            <w:shd w:val="clear" w:color="auto" w:fill="FFFFFF"/>
            <w:tcMar>
              <w:top w:w="0" w:type="dxa"/>
              <w:left w:w="0" w:type="dxa"/>
              <w:bottom w:w="0" w:type="dxa"/>
              <w:right w:w="0" w:type="dxa"/>
            </w:tcMar>
            <w:vAlign w:val="center"/>
          </w:tcPr>
          <w:p w14:paraId="74EA4B79"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969" w:type="dxa"/>
            <w:tcBorders>
              <w:top w:val="nil"/>
              <w:left w:val="nil"/>
              <w:bottom w:val="nil"/>
              <w:right w:val="nil"/>
            </w:tcBorders>
            <w:shd w:val="clear" w:color="auto" w:fill="FFFFFF"/>
            <w:tcMar>
              <w:top w:w="0" w:type="dxa"/>
              <w:left w:w="0" w:type="dxa"/>
              <w:bottom w:w="0" w:type="dxa"/>
              <w:right w:w="0" w:type="dxa"/>
            </w:tcMar>
            <w:vAlign w:val="center"/>
          </w:tcPr>
          <w:p w14:paraId="5B5E547F"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-2.2</w:t>
            </w:r>
          </w:p>
        </w:tc>
        <w:tc>
          <w:tcPr>
            <w:tcW w:w="992" w:type="dxa"/>
            <w:tcBorders>
              <w:top w:val="nil"/>
              <w:left w:val="nil"/>
              <w:bottom w:val="nil"/>
              <w:right w:val="nil"/>
            </w:tcBorders>
            <w:shd w:val="clear" w:color="auto" w:fill="FFFFFF"/>
            <w:tcMar>
              <w:top w:w="0" w:type="dxa"/>
              <w:left w:w="0" w:type="dxa"/>
              <w:bottom w:w="0" w:type="dxa"/>
              <w:right w:w="0" w:type="dxa"/>
            </w:tcMar>
            <w:vAlign w:val="center"/>
          </w:tcPr>
          <w:p w14:paraId="4CDC6992"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934" w:type="dxa"/>
            <w:tcBorders>
              <w:top w:val="nil"/>
              <w:left w:val="nil"/>
              <w:bottom w:val="nil"/>
              <w:right w:val="nil"/>
            </w:tcBorders>
            <w:shd w:val="clear" w:color="auto" w:fill="FFFF00"/>
            <w:tcMar>
              <w:top w:w="0" w:type="dxa"/>
              <w:left w:w="0" w:type="dxa"/>
              <w:bottom w:w="0" w:type="dxa"/>
              <w:right w:w="0" w:type="dxa"/>
            </w:tcMar>
            <w:vAlign w:val="center"/>
          </w:tcPr>
          <w:p w14:paraId="3ECAF349"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767" w:type="dxa"/>
            <w:tcBorders>
              <w:top w:val="nil"/>
              <w:left w:val="nil"/>
              <w:bottom w:val="nil"/>
              <w:right w:val="nil"/>
            </w:tcBorders>
            <w:shd w:val="clear" w:color="auto" w:fill="FFFFFF"/>
            <w:tcMar>
              <w:top w:w="0" w:type="dxa"/>
              <w:left w:w="0" w:type="dxa"/>
              <w:bottom w:w="0" w:type="dxa"/>
              <w:right w:w="0" w:type="dxa"/>
            </w:tcMar>
            <w:vAlign w:val="center"/>
          </w:tcPr>
          <w:p w14:paraId="0AE40AEB" w14:textId="77777777" w:rsidR="00416C47"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eastAsia="Arial" w:hAnsi="Arial" w:cs="Arial"/>
                <w:color w:val="000000"/>
                <w:sz w:val="14"/>
                <w:szCs w:val="14"/>
              </w:rPr>
              <w:t>NA</w:t>
            </w:r>
          </w:p>
        </w:tc>
        <w:tc>
          <w:tcPr>
            <w:tcW w:w="874" w:type="dxa"/>
            <w:tcBorders>
              <w:top w:val="nil"/>
              <w:left w:val="nil"/>
              <w:bottom w:val="nil"/>
              <w:right w:val="nil"/>
            </w:tcBorders>
            <w:shd w:val="clear" w:color="auto" w:fill="FFFF00"/>
            <w:tcMar>
              <w:top w:w="0" w:type="dxa"/>
              <w:left w:w="0" w:type="dxa"/>
              <w:bottom w:w="0" w:type="dxa"/>
              <w:right w:w="0" w:type="dxa"/>
            </w:tcMar>
            <w:vAlign w:val="center"/>
          </w:tcPr>
          <w:p w14:paraId="69839337" w14:textId="77777777" w:rsidR="00416C47" w:rsidRPr="00A03424"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1216" w:type="dxa"/>
            <w:tcBorders>
              <w:top w:val="nil"/>
              <w:left w:val="nil"/>
              <w:bottom w:val="nil"/>
              <w:right w:val="nil"/>
            </w:tcBorders>
            <w:shd w:val="clear" w:color="auto" w:fill="FFFFFF"/>
            <w:tcMar>
              <w:top w:w="0" w:type="dxa"/>
              <w:left w:w="0" w:type="dxa"/>
              <w:bottom w:w="0" w:type="dxa"/>
              <w:right w:w="0" w:type="dxa"/>
            </w:tcMar>
            <w:vAlign w:val="center"/>
          </w:tcPr>
          <w:p w14:paraId="77B38782"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9.3</w:t>
            </w:r>
          </w:p>
        </w:tc>
        <w:tc>
          <w:tcPr>
            <w:tcW w:w="1046" w:type="dxa"/>
            <w:tcBorders>
              <w:top w:val="nil"/>
              <w:left w:val="nil"/>
              <w:bottom w:val="nil"/>
              <w:right w:val="nil"/>
            </w:tcBorders>
            <w:shd w:val="clear" w:color="auto" w:fill="FFFFFF"/>
            <w:tcMar>
              <w:top w:w="0" w:type="dxa"/>
              <w:left w:w="0" w:type="dxa"/>
              <w:bottom w:w="0" w:type="dxa"/>
              <w:right w:w="0" w:type="dxa"/>
            </w:tcMar>
            <w:vAlign w:val="bottom"/>
          </w:tcPr>
          <w:p w14:paraId="3D6280F6" w14:textId="4A308C5F"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color w:val="000000"/>
                <w:sz w:val="14"/>
                <w:szCs w:val="14"/>
              </w:rPr>
            </w:pPr>
            <w:r w:rsidRPr="00416C47">
              <w:rPr>
                <w:rFonts w:ascii="Arial" w:hAnsi="Arial" w:cs="Arial"/>
                <w:color w:val="000000"/>
                <w:sz w:val="14"/>
                <w:szCs w:val="14"/>
              </w:rPr>
              <w:t>7.9</w:t>
            </w:r>
          </w:p>
        </w:tc>
        <w:tc>
          <w:tcPr>
            <w:tcW w:w="992" w:type="dxa"/>
            <w:tcBorders>
              <w:top w:val="nil"/>
              <w:left w:val="nil"/>
              <w:bottom w:val="nil"/>
              <w:right w:val="nil"/>
            </w:tcBorders>
            <w:shd w:val="clear" w:color="auto" w:fill="FFFFFF"/>
            <w:tcMar>
              <w:top w:w="0" w:type="dxa"/>
              <w:left w:w="0" w:type="dxa"/>
              <w:bottom w:w="0" w:type="dxa"/>
              <w:right w:w="0" w:type="dxa"/>
            </w:tcMar>
            <w:vAlign w:val="bottom"/>
          </w:tcPr>
          <w:p w14:paraId="06FA253A" w14:textId="07BD1532"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color w:val="000000"/>
                <w:sz w:val="14"/>
                <w:szCs w:val="14"/>
              </w:rPr>
            </w:pPr>
            <w:r w:rsidRPr="00416C47">
              <w:rPr>
                <w:rFonts w:ascii="Arial" w:hAnsi="Arial" w:cs="Arial"/>
                <w:color w:val="000000"/>
                <w:sz w:val="14"/>
                <w:szCs w:val="14"/>
              </w:rPr>
              <w:t>8.8</w:t>
            </w:r>
          </w:p>
        </w:tc>
      </w:tr>
      <w:tr w:rsidR="00416C47" w14:paraId="7F96B003" w14:textId="77777777" w:rsidTr="001C16ED">
        <w:trPr>
          <w:jc w:val="center"/>
        </w:trPr>
        <w:tc>
          <w:tcPr>
            <w:tcW w:w="1418" w:type="dxa"/>
            <w:tcBorders>
              <w:top w:val="nil"/>
              <w:left w:val="nil"/>
              <w:bottom w:val="nil"/>
              <w:right w:val="nil"/>
            </w:tcBorders>
            <w:shd w:val="clear" w:color="auto" w:fill="FFFFFF"/>
            <w:tcMar>
              <w:top w:w="0" w:type="dxa"/>
              <w:left w:w="0" w:type="dxa"/>
              <w:bottom w:w="0" w:type="dxa"/>
              <w:right w:w="0" w:type="dxa"/>
            </w:tcMar>
            <w:vAlign w:val="center"/>
          </w:tcPr>
          <w:p w14:paraId="6293C0BA" w14:textId="77777777" w:rsidR="00416C47" w:rsidRPr="00A03424"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2"/>
                <w:szCs w:val="12"/>
              </w:rPr>
            </w:pPr>
            <w:r w:rsidRPr="00A03424">
              <w:rPr>
                <w:rFonts w:ascii="Arial" w:hAnsi="Arial" w:cs="Arial"/>
                <w:color w:val="000000"/>
                <w:sz w:val="12"/>
                <w:szCs w:val="12"/>
              </w:rPr>
              <w:t>PHILLIP ISLAND</w:t>
            </w:r>
          </w:p>
        </w:tc>
        <w:tc>
          <w:tcPr>
            <w:tcW w:w="709" w:type="dxa"/>
            <w:tcBorders>
              <w:top w:val="nil"/>
              <w:left w:val="nil"/>
              <w:bottom w:val="nil"/>
              <w:right w:val="nil"/>
            </w:tcBorders>
            <w:shd w:val="clear" w:color="auto" w:fill="FFFFFF"/>
            <w:tcMar>
              <w:top w:w="0" w:type="dxa"/>
              <w:left w:w="0" w:type="dxa"/>
              <w:bottom w:w="0" w:type="dxa"/>
              <w:right w:w="0" w:type="dxa"/>
            </w:tcMar>
            <w:vAlign w:val="center"/>
          </w:tcPr>
          <w:p w14:paraId="595586F8"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 xml:space="preserve"> 8.27</w:t>
            </w:r>
          </w:p>
        </w:tc>
        <w:tc>
          <w:tcPr>
            <w:tcW w:w="850" w:type="dxa"/>
            <w:tcBorders>
              <w:top w:val="nil"/>
              <w:left w:val="nil"/>
              <w:bottom w:val="nil"/>
              <w:right w:val="nil"/>
            </w:tcBorders>
            <w:shd w:val="clear" w:color="auto" w:fill="FFFFFF"/>
            <w:tcMar>
              <w:top w:w="0" w:type="dxa"/>
              <w:left w:w="0" w:type="dxa"/>
              <w:bottom w:w="0" w:type="dxa"/>
              <w:right w:w="0" w:type="dxa"/>
            </w:tcMar>
            <w:vAlign w:val="center"/>
          </w:tcPr>
          <w:p w14:paraId="4127CB69"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Increasing</w:t>
            </w:r>
          </w:p>
        </w:tc>
        <w:tc>
          <w:tcPr>
            <w:tcW w:w="969" w:type="dxa"/>
            <w:tcBorders>
              <w:top w:val="nil"/>
              <w:left w:val="nil"/>
              <w:bottom w:val="nil"/>
              <w:right w:val="nil"/>
            </w:tcBorders>
            <w:shd w:val="clear" w:color="auto" w:fill="FFFFFF"/>
            <w:tcMar>
              <w:top w:w="0" w:type="dxa"/>
              <w:left w:w="0" w:type="dxa"/>
              <w:bottom w:w="0" w:type="dxa"/>
              <w:right w:w="0" w:type="dxa"/>
            </w:tcMar>
            <w:vAlign w:val="center"/>
          </w:tcPr>
          <w:p w14:paraId="2EB34387"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 xml:space="preserve"> 4.1</w:t>
            </w:r>
          </w:p>
        </w:tc>
        <w:tc>
          <w:tcPr>
            <w:tcW w:w="992" w:type="dxa"/>
            <w:tcBorders>
              <w:top w:val="nil"/>
              <w:left w:val="nil"/>
              <w:bottom w:val="nil"/>
              <w:right w:val="nil"/>
            </w:tcBorders>
            <w:shd w:val="clear" w:color="auto" w:fill="FFFFFF"/>
            <w:tcMar>
              <w:top w:w="0" w:type="dxa"/>
              <w:left w:w="0" w:type="dxa"/>
              <w:bottom w:w="0" w:type="dxa"/>
              <w:right w:w="0" w:type="dxa"/>
            </w:tcMar>
            <w:vAlign w:val="center"/>
          </w:tcPr>
          <w:p w14:paraId="2E32575A"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934" w:type="dxa"/>
            <w:tcBorders>
              <w:top w:val="nil"/>
              <w:left w:val="nil"/>
              <w:bottom w:val="nil"/>
              <w:right w:val="nil"/>
            </w:tcBorders>
            <w:shd w:val="clear" w:color="auto" w:fill="92D050"/>
            <w:tcMar>
              <w:top w:w="0" w:type="dxa"/>
              <w:left w:w="0" w:type="dxa"/>
              <w:bottom w:w="0" w:type="dxa"/>
              <w:right w:w="0" w:type="dxa"/>
            </w:tcMar>
            <w:vAlign w:val="center"/>
          </w:tcPr>
          <w:p w14:paraId="5C4DF235"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Increasing</w:t>
            </w:r>
          </w:p>
        </w:tc>
        <w:tc>
          <w:tcPr>
            <w:tcW w:w="767" w:type="dxa"/>
            <w:tcBorders>
              <w:top w:val="nil"/>
              <w:left w:val="nil"/>
              <w:bottom w:val="nil"/>
              <w:right w:val="nil"/>
            </w:tcBorders>
            <w:shd w:val="clear" w:color="auto" w:fill="FFFFFF"/>
            <w:tcMar>
              <w:top w:w="0" w:type="dxa"/>
              <w:left w:w="0" w:type="dxa"/>
              <w:bottom w:w="0" w:type="dxa"/>
              <w:right w:w="0" w:type="dxa"/>
            </w:tcMar>
            <w:vAlign w:val="center"/>
          </w:tcPr>
          <w:p w14:paraId="3551C547" w14:textId="77777777" w:rsidR="00416C47"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eastAsia="Arial" w:hAnsi="Arial" w:cs="Arial"/>
                <w:color w:val="000000"/>
                <w:sz w:val="14"/>
                <w:szCs w:val="14"/>
              </w:rPr>
              <w:t>NA</w:t>
            </w:r>
          </w:p>
        </w:tc>
        <w:tc>
          <w:tcPr>
            <w:tcW w:w="874" w:type="dxa"/>
            <w:tcBorders>
              <w:top w:val="nil"/>
              <w:left w:val="nil"/>
              <w:bottom w:val="nil"/>
              <w:right w:val="nil"/>
            </w:tcBorders>
            <w:shd w:val="clear" w:color="auto" w:fill="92D050"/>
            <w:tcMar>
              <w:top w:w="0" w:type="dxa"/>
              <w:left w:w="0" w:type="dxa"/>
              <w:bottom w:w="0" w:type="dxa"/>
              <w:right w:w="0" w:type="dxa"/>
            </w:tcMar>
            <w:vAlign w:val="center"/>
          </w:tcPr>
          <w:p w14:paraId="1D0A0F75" w14:textId="77777777" w:rsidR="00416C47" w:rsidRPr="00A03424"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Increasing</w:t>
            </w:r>
          </w:p>
        </w:tc>
        <w:tc>
          <w:tcPr>
            <w:tcW w:w="1216" w:type="dxa"/>
            <w:tcBorders>
              <w:top w:val="nil"/>
              <w:left w:val="nil"/>
              <w:bottom w:val="nil"/>
              <w:right w:val="nil"/>
            </w:tcBorders>
            <w:shd w:val="clear" w:color="auto" w:fill="FFFFFF"/>
            <w:tcMar>
              <w:top w:w="0" w:type="dxa"/>
              <w:left w:w="0" w:type="dxa"/>
              <w:bottom w:w="0" w:type="dxa"/>
              <w:right w:w="0" w:type="dxa"/>
            </w:tcMar>
            <w:vAlign w:val="center"/>
          </w:tcPr>
          <w:p w14:paraId="25FFCD1A"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34</w:t>
            </w:r>
            <w:r>
              <w:rPr>
                <w:rFonts w:ascii="Arial" w:hAnsi="Arial" w:cs="Arial"/>
                <w:color w:val="000000"/>
                <w:sz w:val="14"/>
                <w:szCs w:val="14"/>
              </w:rPr>
              <w:t>.0</w:t>
            </w:r>
          </w:p>
        </w:tc>
        <w:tc>
          <w:tcPr>
            <w:tcW w:w="1046" w:type="dxa"/>
            <w:tcBorders>
              <w:top w:val="nil"/>
              <w:left w:val="nil"/>
              <w:bottom w:val="nil"/>
              <w:right w:val="nil"/>
            </w:tcBorders>
            <w:shd w:val="clear" w:color="auto" w:fill="FFFFFF"/>
            <w:tcMar>
              <w:top w:w="0" w:type="dxa"/>
              <w:left w:w="0" w:type="dxa"/>
              <w:bottom w:w="0" w:type="dxa"/>
              <w:right w:w="0" w:type="dxa"/>
            </w:tcMar>
            <w:vAlign w:val="bottom"/>
          </w:tcPr>
          <w:p w14:paraId="616C30DD" w14:textId="46647E83"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color w:val="000000"/>
                <w:sz w:val="14"/>
                <w:szCs w:val="14"/>
              </w:rPr>
            </w:pPr>
            <w:r w:rsidRPr="00416C47">
              <w:rPr>
                <w:rFonts w:ascii="Arial" w:hAnsi="Arial" w:cs="Arial"/>
                <w:color w:val="000000"/>
                <w:sz w:val="14"/>
                <w:szCs w:val="14"/>
              </w:rPr>
              <w:t>32.3</w:t>
            </w:r>
          </w:p>
        </w:tc>
        <w:tc>
          <w:tcPr>
            <w:tcW w:w="992" w:type="dxa"/>
            <w:tcBorders>
              <w:top w:val="nil"/>
              <w:left w:val="nil"/>
              <w:bottom w:val="nil"/>
              <w:right w:val="nil"/>
            </w:tcBorders>
            <w:shd w:val="clear" w:color="auto" w:fill="FFFFFF"/>
            <w:tcMar>
              <w:top w:w="0" w:type="dxa"/>
              <w:left w:w="0" w:type="dxa"/>
              <w:bottom w:w="0" w:type="dxa"/>
              <w:right w:w="0" w:type="dxa"/>
            </w:tcMar>
            <w:vAlign w:val="bottom"/>
          </w:tcPr>
          <w:p w14:paraId="0E9B86FF" w14:textId="3E2A80E1"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color w:val="000000"/>
                <w:sz w:val="14"/>
                <w:szCs w:val="14"/>
              </w:rPr>
            </w:pPr>
            <w:r w:rsidRPr="00416C47">
              <w:rPr>
                <w:rFonts w:ascii="Arial" w:hAnsi="Arial" w:cs="Arial"/>
                <w:color w:val="000000"/>
                <w:sz w:val="14"/>
                <w:szCs w:val="14"/>
              </w:rPr>
              <w:t>35.7</w:t>
            </w:r>
          </w:p>
        </w:tc>
      </w:tr>
      <w:tr w:rsidR="00416C47" w14:paraId="1E22C511" w14:textId="77777777" w:rsidTr="001C16ED">
        <w:trPr>
          <w:jc w:val="center"/>
        </w:trPr>
        <w:tc>
          <w:tcPr>
            <w:tcW w:w="1418" w:type="dxa"/>
            <w:tcBorders>
              <w:top w:val="nil"/>
              <w:left w:val="nil"/>
              <w:bottom w:val="nil"/>
              <w:right w:val="nil"/>
            </w:tcBorders>
            <w:shd w:val="clear" w:color="auto" w:fill="FFFFFF"/>
            <w:tcMar>
              <w:top w:w="0" w:type="dxa"/>
              <w:left w:w="0" w:type="dxa"/>
              <w:bottom w:w="0" w:type="dxa"/>
              <w:right w:w="0" w:type="dxa"/>
            </w:tcMar>
            <w:vAlign w:val="center"/>
          </w:tcPr>
          <w:p w14:paraId="52EB58F4" w14:textId="77777777" w:rsidR="00416C47" w:rsidRPr="00A03424"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2"/>
                <w:szCs w:val="12"/>
              </w:rPr>
            </w:pPr>
            <w:r w:rsidRPr="00A03424">
              <w:rPr>
                <w:rFonts w:ascii="Arial" w:hAnsi="Arial" w:cs="Arial"/>
                <w:color w:val="000000"/>
                <w:sz w:val="12"/>
                <w:szCs w:val="12"/>
              </w:rPr>
              <w:t>PROM EASTSIDE</w:t>
            </w:r>
          </w:p>
        </w:tc>
        <w:tc>
          <w:tcPr>
            <w:tcW w:w="709" w:type="dxa"/>
            <w:tcBorders>
              <w:top w:val="nil"/>
              <w:left w:val="nil"/>
              <w:bottom w:val="nil"/>
              <w:right w:val="nil"/>
            </w:tcBorders>
            <w:shd w:val="clear" w:color="auto" w:fill="FFFFFF"/>
            <w:tcMar>
              <w:top w:w="0" w:type="dxa"/>
              <w:left w:w="0" w:type="dxa"/>
              <w:bottom w:w="0" w:type="dxa"/>
              <w:right w:w="0" w:type="dxa"/>
            </w:tcMar>
            <w:vAlign w:val="center"/>
          </w:tcPr>
          <w:p w14:paraId="29C057D7"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 xml:space="preserve"> 2.49</w:t>
            </w:r>
          </w:p>
        </w:tc>
        <w:tc>
          <w:tcPr>
            <w:tcW w:w="850" w:type="dxa"/>
            <w:tcBorders>
              <w:top w:val="nil"/>
              <w:left w:val="nil"/>
              <w:bottom w:val="nil"/>
              <w:right w:val="nil"/>
            </w:tcBorders>
            <w:shd w:val="clear" w:color="auto" w:fill="FFFFFF"/>
            <w:tcMar>
              <w:top w:w="0" w:type="dxa"/>
              <w:left w:w="0" w:type="dxa"/>
              <w:bottom w:w="0" w:type="dxa"/>
              <w:right w:w="0" w:type="dxa"/>
            </w:tcMar>
            <w:vAlign w:val="center"/>
          </w:tcPr>
          <w:p w14:paraId="52F6ACB8"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969" w:type="dxa"/>
            <w:tcBorders>
              <w:top w:val="nil"/>
              <w:left w:val="nil"/>
              <w:bottom w:val="nil"/>
              <w:right w:val="nil"/>
            </w:tcBorders>
            <w:shd w:val="clear" w:color="auto" w:fill="FFFFFF"/>
            <w:tcMar>
              <w:top w:w="0" w:type="dxa"/>
              <w:left w:w="0" w:type="dxa"/>
              <w:bottom w:w="0" w:type="dxa"/>
              <w:right w:w="0" w:type="dxa"/>
            </w:tcMar>
            <w:vAlign w:val="center"/>
          </w:tcPr>
          <w:p w14:paraId="5C4CF1F9"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-0.2</w:t>
            </w:r>
          </w:p>
        </w:tc>
        <w:tc>
          <w:tcPr>
            <w:tcW w:w="992" w:type="dxa"/>
            <w:tcBorders>
              <w:top w:val="nil"/>
              <w:left w:val="nil"/>
              <w:bottom w:val="nil"/>
              <w:right w:val="nil"/>
            </w:tcBorders>
            <w:shd w:val="clear" w:color="auto" w:fill="FFFFFF"/>
            <w:tcMar>
              <w:top w:w="0" w:type="dxa"/>
              <w:left w:w="0" w:type="dxa"/>
              <w:bottom w:w="0" w:type="dxa"/>
              <w:right w:w="0" w:type="dxa"/>
            </w:tcMar>
            <w:vAlign w:val="center"/>
          </w:tcPr>
          <w:p w14:paraId="0EEBC337"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934" w:type="dxa"/>
            <w:tcBorders>
              <w:top w:val="nil"/>
              <w:left w:val="nil"/>
              <w:bottom w:val="nil"/>
              <w:right w:val="nil"/>
            </w:tcBorders>
            <w:shd w:val="clear" w:color="auto" w:fill="FFFF00"/>
            <w:tcMar>
              <w:top w:w="0" w:type="dxa"/>
              <w:left w:w="0" w:type="dxa"/>
              <w:bottom w:w="0" w:type="dxa"/>
              <w:right w:w="0" w:type="dxa"/>
            </w:tcMar>
            <w:vAlign w:val="center"/>
          </w:tcPr>
          <w:p w14:paraId="05ACBBB9"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767" w:type="dxa"/>
            <w:tcBorders>
              <w:top w:val="nil"/>
              <w:left w:val="nil"/>
              <w:bottom w:val="nil"/>
              <w:right w:val="nil"/>
            </w:tcBorders>
            <w:shd w:val="clear" w:color="auto" w:fill="FFFFFF"/>
            <w:tcMar>
              <w:top w:w="0" w:type="dxa"/>
              <w:left w:w="0" w:type="dxa"/>
              <w:bottom w:w="0" w:type="dxa"/>
              <w:right w:w="0" w:type="dxa"/>
            </w:tcMar>
            <w:vAlign w:val="center"/>
          </w:tcPr>
          <w:p w14:paraId="4EAA5829" w14:textId="77777777" w:rsidR="00416C47"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eastAsia="Arial" w:hAnsi="Arial" w:cs="Arial"/>
                <w:color w:val="000000"/>
                <w:sz w:val="14"/>
                <w:szCs w:val="14"/>
              </w:rPr>
              <w:t>NA</w:t>
            </w:r>
          </w:p>
        </w:tc>
        <w:tc>
          <w:tcPr>
            <w:tcW w:w="874" w:type="dxa"/>
            <w:tcBorders>
              <w:top w:val="nil"/>
              <w:left w:val="nil"/>
              <w:bottom w:val="nil"/>
              <w:right w:val="nil"/>
            </w:tcBorders>
            <w:shd w:val="clear" w:color="auto" w:fill="FFFF00"/>
            <w:tcMar>
              <w:top w:w="0" w:type="dxa"/>
              <w:left w:w="0" w:type="dxa"/>
              <w:bottom w:w="0" w:type="dxa"/>
              <w:right w:w="0" w:type="dxa"/>
            </w:tcMar>
            <w:vAlign w:val="center"/>
          </w:tcPr>
          <w:p w14:paraId="78050052" w14:textId="77777777" w:rsidR="00416C47" w:rsidRPr="00A03424"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1216" w:type="dxa"/>
            <w:tcBorders>
              <w:top w:val="nil"/>
              <w:left w:val="nil"/>
              <w:bottom w:val="nil"/>
              <w:right w:val="nil"/>
            </w:tcBorders>
            <w:shd w:val="clear" w:color="auto" w:fill="FFFFFF"/>
            <w:tcMar>
              <w:top w:w="0" w:type="dxa"/>
              <w:left w:w="0" w:type="dxa"/>
              <w:bottom w:w="0" w:type="dxa"/>
              <w:right w:w="0" w:type="dxa"/>
            </w:tcMar>
            <w:vAlign w:val="center"/>
          </w:tcPr>
          <w:p w14:paraId="72EA4B6A"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4.8</w:t>
            </w:r>
          </w:p>
        </w:tc>
        <w:tc>
          <w:tcPr>
            <w:tcW w:w="1046" w:type="dxa"/>
            <w:tcBorders>
              <w:top w:val="nil"/>
              <w:left w:val="nil"/>
              <w:bottom w:val="nil"/>
              <w:right w:val="nil"/>
            </w:tcBorders>
            <w:shd w:val="clear" w:color="auto" w:fill="FFFFFF"/>
            <w:tcMar>
              <w:top w:w="0" w:type="dxa"/>
              <w:left w:w="0" w:type="dxa"/>
              <w:bottom w:w="0" w:type="dxa"/>
              <w:right w:w="0" w:type="dxa"/>
            </w:tcMar>
            <w:vAlign w:val="bottom"/>
          </w:tcPr>
          <w:p w14:paraId="215C04A4" w14:textId="115E8FE0"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color w:val="000000"/>
                <w:sz w:val="14"/>
                <w:szCs w:val="14"/>
              </w:rPr>
            </w:pPr>
            <w:r w:rsidRPr="00416C47">
              <w:rPr>
                <w:rFonts w:ascii="Arial" w:hAnsi="Arial" w:cs="Arial"/>
                <w:color w:val="000000"/>
                <w:sz w:val="14"/>
                <w:szCs w:val="14"/>
              </w:rPr>
              <w:t>4.6</w:t>
            </w:r>
          </w:p>
        </w:tc>
        <w:tc>
          <w:tcPr>
            <w:tcW w:w="992" w:type="dxa"/>
            <w:tcBorders>
              <w:top w:val="nil"/>
              <w:left w:val="nil"/>
              <w:bottom w:val="nil"/>
              <w:right w:val="nil"/>
            </w:tcBorders>
            <w:shd w:val="clear" w:color="auto" w:fill="FFFFFF"/>
            <w:tcMar>
              <w:top w:w="0" w:type="dxa"/>
              <w:left w:w="0" w:type="dxa"/>
              <w:bottom w:w="0" w:type="dxa"/>
              <w:right w:w="0" w:type="dxa"/>
            </w:tcMar>
            <w:vAlign w:val="bottom"/>
          </w:tcPr>
          <w:p w14:paraId="622AC70A" w14:textId="7F525BEE"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color w:val="000000"/>
                <w:sz w:val="14"/>
                <w:szCs w:val="14"/>
              </w:rPr>
            </w:pPr>
            <w:r w:rsidRPr="00416C47">
              <w:rPr>
                <w:rFonts w:ascii="Arial" w:hAnsi="Arial" w:cs="Arial"/>
                <w:color w:val="000000"/>
                <w:sz w:val="14"/>
                <w:szCs w:val="14"/>
              </w:rPr>
              <w:t>5.0</w:t>
            </w:r>
          </w:p>
        </w:tc>
      </w:tr>
      <w:tr w:rsidR="00416C47" w14:paraId="1569AC92" w14:textId="77777777" w:rsidTr="001C16ED">
        <w:trPr>
          <w:jc w:val="center"/>
        </w:trPr>
        <w:tc>
          <w:tcPr>
            <w:tcW w:w="1418" w:type="dxa"/>
            <w:tcBorders>
              <w:top w:val="nil"/>
              <w:left w:val="nil"/>
              <w:bottom w:val="nil"/>
              <w:right w:val="nil"/>
            </w:tcBorders>
            <w:shd w:val="clear" w:color="auto" w:fill="FFFFFF"/>
            <w:tcMar>
              <w:top w:w="0" w:type="dxa"/>
              <w:left w:w="0" w:type="dxa"/>
              <w:bottom w:w="0" w:type="dxa"/>
              <w:right w:w="0" w:type="dxa"/>
            </w:tcMar>
            <w:vAlign w:val="center"/>
          </w:tcPr>
          <w:p w14:paraId="36EEEF5F" w14:textId="77777777" w:rsidR="00416C47" w:rsidRPr="00A03424"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2"/>
                <w:szCs w:val="12"/>
              </w:rPr>
            </w:pPr>
            <w:r w:rsidRPr="00A03424">
              <w:rPr>
                <w:rFonts w:ascii="Arial" w:hAnsi="Arial" w:cs="Arial"/>
                <w:color w:val="000000"/>
                <w:sz w:val="12"/>
                <w:szCs w:val="12"/>
              </w:rPr>
              <w:t>PROM WESTSIDE</w:t>
            </w:r>
          </w:p>
        </w:tc>
        <w:tc>
          <w:tcPr>
            <w:tcW w:w="709" w:type="dxa"/>
            <w:tcBorders>
              <w:top w:val="nil"/>
              <w:left w:val="nil"/>
              <w:bottom w:val="nil"/>
              <w:right w:val="nil"/>
            </w:tcBorders>
            <w:shd w:val="clear" w:color="auto" w:fill="FFFFFF"/>
            <w:tcMar>
              <w:top w:w="0" w:type="dxa"/>
              <w:left w:w="0" w:type="dxa"/>
              <w:bottom w:w="0" w:type="dxa"/>
              <w:right w:w="0" w:type="dxa"/>
            </w:tcMar>
            <w:vAlign w:val="center"/>
          </w:tcPr>
          <w:p w14:paraId="0761F352"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 xml:space="preserve"> 0.67</w:t>
            </w:r>
          </w:p>
        </w:tc>
        <w:tc>
          <w:tcPr>
            <w:tcW w:w="850" w:type="dxa"/>
            <w:tcBorders>
              <w:top w:val="nil"/>
              <w:left w:val="nil"/>
              <w:bottom w:val="nil"/>
              <w:right w:val="nil"/>
            </w:tcBorders>
            <w:shd w:val="clear" w:color="auto" w:fill="FFFFFF"/>
            <w:tcMar>
              <w:top w:w="0" w:type="dxa"/>
              <w:left w:w="0" w:type="dxa"/>
              <w:bottom w:w="0" w:type="dxa"/>
              <w:right w:w="0" w:type="dxa"/>
            </w:tcMar>
            <w:vAlign w:val="center"/>
          </w:tcPr>
          <w:p w14:paraId="53C0422A"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969" w:type="dxa"/>
            <w:tcBorders>
              <w:top w:val="nil"/>
              <w:left w:val="nil"/>
              <w:bottom w:val="nil"/>
              <w:right w:val="nil"/>
            </w:tcBorders>
            <w:shd w:val="clear" w:color="auto" w:fill="FFFFFF"/>
            <w:tcMar>
              <w:top w:w="0" w:type="dxa"/>
              <w:left w:w="0" w:type="dxa"/>
              <w:bottom w:w="0" w:type="dxa"/>
              <w:right w:w="0" w:type="dxa"/>
            </w:tcMar>
            <w:vAlign w:val="center"/>
          </w:tcPr>
          <w:p w14:paraId="11B73A00"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-1.5</w:t>
            </w:r>
          </w:p>
        </w:tc>
        <w:tc>
          <w:tcPr>
            <w:tcW w:w="992" w:type="dxa"/>
            <w:tcBorders>
              <w:top w:val="nil"/>
              <w:left w:val="nil"/>
              <w:bottom w:val="nil"/>
              <w:right w:val="nil"/>
            </w:tcBorders>
            <w:shd w:val="clear" w:color="auto" w:fill="FFFFFF"/>
            <w:tcMar>
              <w:top w:w="0" w:type="dxa"/>
              <w:left w:w="0" w:type="dxa"/>
              <w:bottom w:w="0" w:type="dxa"/>
              <w:right w:w="0" w:type="dxa"/>
            </w:tcMar>
            <w:vAlign w:val="center"/>
          </w:tcPr>
          <w:p w14:paraId="3D38C554"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934" w:type="dxa"/>
            <w:tcBorders>
              <w:top w:val="nil"/>
              <w:left w:val="nil"/>
              <w:bottom w:val="nil"/>
              <w:right w:val="nil"/>
            </w:tcBorders>
            <w:shd w:val="clear" w:color="auto" w:fill="FFFF00"/>
            <w:tcMar>
              <w:top w:w="0" w:type="dxa"/>
              <w:left w:w="0" w:type="dxa"/>
              <w:bottom w:w="0" w:type="dxa"/>
              <w:right w:w="0" w:type="dxa"/>
            </w:tcMar>
            <w:vAlign w:val="center"/>
          </w:tcPr>
          <w:p w14:paraId="45F6EB40"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767" w:type="dxa"/>
            <w:tcBorders>
              <w:top w:val="nil"/>
              <w:left w:val="nil"/>
              <w:bottom w:val="nil"/>
              <w:right w:val="nil"/>
            </w:tcBorders>
            <w:shd w:val="clear" w:color="auto" w:fill="FFFFFF"/>
            <w:tcMar>
              <w:top w:w="0" w:type="dxa"/>
              <w:left w:w="0" w:type="dxa"/>
              <w:bottom w:w="0" w:type="dxa"/>
              <w:right w:w="0" w:type="dxa"/>
            </w:tcMar>
            <w:vAlign w:val="center"/>
          </w:tcPr>
          <w:p w14:paraId="2CABD7E2" w14:textId="77777777" w:rsidR="00416C47"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eastAsia="Arial" w:hAnsi="Arial" w:cs="Arial"/>
                <w:color w:val="000000"/>
                <w:sz w:val="14"/>
                <w:szCs w:val="14"/>
              </w:rPr>
              <w:t>NA</w:t>
            </w:r>
          </w:p>
        </w:tc>
        <w:tc>
          <w:tcPr>
            <w:tcW w:w="874" w:type="dxa"/>
            <w:tcBorders>
              <w:top w:val="nil"/>
              <w:left w:val="nil"/>
              <w:bottom w:val="nil"/>
              <w:right w:val="nil"/>
            </w:tcBorders>
            <w:shd w:val="clear" w:color="auto" w:fill="FFFF00"/>
            <w:tcMar>
              <w:top w:w="0" w:type="dxa"/>
              <w:left w:w="0" w:type="dxa"/>
              <w:bottom w:w="0" w:type="dxa"/>
              <w:right w:w="0" w:type="dxa"/>
            </w:tcMar>
            <w:vAlign w:val="center"/>
          </w:tcPr>
          <w:p w14:paraId="5785C694" w14:textId="77777777" w:rsidR="00416C47" w:rsidRPr="00A03424"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1216" w:type="dxa"/>
            <w:tcBorders>
              <w:top w:val="nil"/>
              <w:left w:val="nil"/>
              <w:bottom w:val="nil"/>
              <w:right w:val="nil"/>
            </w:tcBorders>
            <w:shd w:val="clear" w:color="auto" w:fill="FFFFFF"/>
            <w:tcMar>
              <w:top w:w="0" w:type="dxa"/>
              <w:left w:w="0" w:type="dxa"/>
              <w:bottom w:w="0" w:type="dxa"/>
              <w:right w:w="0" w:type="dxa"/>
            </w:tcMar>
            <w:vAlign w:val="center"/>
          </w:tcPr>
          <w:p w14:paraId="421FEE90"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21</w:t>
            </w:r>
          </w:p>
        </w:tc>
        <w:tc>
          <w:tcPr>
            <w:tcW w:w="1046" w:type="dxa"/>
            <w:tcBorders>
              <w:top w:val="nil"/>
              <w:left w:val="nil"/>
              <w:bottom w:val="nil"/>
              <w:right w:val="nil"/>
            </w:tcBorders>
            <w:shd w:val="clear" w:color="auto" w:fill="FFFFFF"/>
            <w:tcMar>
              <w:top w:w="0" w:type="dxa"/>
              <w:left w:w="0" w:type="dxa"/>
              <w:bottom w:w="0" w:type="dxa"/>
              <w:right w:w="0" w:type="dxa"/>
            </w:tcMar>
            <w:vAlign w:val="bottom"/>
          </w:tcPr>
          <w:p w14:paraId="5E0FD923" w14:textId="5DB20E78"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color w:val="000000"/>
                <w:sz w:val="14"/>
                <w:szCs w:val="14"/>
              </w:rPr>
            </w:pPr>
            <w:r w:rsidRPr="00416C47">
              <w:rPr>
                <w:rFonts w:ascii="Arial" w:hAnsi="Arial" w:cs="Arial"/>
                <w:color w:val="000000"/>
                <w:sz w:val="14"/>
                <w:szCs w:val="14"/>
              </w:rPr>
              <w:t>17.9</w:t>
            </w:r>
          </w:p>
        </w:tc>
        <w:tc>
          <w:tcPr>
            <w:tcW w:w="992" w:type="dxa"/>
            <w:tcBorders>
              <w:top w:val="nil"/>
              <w:left w:val="nil"/>
              <w:bottom w:val="nil"/>
              <w:right w:val="nil"/>
            </w:tcBorders>
            <w:shd w:val="clear" w:color="auto" w:fill="FFFFFF"/>
            <w:tcMar>
              <w:top w:w="0" w:type="dxa"/>
              <w:left w:w="0" w:type="dxa"/>
              <w:bottom w:w="0" w:type="dxa"/>
              <w:right w:w="0" w:type="dxa"/>
            </w:tcMar>
            <w:vAlign w:val="bottom"/>
          </w:tcPr>
          <w:p w14:paraId="2109F0DA" w14:textId="04813FEB"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color w:val="000000"/>
                <w:sz w:val="14"/>
                <w:szCs w:val="14"/>
              </w:rPr>
            </w:pPr>
            <w:r w:rsidRPr="00416C47">
              <w:rPr>
                <w:rFonts w:ascii="Arial" w:hAnsi="Arial" w:cs="Arial"/>
                <w:color w:val="000000"/>
                <w:sz w:val="14"/>
                <w:szCs w:val="14"/>
              </w:rPr>
              <w:t>20.0</w:t>
            </w:r>
          </w:p>
        </w:tc>
      </w:tr>
      <w:tr w:rsidR="00416C47" w14:paraId="7576D2F1" w14:textId="77777777" w:rsidTr="001C16ED">
        <w:trPr>
          <w:jc w:val="center"/>
        </w:trPr>
        <w:tc>
          <w:tcPr>
            <w:tcW w:w="1418" w:type="dxa"/>
            <w:tcBorders>
              <w:top w:val="nil"/>
              <w:left w:val="nil"/>
              <w:bottom w:val="nil"/>
              <w:right w:val="nil"/>
            </w:tcBorders>
            <w:shd w:val="clear" w:color="auto" w:fill="FFFFFF"/>
            <w:tcMar>
              <w:top w:w="0" w:type="dxa"/>
              <w:left w:w="0" w:type="dxa"/>
              <w:bottom w:w="0" w:type="dxa"/>
              <w:right w:w="0" w:type="dxa"/>
            </w:tcMar>
            <w:vAlign w:val="center"/>
          </w:tcPr>
          <w:p w14:paraId="120E1A8F" w14:textId="77777777" w:rsidR="00416C47" w:rsidRPr="00A03424"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2"/>
                <w:szCs w:val="12"/>
              </w:rPr>
            </w:pPr>
            <w:r w:rsidRPr="00A03424">
              <w:rPr>
                <w:rFonts w:ascii="Arial" w:hAnsi="Arial" w:cs="Arial"/>
                <w:color w:val="000000"/>
                <w:sz w:val="12"/>
                <w:szCs w:val="12"/>
              </w:rPr>
              <w:t>SHIPWRECK COAST</w:t>
            </w:r>
          </w:p>
        </w:tc>
        <w:tc>
          <w:tcPr>
            <w:tcW w:w="709" w:type="dxa"/>
            <w:tcBorders>
              <w:top w:val="nil"/>
              <w:left w:val="nil"/>
              <w:bottom w:val="nil"/>
              <w:right w:val="nil"/>
            </w:tcBorders>
            <w:shd w:val="clear" w:color="auto" w:fill="FFFFFF"/>
            <w:tcMar>
              <w:top w:w="0" w:type="dxa"/>
              <w:left w:w="0" w:type="dxa"/>
              <w:bottom w:w="0" w:type="dxa"/>
              <w:right w:w="0" w:type="dxa"/>
            </w:tcMar>
            <w:vAlign w:val="center"/>
          </w:tcPr>
          <w:p w14:paraId="421D984C"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 xml:space="preserve"> 4.98</w:t>
            </w:r>
          </w:p>
        </w:tc>
        <w:tc>
          <w:tcPr>
            <w:tcW w:w="850" w:type="dxa"/>
            <w:tcBorders>
              <w:top w:val="nil"/>
              <w:left w:val="nil"/>
              <w:bottom w:val="nil"/>
              <w:right w:val="nil"/>
            </w:tcBorders>
            <w:shd w:val="clear" w:color="auto" w:fill="FFFFFF"/>
            <w:tcMar>
              <w:top w:w="0" w:type="dxa"/>
              <w:left w:w="0" w:type="dxa"/>
              <w:bottom w:w="0" w:type="dxa"/>
              <w:right w:w="0" w:type="dxa"/>
            </w:tcMar>
            <w:vAlign w:val="center"/>
          </w:tcPr>
          <w:p w14:paraId="046865DE"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969" w:type="dxa"/>
            <w:tcBorders>
              <w:top w:val="nil"/>
              <w:left w:val="nil"/>
              <w:bottom w:val="nil"/>
              <w:right w:val="nil"/>
            </w:tcBorders>
            <w:shd w:val="clear" w:color="auto" w:fill="FFFFFF"/>
            <w:tcMar>
              <w:top w:w="0" w:type="dxa"/>
              <w:left w:w="0" w:type="dxa"/>
              <w:bottom w:w="0" w:type="dxa"/>
              <w:right w:w="0" w:type="dxa"/>
            </w:tcMar>
            <w:vAlign w:val="center"/>
          </w:tcPr>
          <w:p w14:paraId="3418A95A"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 xml:space="preserve"> 1.4</w:t>
            </w:r>
          </w:p>
        </w:tc>
        <w:tc>
          <w:tcPr>
            <w:tcW w:w="992" w:type="dxa"/>
            <w:tcBorders>
              <w:top w:val="nil"/>
              <w:left w:val="nil"/>
              <w:bottom w:val="nil"/>
              <w:right w:val="nil"/>
            </w:tcBorders>
            <w:shd w:val="clear" w:color="auto" w:fill="FFFFFF"/>
            <w:tcMar>
              <w:top w:w="0" w:type="dxa"/>
              <w:left w:w="0" w:type="dxa"/>
              <w:bottom w:w="0" w:type="dxa"/>
              <w:right w:w="0" w:type="dxa"/>
            </w:tcMar>
            <w:vAlign w:val="center"/>
          </w:tcPr>
          <w:p w14:paraId="3125A1E9"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934" w:type="dxa"/>
            <w:tcBorders>
              <w:top w:val="nil"/>
              <w:left w:val="nil"/>
              <w:bottom w:val="nil"/>
              <w:right w:val="nil"/>
            </w:tcBorders>
            <w:shd w:val="clear" w:color="auto" w:fill="FFFF00"/>
            <w:tcMar>
              <w:top w:w="0" w:type="dxa"/>
              <w:left w:w="0" w:type="dxa"/>
              <w:bottom w:w="0" w:type="dxa"/>
              <w:right w:w="0" w:type="dxa"/>
            </w:tcMar>
            <w:vAlign w:val="center"/>
          </w:tcPr>
          <w:p w14:paraId="0BC134AD"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767" w:type="dxa"/>
            <w:tcBorders>
              <w:top w:val="nil"/>
              <w:left w:val="nil"/>
              <w:bottom w:val="nil"/>
              <w:right w:val="nil"/>
            </w:tcBorders>
            <w:shd w:val="clear" w:color="auto" w:fill="FFFFFF"/>
            <w:tcMar>
              <w:top w:w="0" w:type="dxa"/>
              <w:left w:w="0" w:type="dxa"/>
              <w:bottom w:w="0" w:type="dxa"/>
              <w:right w:w="0" w:type="dxa"/>
            </w:tcMar>
            <w:vAlign w:val="center"/>
          </w:tcPr>
          <w:p w14:paraId="0E0E79D6" w14:textId="77777777" w:rsidR="00416C47"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eastAsia="Arial" w:hAnsi="Arial" w:cs="Arial"/>
                <w:color w:val="000000"/>
                <w:sz w:val="14"/>
                <w:szCs w:val="14"/>
              </w:rPr>
              <w:t>NA</w:t>
            </w:r>
          </w:p>
        </w:tc>
        <w:tc>
          <w:tcPr>
            <w:tcW w:w="874" w:type="dxa"/>
            <w:tcBorders>
              <w:top w:val="nil"/>
              <w:left w:val="nil"/>
              <w:bottom w:val="nil"/>
              <w:right w:val="nil"/>
            </w:tcBorders>
            <w:shd w:val="clear" w:color="auto" w:fill="FFFF00"/>
            <w:tcMar>
              <w:top w:w="0" w:type="dxa"/>
              <w:left w:w="0" w:type="dxa"/>
              <w:bottom w:w="0" w:type="dxa"/>
              <w:right w:w="0" w:type="dxa"/>
            </w:tcMar>
            <w:vAlign w:val="center"/>
          </w:tcPr>
          <w:p w14:paraId="5C64C7EE" w14:textId="77777777" w:rsidR="00416C47" w:rsidRPr="00A03424"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1216" w:type="dxa"/>
            <w:tcBorders>
              <w:top w:val="nil"/>
              <w:left w:val="nil"/>
              <w:bottom w:val="nil"/>
              <w:right w:val="nil"/>
            </w:tcBorders>
            <w:shd w:val="clear" w:color="auto" w:fill="FFFFFF"/>
            <w:tcMar>
              <w:top w:w="0" w:type="dxa"/>
              <w:left w:w="0" w:type="dxa"/>
              <w:bottom w:w="0" w:type="dxa"/>
              <w:right w:w="0" w:type="dxa"/>
            </w:tcMar>
            <w:vAlign w:val="center"/>
          </w:tcPr>
          <w:p w14:paraId="2156D05A"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29.2</w:t>
            </w:r>
          </w:p>
        </w:tc>
        <w:tc>
          <w:tcPr>
            <w:tcW w:w="1046" w:type="dxa"/>
            <w:tcBorders>
              <w:top w:val="nil"/>
              <w:left w:val="nil"/>
              <w:bottom w:val="nil"/>
              <w:right w:val="nil"/>
            </w:tcBorders>
            <w:shd w:val="clear" w:color="auto" w:fill="FFFFFF"/>
            <w:tcMar>
              <w:top w:w="0" w:type="dxa"/>
              <w:left w:w="0" w:type="dxa"/>
              <w:bottom w:w="0" w:type="dxa"/>
              <w:right w:w="0" w:type="dxa"/>
            </w:tcMar>
            <w:vAlign w:val="bottom"/>
          </w:tcPr>
          <w:p w14:paraId="1A83CCD6" w14:textId="0BC24CDD"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color w:val="000000"/>
                <w:sz w:val="14"/>
                <w:szCs w:val="14"/>
              </w:rPr>
            </w:pPr>
            <w:r w:rsidRPr="00416C47">
              <w:rPr>
                <w:rFonts w:ascii="Arial" w:hAnsi="Arial" w:cs="Arial"/>
                <w:color w:val="000000"/>
                <w:sz w:val="14"/>
                <w:szCs w:val="14"/>
              </w:rPr>
              <w:t>27.7</w:t>
            </w:r>
          </w:p>
        </w:tc>
        <w:tc>
          <w:tcPr>
            <w:tcW w:w="992" w:type="dxa"/>
            <w:tcBorders>
              <w:top w:val="nil"/>
              <w:left w:val="nil"/>
              <w:bottom w:val="nil"/>
              <w:right w:val="nil"/>
            </w:tcBorders>
            <w:shd w:val="clear" w:color="auto" w:fill="FFFFFF"/>
            <w:tcMar>
              <w:top w:w="0" w:type="dxa"/>
              <w:left w:w="0" w:type="dxa"/>
              <w:bottom w:w="0" w:type="dxa"/>
              <w:right w:w="0" w:type="dxa"/>
            </w:tcMar>
            <w:vAlign w:val="bottom"/>
          </w:tcPr>
          <w:p w14:paraId="4D55F3CD" w14:textId="2BA68AAF"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color w:val="000000"/>
                <w:sz w:val="14"/>
                <w:szCs w:val="14"/>
              </w:rPr>
            </w:pPr>
            <w:r w:rsidRPr="00416C47">
              <w:rPr>
                <w:rFonts w:ascii="Arial" w:hAnsi="Arial" w:cs="Arial"/>
                <w:color w:val="000000"/>
                <w:sz w:val="14"/>
                <w:szCs w:val="14"/>
              </w:rPr>
              <w:t>30.7</w:t>
            </w:r>
          </w:p>
        </w:tc>
      </w:tr>
      <w:tr w:rsidR="00416C47" w14:paraId="06E2267E" w14:textId="77777777" w:rsidTr="001C16ED">
        <w:trPr>
          <w:jc w:val="center"/>
        </w:trPr>
        <w:tc>
          <w:tcPr>
            <w:tcW w:w="1418" w:type="dxa"/>
            <w:tcBorders>
              <w:top w:val="nil"/>
              <w:left w:val="nil"/>
              <w:bottom w:val="single" w:sz="8" w:space="0" w:color="000000"/>
              <w:right w:val="nil"/>
            </w:tcBorders>
            <w:shd w:val="clear" w:color="auto" w:fill="FFFFFF"/>
            <w:tcMar>
              <w:top w:w="0" w:type="dxa"/>
              <w:left w:w="0" w:type="dxa"/>
              <w:bottom w:w="0" w:type="dxa"/>
              <w:right w:w="0" w:type="dxa"/>
            </w:tcMar>
            <w:vAlign w:val="center"/>
          </w:tcPr>
          <w:p w14:paraId="6A874EBA" w14:textId="77777777" w:rsidR="00416C47" w:rsidRPr="00A03424"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2"/>
                <w:szCs w:val="12"/>
              </w:rPr>
            </w:pPr>
            <w:r w:rsidRPr="00A03424">
              <w:rPr>
                <w:rFonts w:ascii="Arial" w:hAnsi="Arial" w:cs="Arial"/>
                <w:color w:val="000000"/>
                <w:sz w:val="12"/>
                <w:szCs w:val="12"/>
              </w:rPr>
              <w:t>SURFCOAST</w:t>
            </w:r>
          </w:p>
        </w:tc>
        <w:tc>
          <w:tcPr>
            <w:tcW w:w="709" w:type="dxa"/>
            <w:tcBorders>
              <w:top w:val="nil"/>
              <w:left w:val="nil"/>
              <w:bottom w:val="single" w:sz="8" w:space="0" w:color="000000"/>
              <w:right w:val="nil"/>
            </w:tcBorders>
            <w:shd w:val="clear" w:color="auto" w:fill="FFFFFF"/>
            <w:tcMar>
              <w:top w:w="0" w:type="dxa"/>
              <w:left w:w="0" w:type="dxa"/>
              <w:bottom w:w="0" w:type="dxa"/>
              <w:right w:w="0" w:type="dxa"/>
            </w:tcMar>
            <w:vAlign w:val="center"/>
          </w:tcPr>
          <w:p w14:paraId="63E4140E"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 xml:space="preserve"> 4.35</w:t>
            </w:r>
          </w:p>
        </w:tc>
        <w:tc>
          <w:tcPr>
            <w:tcW w:w="850" w:type="dxa"/>
            <w:tcBorders>
              <w:top w:val="nil"/>
              <w:left w:val="nil"/>
              <w:bottom w:val="single" w:sz="8" w:space="0" w:color="000000"/>
              <w:right w:val="nil"/>
            </w:tcBorders>
            <w:shd w:val="clear" w:color="auto" w:fill="FFFFFF"/>
            <w:tcMar>
              <w:top w:w="0" w:type="dxa"/>
              <w:left w:w="0" w:type="dxa"/>
              <w:bottom w:w="0" w:type="dxa"/>
              <w:right w:w="0" w:type="dxa"/>
            </w:tcMar>
            <w:vAlign w:val="center"/>
          </w:tcPr>
          <w:p w14:paraId="3FE238CC"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969" w:type="dxa"/>
            <w:tcBorders>
              <w:top w:val="nil"/>
              <w:left w:val="nil"/>
              <w:bottom w:val="single" w:sz="8" w:space="0" w:color="000000"/>
              <w:right w:val="nil"/>
            </w:tcBorders>
            <w:shd w:val="clear" w:color="auto" w:fill="FFFFFF"/>
            <w:tcMar>
              <w:top w:w="0" w:type="dxa"/>
              <w:left w:w="0" w:type="dxa"/>
              <w:bottom w:w="0" w:type="dxa"/>
              <w:right w:w="0" w:type="dxa"/>
            </w:tcMar>
            <w:vAlign w:val="center"/>
          </w:tcPr>
          <w:p w14:paraId="64A9D089"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 xml:space="preserve"> 1.9</w:t>
            </w:r>
          </w:p>
        </w:tc>
        <w:tc>
          <w:tcPr>
            <w:tcW w:w="992" w:type="dxa"/>
            <w:tcBorders>
              <w:top w:val="nil"/>
              <w:left w:val="nil"/>
              <w:bottom w:val="single" w:sz="8" w:space="0" w:color="000000"/>
              <w:right w:val="nil"/>
            </w:tcBorders>
            <w:shd w:val="clear" w:color="auto" w:fill="FFFFFF"/>
            <w:tcMar>
              <w:top w:w="0" w:type="dxa"/>
              <w:left w:w="0" w:type="dxa"/>
              <w:bottom w:w="0" w:type="dxa"/>
              <w:right w:w="0" w:type="dxa"/>
            </w:tcMar>
            <w:vAlign w:val="center"/>
          </w:tcPr>
          <w:p w14:paraId="61B1FD39"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934" w:type="dxa"/>
            <w:tcBorders>
              <w:top w:val="nil"/>
              <w:left w:val="nil"/>
              <w:bottom w:val="single" w:sz="8" w:space="0" w:color="000000"/>
              <w:right w:val="nil"/>
            </w:tcBorders>
            <w:shd w:val="clear" w:color="auto" w:fill="FFFF00"/>
            <w:tcMar>
              <w:top w:w="0" w:type="dxa"/>
              <w:left w:w="0" w:type="dxa"/>
              <w:bottom w:w="0" w:type="dxa"/>
              <w:right w:w="0" w:type="dxa"/>
            </w:tcMar>
            <w:vAlign w:val="center"/>
          </w:tcPr>
          <w:p w14:paraId="044C4B4D"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767" w:type="dxa"/>
            <w:tcBorders>
              <w:top w:val="nil"/>
              <w:left w:val="nil"/>
              <w:bottom w:val="single" w:sz="8" w:space="0" w:color="000000"/>
              <w:right w:val="nil"/>
            </w:tcBorders>
            <w:shd w:val="clear" w:color="auto" w:fill="FFFFFF"/>
            <w:tcMar>
              <w:top w:w="0" w:type="dxa"/>
              <w:left w:w="0" w:type="dxa"/>
              <w:bottom w:w="0" w:type="dxa"/>
              <w:right w:w="0" w:type="dxa"/>
            </w:tcMar>
            <w:vAlign w:val="center"/>
          </w:tcPr>
          <w:p w14:paraId="7DF18968" w14:textId="77777777" w:rsidR="00416C47"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eastAsia="Arial" w:hAnsi="Arial" w:cs="Arial"/>
                <w:color w:val="000000"/>
                <w:sz w:val="14"/>
                <w:szCs w:val="14"/>
              </w:rPr>
              <w:t>NA</w:t>
            </w:r>
          </w:p>
        </w:tc>
        <w:tc>
          <w:tcPr>
            <w:tcW w:w="874" w:type="dxa"/>
            <w:tcBorders>
              <w:top w:val="nil"/>
              <w:left w:val="nil"/>
              <w:bottom w:val="single" w:sz="8" w:space="0" w:color="000000"/>
              <w:right w:val="nil"/>
            </w:tcBorders>
            <w:shd w:val="clear" w:color="auto" w:fill="FFFF00"/>
            <w:tcMar>
              <w:top w:w="0" w:type="dxa"/>
              <w:left w:w="0" w:type="dxa"/>
              <w:bottom w:w="0" w:type="dxa"/>
              <w:right w:w="0" w:type="dxa"/>
            </w:tcMar>
            <w:vAlign w:val="center"/>
          </w:tcPr>
          <w:p w14:paraId="36316314" w14:textId="77777777" w:rsidR="00416C47" w:rsidRPr="00A03424"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Stable</w:t>
            </w:r>
          </w:p>
        </w:tc>
        <w:tc>
          <w:tcPr>
            <w:tcW w:w="1216" w:type="dxa"/>
            <w:tcBorders>
              <w:top w:val="nil"/>
              <w:left w:val="nil"/>
              <w:bottom w:val="single" w:sz="8" w:space="0" w:color="000000"/>
              <w:right w:val="nil"/>
            </w:tcBorders>
            <w:shd w:val="clear" w:color="auto" w:fill="FFFFFF"/>
            <w:tcMar>
              <w:top w:w="0" w:type="dxa"/>
              <w:left w:w="0" w:type="dxa"/>
              <w:bottom w:w="0" w:type="dxa"/>
              <w:right w:w="0" w:type="dxa"/>
            </w:tcMar>
            <w:vAlign w:val="center"/>
          </w:tcPr>
          <w:p w14:paraId="1FB2B954" w14:textId="77777777"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1.7</w:t>
            </w:r>
          </w:p>
        </w:tc>
        <w:tc>
          <w:tcPr>
            <w:tcW w:w="1046" w:type="dxa"/>
            <w:tcBorders>
              <w:top w:val="nil"/>
              <w:left w:val="nil"/>
              <w:bottom w:val="single" w:sz="8" w:space="0" w:color="000000"/>
              <w:right w:val="nil"/>
            </w:tcBorders>
            <w:shd w:val="clear" w:color="auto" w:fill="FFFFFF"/>
            <w:tcMar>
              <w:top w:w="0" w:type="dxa"/>
              <w:left w:w="0" w:type="dxa"/>
              <w:bottom w:w="0" w:type="dxa"/>
              <w:right w:w="0" w:type="dxa"/>
            </w:tcMar>
            <w:vAlign w:val="bottom"/>
          </w:tcPr>
          <w:p w14:paraId="267C94CC" w14:textId="711BDF56"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color w:val="000000"/>
                <w:sz w:val="14"/>
                <w:szCs w:val="14"/>
              </w:rPr>
            </w:pPr>
            <w:r w:rsidRPr="00416C47">
              <w:rPr>
                <w:rFonts w:ascii="Arial" w:hAnsi="Arial" w:cs="Arial"/>
                <w:color w:val="000000"/>
                <w:sz w:val="14"/>
                <w:szCs w:val="14"/>
              </w:rPr>
              <w:t>1.6</w:t>
            </w:r>
          </w:p>
        </w:tc>
        <w:tc>
          <w:tcPr>
            <w:tcW w:w="992" w:type="dxa"/>
            <w:tcBorders>
              <w:top w:val="nil"/>
              <w:left w:val="nil"/>
              <w:bottom w:val="single" w:sz="8" w:space="0" w:color="000000"/>
              <w:right w:val="nil"/>
            </w:tcBorders>
            <w:shd w:val="clear" w:color="auto" w:fill="FFFFFF"/>
            <w:tcMar>
              <w:top w:w="0" w:type="dxa"/>
              <w:left w:w="0" w:type="dxa"/>
              <w:bottom w:w="0" w:type="dxa"/>
              <w:right w:w="0" w:type="dxa"/>
            </w:tcMar>
            <w:vAlign w:val="bottom"/>
          </w:tcPr>
          <w:p w14:paraId="14652250" w14:textId="0EC7F4A6" w:rsidR="00416C47" w:rsidRPr="00192026" w:rsidRDefault="00416C47" w:rsidP="00416C4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color w:val="000000"/>
                <w:sz w:val="14"/>
                <w:szCs w:val="14"/>
              </w:rPr>
            </w:pPr>
            <w:r w:rsidRPr="00416C47">
              <w:rPr>
                <w:rFonts w:ascii="Arial" w:hAnsi="Arial" w:cs="Arial"/>
                <w:color w:val="000000"/>
                <w:sz w:val="14"/>
                <w:szCs w:val="14"/>
              </w:rPr>
              <w:t>1.8</w:t>
            </w:r>
          </w:p>
        </w:tc>
      </w:tr>
      <w:tr w:rsidR="00416C47" w14:paraId="36B47A8A" w14:textId="77777777" w:rsidTr="00CD5C57">
        <w:trPr>
          <w:jc w:val="center"/>
        </w:trPr>
        <w:tc>
          <w:tcPr>
            <w:tcW w:w="1418" w:type="dxa"/>
            <w:tcBorders>
              <w:top w:val="single" w:sz="8" w:space="0" w:color="000000"/>
              <w:left w:val="nil"/>
              <w:bottom w:val="single" w:sz="12" w:space="0" w:color="666666"/>
              <w:right w:val="nil"/>
            </w:tcBorders>
            <w:shd w:val="clear" w:color="auto" w:fill="FFFFFF"/>
            <w:tcMar>
              <w:top w:w="0" w:type="dxa"/>
              <w:left w:w="0" w:type="dxa"/>
              <w:bottom w:w="0" w:type="dxa"/>
              <w:right w:w="0" w:type="dxa"/>
            </w:tcMar>
            <w:vAlign w:val="center"/>
          </w:tcPr>
          <w:p w14:paraId="2CEB5191" w14:textId="77777777" w:rsidR="00416C47" w:rsidRDefault="00416C47" w:rsidP="00CD5C5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eastAsia="Arial" w:hAnsi="Arial" w:cs="Arial"/>
                <w:color w:val="000000"/>
                <w:sz w:val="14"/>
                <w:szCs w:val="14"/>
              </w:rPr>
              <w:t>Total</w:t>
            </w:r>
          </w:p>
        </w:tc>
        <w:tc>
          <w:tcPr>
            <w:tcW w:w="709" w:type="dxa"/>
            <w:tcBorders>
              <w:top w:val="single" w:sz="8" w:space="0" w:color="000000"/>
              <w:left w:val="nil"/>
              <w:bottom w:val="single" w:sz="12" w:space="0" w:color="666666"/>
              <w:right w:val="nil"/>
            </w:tcBorders>
            <w:shd w:val="clear" w:color="auto" w:fill="FFFFFF"/>
            <w:tcMar>
              <w:top w:w="0" w:type="dxa"/>
              <w:left w:w="0" w:type="dxa"/>
              <w:bottom w:w="0" w:type="dxa"/>
              <w:right w:w="0" w:type="dxa"/>
            </w:tcMar>
            <w:vAlign w:val="center"/>
          </w:tcPr>
          <w:p w14:paraId="5AA4FE71" w14:textId="77777777" w:rsidR="00416C47" w:rsidRDefault="00416C47" w:rsidP="00CD5C5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p>
        </w:tc>
        <w:tc>
          <w:tcPr>
            <w:tcW w:w="850" w:type="dxa"/>
            <w:tcBorders>
              <w:top w:val="single" w:sz="8" w:space="0" w:color="000000"/>
              <w:left w:val="nil"/>
              <w:bottom w:val="single" w:sz="12" w:space="0" w:color="666666"/>
              <w:right w:val="nil"/>
            </w:tcBorders>
            <w:shd w:val="clear" w:color="auto" w:fill="FFFFFF"/>
            <w:tcMar>
              <w:top w:w="0" w:type="dxa"/>
              <w:left w:w="0" w:type="dxa"/>
              <w:bottom w:w="0" w:type="dxa"/>
              <w:right w:w="0" w:type="dxa"/>
            </w:tcMar>
            <w:vAlign w:val="center"/>
          </w:tcPr>
          <w:p w14:paraId="06C21BEE" w14:textId="77777777" w:rsidR="00416C47" w:rsidRDefault="00416C47" w:rsidP="00CD5C5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p>
        </w:tc>
        <w:tc>
          <w:tcPr>
            <w:tcW w:w="969" w:type="dxa"/>
            <w:tcBorders>
              <w:top w:val="single" w:sz="8" w:space="0" w:color="000000"/>
              <w:left w:val="nil"/>
              <w:bottom w:val="single" w:sz="12" w:space="0" w:color="666666"/>
              <w:right w:val="nil"/>
            </w:tcBorders>
            <w:shd w:val="clear" w:color="auto" w:fill="FFFFFF"/>
            <w:tcMar>
              <w:top w:w="0" w:type="dxa"/>
              <w:left w:w="0" w:type="dxa"/>
              <w:bottom w:w="0" w:type="dxa"/>
              <w:right w:w="0" w:type="dxa"/>
            </w:tcMar>
            <w:vAlign w:val="center"/>
          </w:tcPr>
          <w:p w14:paraId="5FB63BFF" w14:textId="77777777" w:rsidR="00416C47" w:rsidRDefault="00416C47" w:rsidP="00CD5C5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p>
        </w:tc>
        <w:tc>
          <w:tcPr>
            <w:tcW w:w="992" w:type="dxa"/>
            <w:tcBorders>
              <w:top w:val="single" w:sz="8" w:space="0" w:color="000000"/>
              <w:left w:val="nil"/>
              <w:bottom w:val="single" w:sz="12" w:space="0" w:color="666666"/>
              <w:right w:val="nil"/>
            </w:tcBorders>
            <w:shd w:val="clear" w:color="auto" w:fill="FFFFFF"/>
            <w:tcMar>
              <w:top w:w="0" w:type="dxa"/>
              <w:left w:w="0" w:type="dxa"/>
              <w:bottom w:w="0" w:type="dxa"/>
              <w:right w:w="0" w:type="dxa"/>
            </w:tcMar>
            <w:vAlign w:val="center"/>
          </w:tcPr>
          <w:p w14:paraId="6D288ADD" w14:textId="77777777" w:rsidR="00416C47" w:rsidRDefault="00416C47" w:rsidP="00CD5C5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p>
        </w:tc>
        <w:tc>
          <w:tcPr>
            <w:tcW w:w="934" w:type="dxa"/>
            <w:tcBorders>
              <w:top w:val="single" w:sz="8" w:space="0" w:color="000000"/>
              <w:left w:val="nil"/>
              <w:bottom w:val="single" w:sz="12" w:space="0" w:color="666666"/>
              <w:right w:val="nil"/>
            </w:tcBorders>
            <w:shd w:val="clear" w:color="auto" w:fill="FFFFFF"/>
            <w:tcMar>
              <w:top w:w="0" w:type="dxa"/>
              <w:left w:w="0" w:type="dxa"/>
              <w:bottom w:w="0" w:type="dxa"/>
              <w:right w:w="0" w:type="dxa"/>
            </w:tcMar>
            <w:vAlign w:val="center"/>
          </w:tcPr>
          <w:p w14:paraId="47642956" w14:textId="77777777" w:rsidR="00416C47" w:rsidRDefault="00416C47" w:rsidP="00CD5C5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p>
        </w:tc>
        <w:tc>
          <w:tcPr>
            <w:tcW w:w="767" w:type="dxa"/>
            <w:tcBorders>
              <w:top w:val="single" w:sz="8" w:space="0" w:color="000000"/>
              <w:left w:val="nil"/>
              <w:bottom w:val="single" w:sz="12" w:space="0" w:color="666666"/>
              <w:right w:val="nil"/>
            </w:tcBorders>
            <w:shd w:val="clear" w:color="auto" w:fill="FFFFFF"/>
            <w:tcMar>
              <w:top w:w="0" w:type="dxa"/>
              <w:left w:w="0" w:type="dxa"/>
              <w:bottom w:w="0" w:type="dxa"/>
              <w:right w:w="0" w:type="dxa"/>
            </w:tcMar>
            <w:vAlign w:val="center"/>
          </w:tcPr>
          <w:p w14:paraId="68929531" w14:textId="77777777" w:rsidR="00416C47" w:rsidRDefault="00416C47" w:rsidP="00CD5C5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p>
        </w:tc>
        <w:tc>
          <w:tcPr>
            <w:tcW w:w="874" w:type="dxa"/>
            <w:tcBorders>
              <w:top w:val="single" w:sz="8" w:space="0" w:color="000000"/>
              <w:left w:val="nil"/>
              <w:bottom w:val="single" w:sz="12" w:space="0" w:color="666666"/>
              <w:right w:val="nil"/>
            </w:tcBorders>
            <w:shd w:val="clear" w:color="auto" w:fill="FFFFFF"/>
            <w:tcMar>
              <w:top w:w="0" w:type="dxa"/>
              <w:left w:w="0" w:type="dxa"/>
              <w:bottom w:w="0" w:type="dxa"/>
              <w:right w:w="0" w:type="dxa"/>
            </w:tcMar>
            <w:vAlign w:val="center"/>
          </w:tcPr>
          <w:p w14:paraId="5A72678B" w14:textId="77777777" w:rsidR="00416C47" w:rsidRPr="00A03424" w:rsidRDefault="00416C47" w:rsidP="00CD5C5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p>
        </w:tc>
        <w:tc>
          <w:tcPr>
            <w:tcW w:w="1216" w:type="dxa"/>
            <w:tcBorders>
              <w:top w:val="single" w:sz="8" w:space="0" w:color="000000"/>
              <w:left w:val="nil"/>
              <w:bottom w:val="single" w:sz="12" w:space="0" w:color="666666"/>
              <w:right w:val="nil"/>
            </w:tcBorders>
            <w:shd w:val="clear" w:color="auto" w:fill="FFFFFF"/>
            <w:tcMar>
              <w:top w:w="0" w:type="dxa"/>
              <w:left w:w="0" w:type="dxa"/>
              <w:bottom w:w="0" w:type="dxa"/>
              <w:right w:w="0" w:type="dxa"/>
            </w:tcMar>
            <w:vAlign w:val="bottom"/>
          </w:tcPr>
          <w:p w14:paraId="71FB2B2A" w14:textId="77777777" w:rsidR="00416C47" w:rsidRPr="00192026" w:rsidRDefault="00416C47" w:rsidP="00CD5C5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sidRPr="00192026">
              <w:rPr>
                <w:rFonts w:ascii="Arial" w:hAnsi="Arial" w:cs="Arial"/>
                <w:color w:val="000000"/>
                <w:sz w:val="14"/>
                <w:szCs w:val="14"/>
              </w:rPr>
              <w:t>225.1</w:t>
            </w:r>
          </w:p>
        </w:tc>
        <w:tc>
          <w:tcPr>
            <w:tcW w:w="1046" w:type="dxa"/>
            <w:tcBorders>
              <w:top w:val="single" w:sz="8" w:space="0" w:color="000000"/>
              <w:left w:val="nil"/>
              <w:bottom w:val="single" w:sz="12" w:space="0" w:color="666666"/>
              <w:right w:val="nil"/>
            </w:tcBorders>
            <w:shd w:val="clear" w:color="auto" w:fill="FFFFFF"/>
            <w:tcMar>
              <w:top w:w="0" w:type="dxa"/>
              <w:left w:w="0" w:type="dxa"/>
              <w:bottom w:w="0" w:type="dxa"/>
              <w:right w:w="0" w:type="dxa"/>
            </w:tcMar>
            <w:vAlign w:val="center"/>
          </w:tcPr>
          <w:p w14:paraId="4BB3EB22" w14:textId="7BBF830C" w:rsidR="00416C47" w:rsidRPr="00A03424" w:rsidRDefault="00416C47" w:rsidP="00CD5C5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hAnsi="Arial" w:cs="Arial"/>
                <w:color w:val="000000"/>
                <w:sz w:val="14"/>
                <w:szCs w:val="14"/>
              </w:rPr>
              <w:t>213.0, 218.1</w:t>
            </w:r>
          </w:p>
        </w:tc>
        <w:tc>
          <w:tcPr>
            <w:tcW w:w="992" w:type="dxa"/>
            <w:tcBorders>
              <w:top w:val="single" w:sz="8" w:space="0" w:color="000000"/>
              <w:left w:val="nil"/>
              <w:bottom w:val="single" w:sz="12" w:space="0" w:color="666666"/>
              <w:right w:val="nil"/>
            </w:tcBorders>
            <w:shd w:val="clear" w:color="auto" w:fill="FFFFFF"/>
            <w:tcMar>
              <w:top w:w="0" w:type="dxa"/>
              <w:left w:w="0" w:type="dxa"/>
              <w:bottom w:w="0" w:type="dxa"/>
              <w:right w:w="0" w:type="dxa"/>
            </w:tcMar>
            <w:vAlign w:val="center"/>
          </w:tcPr>
          <w:p w14:paraId="50506160" w14:textId="4A28512F" w:rsidR="00416C47" w:rsidRPr="00A03424" w:rsidRDefault="00416C47" w:rsidP="00CD5C57">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4"/>
                <w:szCs w:val="14"/>
              </w:rPr>
            </w:pPr>
            <w:r>
              <w:rPr>
                <w:rFonts w:ascii="Arial" w:hAnsi="Arial" w:cs="Arial"/>
                <w:color w:val="000000"/>
                <w:sz w:val="14"/>
                <w:szCs w:val="14"/>
              </w:rPr>
              <w:t>240.6, 241.7</w:t>
            </w:r>
          </w:p>
        </w:tc>
      </w:tr>
    </w:tbl>
    <w:p w14:paraId="765DA8D7" w14:textId="77777777" w:rsidR="00495804" w:rsidRDefault="00495804" w:rsidP="00495804"/>
    <w:p w14:paraId="1246D7D9" w14:textId="625799C8" w:rsidR="00416C47" w:rsidRDefault="00416C47" w:rsidP="00416C47">
      <w:pPr>
        <w:spacing w:before="0" w:after="160" w:line="259" w:lineRule="auto"/>
      </w:pPr>
      <w:r>
        <w:t xml:space="preserve">In general, the nominal reference points from VFA (2019b) were more conservative than the standardised reference points. Notably, there were several changes in the standardised reference points this year compared to last due to the application of a new CPUE standardisation model. </w:t>
      </w:r>
    </w:p>
    <w:p w14:paraId="3EC9BC70" w14:textId="41554744" w:rsidR="00416C47" w:rsidRDefault="00416C47" w:rsidP="00416C47">
      <w:pPr>
        <w:spacing w:before="0" w:after="160" w:line="259" w:lineRule="auto"/>
      </w:pPr>
      <w:r>
        <w:lastRenderedPageBreak/>
        <w:t xml:space="preserve">The reference points are calculated based on a reference period between 1979 and 2015 following VFA (2019b). Thus, for the calculation of standardised reference points, a dataset extending back to 1978 was used. In previous </w:t>
      </w:r>
      <w:r w:rsidR="00BF48B3">
        <w:t>Draft Harvest Strategy</w:t>
      </w:r>
      <w:r>
        <w:t xml:space="preserve"> results we have used the standardised CPUE measure from this full dataset to assess against the reference points. However, this has drawn criticism because of difference in the model outputs between the model outputs from the </w:t>
      </w:r>
      <w:r w:rsidR="00BF48B3">
        <w:t>Draft Harvest Strategy</w:t>
      </w:r>
      <w:r>
        <w:t xml:space="preserve"> and Stock Assessment reports. On that basis, in this report we have used only the data considered reliable from 2003 to determine the CPUE performance measure to ensure consistency with stock assessment outputs. This further complicates the interpretation of </w:t>
      </w:r>
      <w:r w:rsidR="00BF48B3">
        <w:t>Draft Harvest Strategy</w:t>
      </w:r>
      <w:r>
        <w:t xml:space="preserve"> results. On this basis, it is recommended that the Performance Indicators should be reviewed prior to the </w:t>
      </w:r>
      <w:r w:rsidR="001A6F5B">
        <w:t>next</w:t>
      </w:r>
      <w:r>
        <w:t xml:space="preserve"> stock assessment, based on an alternative reference period that </w:t>
      </w:r>
      <w:r w:rsidR="001A6F5B">
        <w:t xml:space="preserve">better </w:t>
      </w:r>
      <w:r>
        <w:t xml:space="preserve">reflects stock objectives.  </w:t>
      </w:r>
    </w:p>
    <w:p w14:paraId="0A92C939" w14:textId="77777777" w:rsidR="00FB0A3F" w:rsidRDefault="00FB0A3F">
      <w:pPr>
        <w:pStyle w:val="ListParagraph"/>
        <w:keepNext/>
        <w:keepLines/>
        <w:numPr>
          <w:ilvl w:val="0"/>
          <w:numId w:val="9"/>
        </w:numPr>
        <w:spacing w:before="0" w:after="200"/>
        <w:contextualSpacing w:val="0"/>
        <w:outlineLvl w:val="2"/>
        <w:rPr>
          <w:rFonts w:asciiTheme="majorHAnsi" w:eastAsiaTheme="majorEastAsia" w:hAnsiTheme="majorHAnsi" w:cstheme="majorBidi"/>
          <w:vanish/>
          <w:color w:val="1F4E79" w:themeColor="accent1" w:themeShade="80"/>
          <w:sz w:val="24"/>
          <w:szCs w:val="24"/>
          <w:lang w:val="en-US"/>
        </w:rPr>
      </w:pPr>
      <w:bookmarkStart w:id="133" w:name="_Toc127443350"/>
      <w:bookmarkStart w:id="134" w:name="_Toc127443506"/>
      <w:bookmarkStart w:id="135" w:name="_Toc98418141"/>
      <w:bookmarkStart w:id="136" w:name="_Toc98418710"/>
      <w:bookmarkStart w:id="137" w:name="_Toc160777273"/>
      <w:bookmarkStart w:id="138" w:name="_Toc98418776"/>
      <w:bookmarkStart w:id="139" w:name="_Toc98418579"/>
      <w:bookmarkStart w:id="140" w:name="_Toc98430377"/>
      <w:bookmarkStart w:id="141" w:name="_Toc160718300"/>
      <w:bookmarkStart w:id="142" w:name="_Toc98418502"/>
      <w:bookmarkStart w:id="143" w:name="_Toc128750537"/>
      <w:bookmarkStart w:id="144" w:name="_Toc98410510"/>
      <w:bookmarkStart w:id="145" w:name="_Toc98418206"/>
      <w:bookmarkStart w:id="146" w:name="_Toc128736825"/>
      <w:bookmarkStart w:id="147" w:name="_Toc98418271"/>
      <w:bookmarkStart w:id="148" w:name="_Toc98418839"/>
      <w:bookmarkStart w:id="149" w:name="_Toc98418962"/>
      <w:bookmarkStart w:id="150" w:name="_Toc98419251"/>
      <w:bookmarkStart w:id="151" w:name="_Toc98423734"/>
      <w:bookmarkStart w:id="152" w:name="_Toc161910337"/>
      <w:bookmarkStart w:id="153" w:name="_Toc192575604"/>
      <w:bookmarkStart w:id="154" w:name="_Toc192575758"/>
      <w:bookmarkStart w:id="155" w:name="_Toc192777222"/>
      <w:bookmarkStart w:id="156" w:name="_Toc98408338"/>
      <w:bookmarkStart w:id="157" w:name="cape-otway"/>
      <w:bookmarkStart w:id="158" w:name="large-spatial-management-units"/>
      <w:bookmarkEnd w:id="131"/>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3C3E45F5" w14:textId="77777777" w:rsidR="00FB0A3F" w:rsidRDefault="00FB0A3F">
      <w:pPr>
        <w:pStyle w:val="ListParagraph"/>
        <w:keepNext/>
        <w:keepLines/>
        <w:numPr>
          <w:ilvl w:val="0"/>
          <w:numId w:val="9"/>
        </w:numPr>
        <w:spacing w:before="0" w:after="200"/>
        <w:contextualSpacing w:val="0"/>
        <w:outlineLvl w:val="2"/>
        <w:rPr>
          <w:rFonts w:asciiTheme="majorHAnsi" w:eastAsiaTheme="majorEastAsia" w:hAnsiTheme="majorHAnsi" w:cstheme="majorBidi"/>
          <w:vanish/>
          <w:color w:val="1F4E79" w:themeColor="accent1" w:themeShade="80"/>
          <w:sz w:val="24"/>
          <w:szCs w:val="24"/>
          <w:lang w:val="en-US"/>
        </w:rPr>
      </w:pPr>
      <w:bookmarkStart w:id="159" w:name="_Toc160777274"/>
      <w:bookmarkStart w:id="160" w:name="_Toc160718301"/>
      <w:bookmarkStart w:id="161" w:name="_Toc161910338"/>
      <w:bookmarkStart w:id="162" w:name="_Toc192575605"/>
      <w:bookmarkStart w:id="163" w:name="_Toc192575759"/>
      <w:bookmarkStart w:id="164" w:name="_Toc192777223"/>
      <w:bookmarkEnd w:id="159"/>
      <w:bookmarkEnd w:id="160"/>
      <w:bookmarkEnd w:id="161"/>
      <w:bookmarkEnd w:id="162"/>
      <w:bookmarkEnd w:id="163"/>
      <w:bookmarkEnd w:id="164"/>
    </w:p>
    <w:p w14:paraId="3C0E8EF6" w14:textId="77777777" w:rsidR="00FB0A3F" w:rsidRDefault="00FB0A3F">
      <w:pPr>
        <w:pStyle w:val="ListParagraph"/>
        <w:keepNext/>
        <w:keepLines/>
        <w:numPr>
          <w:ilvl w:val="0"/>
          <w:numId w:val="9"/>
        </w:numPr>
        <w:spacing w:before="0" w:after="200"/>
        <w:contextualSpacing w:val="0"/>
        <w:outlineLvl w:val="2"/>
        <w:rPr>
          <w:rFonts w:asciiTheme="majorHAnsi" w:eastAsiaTheme="majorEastAsia" w:hAnsiTheme="majorHAnsi" w:cstheme="majorBidi"/>
          <w:vanish/>
          <w:color w:val="1F4E79" w:themeColor="accent1" w:themeShade="80"/>
          <w:sz w:val="24"/>
          <w:szCs w:val="24"/>
          <w:lang w:val="en-US"/>
        </w:rPr>
      </w:pPr>
      <w:bookmarkStart w:id="165" w:name="_Toc160718302"/>
      <w:bookmarkStart w:id="166" w:name="_Toc160777275"/>
      <w:bookmarkStart w:id="167" w:name="_Toc161910339"/>
      <w:bookmarkStart w:id="168" w:name="_Toc192575606"/>
      <w:bookmarkStart w:id="169" w:name="_Toc192575760"/>
      <w:bookmarkStart w:id="170" w:name="_Toc192777224"/>
      <w:bookmarkEnd w:id="165"/>
      <w:bookmarkEnd w:id="166"/>
      <w:bookmarkEnd w:id="167"/>
      <w:bookmarkEnd w:id="168"/>
      <w:bookmarkEnd w:id="169"/>
      <w:bookmarkEnd w:id="170"/>
    </w:p>
    <w:p w14:paraId="158F4DBC" w14:textId="77777777" w:rsidR="00FB0A3F" w:rsidRDefault="00FB0A3F">
      <w:pPr>
        <w:pStyle w:val="ListParagraph"/>
        <w:keepNext/>
        <w:keepLines/>
        <w:numPr>
          <w:ilvl w:val="1"/>
          <w:numId w:val="9"/>
        </w:numPr>
        <w:spacing w:before="0" w:after="200"/>
        <w:contextualSpacing w:val="0"/>
        <w:outlineLvl w:val="2"/>
        <w:rPr>
          <w:rFonts w:asciiTheme="majorHAnsi" w:eastAsiaTheme="majorEastAsia" w:hAnsiTheme="majorHAnsi" w:cstheme="majorBidi"/>
          <w:vanish/>
          <w:color w:val="1F4E79" w:themeColor="accent1" w:themeShade="80"/>
          <w:sz w:val="24"/>
          <w:szCs w:val="24"/>
          <w:lang w:val="en-US"/>
        </w:rPr>
      </w:pPr>
      <w:bookmarkStart w:id="171" w:name="_Toc160718303"/>
      <w:bookmarkStart w:id="172" w:name="_Toc160777276"/>
      <w:bookmarkStart w:id="173" w:name="_Toc161910340"/>
      <w:bookmarkStart w:id="174" w:name="_Toc192575607"/>
      <w:bookmarkStart w:id="175" w:name="_Toc192575761"/>
      <w:bookmarkStart w:id="176" w:name="_Toc192777225"/>
      <w:bookmarkEnd w:id="171"/>
      <w:bookmarkEnd w:id="172"/>
      <w:bookmarkEnd w:id="173"/>
      <w:bookmarkEnd w:id="174"/>
      <w:bookmarkEnd w:id="175"/>
      <w:bookmarkEnd w:id="176"/>
    </w:p>
    <w:p w14:paraId="35A5DB05" w14:textId="77777777" w:rsidR="00FB0A3F" w:rsidRDefault="00FB0A3F">
      <w:pPr>
        <w:pStyle w:val="ListParagraph"/>
        <w:keepNext/>
        <w:keepLines/>
        <w:numPr>
          <w:ilvl w:val="1"/>
          <w:numId w:val="9"/>
        </w:numPr>
        <w:spacing w:before="0" w:after="200"/>
        <w:contextualSpacing w:val="0"/>
        <w:outlineLvl w:val="2"/>
        <w:rPr>
          <w:rFonts w:asciiTheme="majorHAnsi" w:eastAsiaTheme="majorEastAsia" w:hAnsiTheme="majorHAnsi" w:cstheme="majorBidi"/>
          <w:vanish/>
          <w:color w:val="1F4E79" w:themeColor="accent1" w:themeShade="80"/>
          <w:sz w:val="24"/>
          <w:szCs w:val="24"/>
          <w:lang w:val="en-US"/>
        </w:rPr>
      </w:pPr>
      <w:bookmarkStart w:id="177" w:name="_Toc160718304"/>
      <w:bookmarkStart w:id="178" w:name="_Toc160777277"/>
      <w:bookmarkStart w:id="179" w:name="_Toc161910341"/>
      <w:bookmarkStart w:id="180" w:name="_Toc192575608"/>
      <w:bookmarkStart w:id="181" w:name="_Toc192575762"/>
      <w:bookmarkStart w:id="182" w:name="_Toc192777226"/>
      <w:bookmarkEnd w:id="177"/>
      <w:bookmarkEnd w:id="178"/>
      <w:bookmarkEnd w:id="179"/>
      <w:bookmarkEnd w:id="180"/>
      <w:bookmarkEnd w:id="181"/>
      <w:bookmarkEnd w:id="182"/>
    </w:p>
    <w:p w14:paraId="36D031B9" w14:textId="77777777" w:rsidR="00FB0A3F" w:rsidRDefault="00FB0A3F">
      <w:pPr>
        <w:pStyle w:val="ListParagraph"/>
        <w:keepNext/>
        <w:keepLines/>
        <w:numPr>
          <w:ilvl w:val="2"/>
          <w:numId w:val="9"/>
        </w:numPr>
        <w:spacing w:before="0" w:after="200"/>
        <w:contextualSpacing w:val="0"/>
        <w:outlineLvl w:val="2"/>
        <w:rPr>
          <w:rFonts w:asciiTheme="majorHAnsi" w:eastAsiaTheme="majorEastAsia" w:hAnsiTheme="majorHAnsi" w:cstheme="majorBidi"/>
          <w:vanish/>
          <w:color w:val="1F4E79" w:themeColor="accent1" w:themeShade="80"/>
          <w:sz w:val="24"/>
          <w:szCs w:val="24"/>
          <w:lang w:val="en-US"/>
        </w:rPr>
      </w:pPr>
      <w:bookmarkStart w:id="183" w:name="_Toc160777278"/>
      <w:bookmarkStart w:id="184" w:name="_Toc160718305"/>
      <w:bookmarkStart w:id="185" w:name="_Toc161910342"/>
      <w:bookmarkStart w:id="186" w:name="_Toc192575609"/>
      <w:bookmarkStart w:id="187" w:name="_Toc192575763"/>
      <w:bookmarkStart w:id="188" w:name="_Toc192777227"/>
      <w:bookmarkEnd w:id="183"/>
      <w:bookmarkEnd w:id="184"/>
      <w:bookmarkEnd w:id="185"/>
      <w:bookmarkEnd w:id="186"/>
      <w:bookmarkEnd w:id="187"/>
      <w:bookmarkEnd w:id="188"/>
    </w:p>
    <w:p w14:paraId="6C10570D" w14:textId="77777777" w:rsidR="00FB0A3F" w:rsidRDefault="00FB0A3F">
      <w:pPr>
        <w:pStyle w:val="ListParagraph"/>
        <w:keepNext/>
        <w:keepLines/>
        <w:numPr>
          <w:ilvl w:val="2"/>
          <w:numId w:val="9"/>
        </w:numPr>
        <w:spacing w:before="0" w:after="200"/>
        <w:contextualSpacing w:val="0"/>
        <w:outlineLvl w:val="2"/>
        <w:rPr>
          <w:rFonts w:asciiTheme="majorHAnsi" w:eastAsiaTheme="majorEastAsia" w:hAnsiTheme="majorHAnsi" w:cstheme="majorBidi"/>
          <w:vanish/>
          <w:color w:val="1F4E79" w:themeColor="accent1" w:themeShade="80"/>
          <w:sz w:val="24"/>
          <w:szCs w:val="24"/>
          <w:lang w:val="en-US"/>
        </w:rPr>
      </w:pPr>
      <w:bookmarkStart w:id="189" w:name="_Toc160777279"/>
      <w:bookmarkStart w:id="190" w:name="_Toc160718306"/>
      <w:bookmarkStart w:id="191" w:name="_Toc161910343"/>
      <w:bookmarkStart w:id="192" w:name="_Toc192575610"/>
      <w:bookmarkStart w:id="193" w:name="_Toc192575764"/>
      <w:bookmarkStart w:id="194" w:name="_Toc192777228"/>
      <w:bookmarkEnd w:id="189"/>
      <w:bookmarkEnd w:id="190"/>
      <w:bookmarkEnd w:id="191"/>
      <w:bookmarkEnd w:id="192"/>
      <w:bookmarkEnd w:id="193"/>
      <w:bookmarkEnd w:id="194"/>
    </w:p>
    <w:p w14:paraId="49E88D8D" w14:textId="77777777" w:rsidR="00FB0A3F" w:rsidRDefault="00FB0A3F">
      <w:pPr>
        <w:pStyle w:val="ListParagraph"/>
        <w:keepNext/>
        <w:keepLines/>
        <w:numPr>
          <w:ilvl w:val="2"/>
          <w:numId w:val="9"/>
        </w:numPr>
        <w:spacing w:before="0" w:after="200"/>
        <w:contextualSpacing w:val="0"/>
        <w:outlineLvl w:val="2"/>
        <w:rPr>
          <w:rFonts w:asciiTheme="majorHAnsi" w:eastAsiaTheme="majorEastAsia" w:hAnsiTheme="majorHAnsi" w:cstheme="majorBidi"/>
          <w:vanish/>
          <w:color w:val="1F4E79" w:themeColor="accent1" w:themeShade="80"/>
          <w:sz w:val="24"/>
          <w:szCs w:val="24"/>
          <w:lang w:val="en-US"/>
        </w:rPr>
      </w:pPr>
      <w:bookmarkStart w:id="195" w:name="_Toc160718307"/>
      <w:bookmarkStart w:id="196" w:name="_Toc160777280"/>
      <w:bookmarkStart w:id="197" w:name="_Toc161910344"/>
      <w:bookmarkStart w:id="198" w:name="_Toc192575611"/>
      <w:bookmarkStart w:id="199" w:name="_Toc192575765"/>
      <w:bookmarkStart w:id="200" w:name="_Toc192777229"/>
      <w:bookmarkEnd w:id="195"/>
      <w:bookmarkEnd w:id="196"/>
      <w:bookmarkEnd w:id="197"/>
      <w:bookmarkEnd w:id="198"/>
      <w:bookmarkEnd w:id="199"/>
      <w:bookmarkEnd w:id="200"/>
    </w:p>
    <w:p w14:paraId="798B2F90" w14:textId="7FBA81E0" w:rsidR="00FB0A3F" w:rsidRDefault="009A7F92">
      <w:pPr>
        <w:pStyle w:val="Heading3"/>
        <w:numPr>
          <w:ilvl w:val="2"/>
          <w:numId w:val="9"/>
        </w:numPr>
        <w:ind w:left="504"/>
      </w:pPr>
      <w:r>
        <w:t xml:space="preserve">   </w:t>
      </w:r>
      <w:bookmarkStart w:id="201" w:name="_Toc192777230"/>
      <w:r>
        <w:t>Cape Otway</w:t>
      </w:r>
      <w:bookmarkEnd w:id="156"/>
      <w:r>
        <w:t xml:space="preserve"> (Large SMU)</w:t>
      </w:r>
      <w:bookmarkEnd w:id="201"/>
    </w:p>
    <w:p w14:paraId="6BACA33E" w14:textId="4EA37260" w:rsidR="00FB0A3F" w:rsidRDefault="00000000">
      <w:r>
        <w:t xml:space="preserve">The Cape Otway SMU was the most important in terms of total catch with </w:t>
      </w:r>
      <w:r w:rsidR="00FF2F21">
        <w:t>47.0</w:t>
      </w:r>
      <w:r>
        <w:t xml:space="preserve"> t harvested in 202</w:t>
      </w:r>
      <w:r w:rsidR="00D2115A">
        <w:t>3</w:t>
      </w:r>
      <w:r>
        <w:t>/2</w:t>
      </w:r>
      <w:r w:rsidR="00D2115A">
        <w:t>4</w:t>
      </w:r>
      <w:r>
        <w:t xml:space="preserve"> representing 2</w:t>
      </w:r>
      <w:r w:rsidR="008D0E2D">
        <w:t>1</w:t>
      </w:r>
      <w:r>
        <w:t xml:space="preserve">.1% of the total catch (Table </w:t>
      </w:r>
      <w:r w:rsidR="001A6F5B">
        <w:t>8</w:t>
      </w:r>
      <w:r>
        <w:t xml:space="preserve">) and TACC (Table 3). </w:t>
      </w:r>
      <w:r w:rsidR="008D0E2D">
        <w:t>The catch</w:t>
      </w:r>
      <w:r>
        <w:t xml:space="preserve"> was </w:t>
      </w:r>
      <w:r w:rsidR="00D2115A">
        <w:t xml:space="preserve">2 t </w:t>
      </w:r>
      <w:r>
        <w:t xml:space="preserve">below the OT of </w:t>
      </w:r>
      <w:r w:rsidR="008D0E2D">
        <w:t>49.0</w:t>
      </w:r>
      <w:r>
        <w:t xml:space="preserve"> t which included carry-over</w:t>
      </w:r>
      <w:r w:rsidR="008D0E2D">
        <w:t xml:space="preserve"> (3.9 t)</w:t>
      </w:r>
      <w:r>
        <w:t xml:space="preserve">. </w:t>
      </w:r>
      <w:r w:rsidR="00192026">
        <w:t xml:space="preserve">Standardised </w:t>
      </w:r>
      <w:r>
        <w:t>CPUE has declined since 2003 by 2</w:t>
      </w:r>
      <w:r w:rsidR="00192026">
        <w:t>4</w:t>
      </w:r>
      <w:r>
        <w:t>%, with a 1</w:t>
      </w:r>
      <w:r w:rsidR="00192026">
        <w:t>5</w:t>
      </w:r>
      <w:r>
        <w:t xml:space="preserve">% reduction observed since 2009 and </w:t>
      </w:r>
      <w:r w:rsidR="00192026">
        <w:t xml:space="preserve">no change </w:t>
      </w:r>
      <w:r>
        <w:t xml:space="preserve">over the last 4 years. </w:t>
      </w:r>
    </w:p>
    <w:p w14:paraId="58FF6C25" w14:textId="196A3B04" w:rsidR="00FB0A3F" w:rsidRDefault="00000000">
      <w:pPr>
        <w:pStyle w:val="TableCaption"/>
      </w:pPr>
      <w:bookmarkStart w:id="202" w:name="_Toc192762276"/>
      <w:r>
        <w:t xml:space="preserve">Table </w:t>
      </w:r>
      <w:r w:rsidR="001A6F5B">
        <w:t>8</w:t>
      </w:r>
      <w:r>
        <w:t xml:space="preserve">: Summary of Catch, Optimal targets and CPUE performance indicators for the Cape Otway SMU. The LML and </w:t>
      </w:r>
      <w:r w:rsidR="00192026">
        <w:t xml:space="preserve">nominal </w:t>
      </w:r>
      <w:r>
        <w:t>mean daily catch are also shown.</w:t>
      </w:r>
      <w:bookmarkEnd w:id="202"/>
      <w:r>
        <w:t xml:space="preserve"> </w:t>
      </w:r>
    </w:p>
    <w:tbl>
      <w:tblPr>
        <w:tblW w:w="9062" w:type="dxa"/>
        <w:jc w:val="center"/>
        <w:tblLayout w:type="fixed"/>
        <w:tblLook w:val="04A0" w:firstRow="1" w:lastRow="0" w:firstColumn="1" w:lastColumn="0" w:noHBand="0" w:noVBand="1"/>
      </w:tblPr>
      <w:tblGrid>
        <w:gridCol w:w="703"/>
        <w:gridCol w:w="572"/>
        <w:gridCol w:w="724"/>
        <w:gridCol w:w="846"/>
        <w:gridCol w:w="831"/>
        <w:gridCol w:w="14"/>
        <w:gridCol w:w="1790"/>
        <w:gridCol w:w="1791"/>
        <w:gridCol w:w="1791"/>
      </w:tblGrid>
      <w:tr w:rsidR="00FB0A3F" w14:paraId="0D3E43BB" w14:textId="77777777">
        <w:trPr>
          <w:cantSplit/>
          <w:trHeight w:val="540"/>
          <w:tblHeader/>
          <w:jc w:val="center"/>
        </w:trPr>
        <w:tc>
          <w:tcPr>
            <w:tcW w:w="3690" w:type="dxa"/>
            <w:gridSpan w:val="6"/>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59E4B390" w14:textId="77777777" w:rsidR="00FB0A3F" w:rsidRDefault="00000000">
            <w:pPr>
              <w:spacing w:before="100" w:after="100"/>
              <w:ind w:left="100" w:right="100"/>
              <w:jc w:val="center"/>
            </w:pPr>
            <w:bookmarkStart w:id="203" w:name="_Hlk118327720"/>
            <w:r>
              <w:rPr>
                <w:rFonts w:ascii="Helvetica" w:eastAsia="Helvetica" w:hAnsi="Helvetica" w:cs="Helvetica"/>
                <w:color w:val="000000"/>
                <w:sz w:val="18"/>
                <w:szCs w:val="18"/>
              </w:rPr>
              <w:t>Catch</w:t>
            </w:r>
          </w:p>
        </w:tc>
        <w:tc>
          <w:tcPr>
            <w:tcW w:w="5372" w:type="dxa"/>
            <w:gridSpan w:val="3"/>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35C97946" w14:textId="633BEB4D" w:rsidR="00FB0A3F" w:rsidRDefault="00192026">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Standardised CPUE Performance Indicators (%change)</w:t>
            </w:r>
          </w:p>
        </w:tc>
      </w:tr>
      <w:tr w:rsidR="00FB0A3F" w14:paraId="617BF960" w14:textId="77777777">
        <w:trPr>
          <w:cantSplit/>
          <w:trHeight w:val="507"/>
          <w:tblHeader/>
          <w:jc w:val="center"/>
        </w:trPr>
        <w:tc>
          <w:tcPr>
            <w:tcW w:w="1275" w:type="dxa"/>
            <w:gridSpan w:val="2"/>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28B9137C" w14:textId="069EE407" w:rsidR="00FB0A3F" w:rsidRDefault="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2023/24</w:t>
            </w:r>
          </w:p>
        </w:tc>
        <w:tc>
          <w:tcPr>
            <w:tcW w:w="241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F2D3883" w14:textId="77777777" w:rsidR="00FB0A3F" w:rsidRDefault="00000000">
            <w:pPr>
              <w:spacing w:before="100" w:after="100"/>
              <w:ind w:left="100" w:right="100"/>
              <w:jc w:val="center"/>
            </w:pPr>
            <w:r>
              <w:rPr>
                <w:rFonts w:ascii="Helvetica" w:eastAsia="Helvetica" w:hAnsi="Helvetica" w:cs="Helvetica"/>
                <w:color w:val="000000"/>
                <w:sz w:val="18"/>
                <w:szCs w:val="18"/>
              </w:rPr>
              <w:t>OT + carryover* (t)</w:t>
            </w: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4DDE9D5" w14:textId="77777777" w:rsidR="00FB0A3F" w:rsidRDefault="00000000">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Long-term</w:t>
            </w:r>
          </w:p>
        </w:tc>
        <w:tc>
          <w:tcPr>
            <w:tcW w:w="179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0606DF7" w14:textId="77777777" w:rsidR="00FB0A3F" w:rsidRDefault="00000000">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Short-term</w:t>
            </w:r>
          </w:p>
        </w:tc>
        <w:tc>
          <w:tcPr>
            <w:tcW w:w="179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E67718C" w14:textId="77777777" w:rsidR="00FB0A3F" w:rsidRDefault="00000000">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Last 4 years</w:t>
            </w:r>
          </w:p>
        </w:tc>
      </w:tr>
      <w:tr w:rsidR="00FB0A3F" w14:paraId="08AA2C07" w14:textId="77777777">
        <w:trPr>
          <w:cantSplit/>
          <w:trHeight w:val="218"/>
          <w:tblHeader/>
          <w:jc w:val="center"/>
        </w:trPr>
        <w:tc>
          <w:tcPr>
            <w:tcW w:w="703"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C1AB8E8" w14:textId="77777777" w:rsidR="00FB0A3F" w:rsidRDefault="00000000">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(t)</w:t>
            </w:r>
          </w:p>
        </w:tc>
        <w:tc>
          <w:tcPr>
            <w:tcW w:w="572"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8347EBC" w14:textId="77777777" w:rsidR="00FB0A3F" w:rsidRDefault="00000000">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w:t>
            </w: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0EEE635" w14:textId="76F2BDF5" w:rsidR="00FB0A3F" w:rsidRDefault="00000000">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w:t>
            </w:r>
            <w:r w:rsidR="00FF2F21">
              <w:rPr>
                <w:rFonts w:ascii="Helvetica" w:eastAsia="Helvetica" w:hAnsi="Helvetica" w:cs="Helvetica"/>
                <w:color w:val="000000"/>
                <w:sz w:val="16"/>
                <w:szCs w:val="16"/>
              </w:rPr>
              <w:t>2</w:t>
            </w:r>
            <w:r>
              <w:rPr>
                <w:rFonts w:ascii="Helvetica" w:eastAsia="Helvetica" w:hAnsi="Helvetica" w:cs="Helvetica"/>
                <w:color w:val="000000"/>
                <w:sz w:val="16"/>
                <w:szCs w:val="16"/>
              </w:rPr>
              <w:t>/2</w:t>
            </w:r>
            <w:r w:rsidR="00FF2F21">
              <w:rPr>
                <w:rFonts w:ascii="Helvetica" w:eastAsia="Helvetica" w:hAnsi="Helvetica" w:cs="Helvetica"/>
                <w:color w:val="000000"/>
                <w:sz w:val="16"/>
                <w:szCs w:val="16"/>
              </w:rPr>
              <w:t>3</w:t>
            </w:r>
          </w:p>
        </w:tc>
        <w:tc>
          <w:tcPr>
            <w:tcW w:w="84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8027F62" w14:textId="30E36CCA" w:rsidR="00FB0A3F" w:rsidRDefault="00000000">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w:t>
            </w:r>
            <w:r w:rsidR="00FF2F21">
              <w:rPr>
                <w:rFonts w:ascii="Helvetica" w:eastAsia="Helvetica" w:hAnsi="Helvetica" w:cs="Helvetica"/>
                <w:color w:val="000000"/>
                <w:sz w:val="16"/>
                <w:szCs w:val="16"/>
              </w:rPr>
              <w:t>3</w:t>
            </w:r>
            <w:r>
              <w:rPr>
                <w:rFonts w:ascii="Helvetica" w:eastAsia="Helvetica" w:hAnsi="Helvetica" w:cs="Helvetica"/>
                <w:color w:val="000000"/>
                <w:sz w:val="16"/>
                <w:szCs w:val="16"/>
              </w:rPr>
              <w:t>/2</w:t>
            </w:r>
            <w:r w:rsidR="00FF2F21">
              <w:rPr>
                <w:rFonts w:ascii="Helvetica" w:eastAsia="Helvetica" w:hAnsi="Helvetica" w:cs="Helvetica"/>
                <w:color w:val="000000"/>
                <w:sz w:val="16"/>
                <w:szCs w:val="16"/>
              </w:rPr>
              <w:t>4</w:t>
            </w:r>
          </w:p>
        </w:tc>
        <w:tc>
          <w:tcPr>
            <w:tcW w:w="845"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32DD9D75" w14:textId="2F361156" w:rsidR="00FB0A3F" w:rsidRDefault="00000000">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w:t>
            </w:r>
            <w:r w:rsidR="00FF2F21">
              <w:rPr>
                <w:rFonts w:ascii="Helvetica" w:eastAsia="Helvetica" w:hAnsi="Helvetica" w:cs="Helvetica"/>
                <w:color w:val="000000"/>
                <w:sz w:val="16"/>
                <w:szCs w:val="16"/>
              </w:rPr>
              <w:t>4</w:t>
            </w:r>
            <w:r>
              <w:rPr>
                <w:rFonts w:ascii="Helvetica" w:eastAsia="Helvetica" w:hAnsi="Helvetica" w:cs="Helvetica"/>
                <w:color w:val="000000"/>
                <w:sz w:val="16"/>
                <w:szCs w:val="16"/>
              </w:rPr>
              <w:t>/2</w:t>
            </w:r>
            <w:r w:rsidR="00FF2F21">
              <w:rPr>
                <w:rFonts w:ascii="Helvetica" w:eastAsia="Helvetica" w:hAnsi="Helvetica" w:cs="Helvetica"/>
                <w:color w:val="000000"/>
                <w:sz w:val="16"/>
                <w:szCs w:val="16"/>
              </w:rPr>
              <w:t>5</w:t>
            </w: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AEE5696" w14:textId="343FBB92" w:rsidR="00FB0A3F" w:rsidRDefault="00000000">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2003/04 – 202</w:t>
            </w:r>
            <w:r w:rsidR="00FF2F21">
              <w:rPr>
                <w:rFonts w:ascii="Helvetica" w:eastAsia="Helvetica" w:hAnsi="Helvetica" w:cs="Helvetica"/>
                <w:color w:val="000000"/>
                <w:sz w:val="16"/>
                <w:szCs w:val="16"/>
              </w:rPr>
              <w:t>3</w:t>
            </w:r>
            <w:r>
              <w:rPr>
                <w:rFonts w:ascii="Helvetica" w:eastAsia="Helvetica" w:hAnsi="Helvetica" w:cs="Helvetica"/>
                <w:color w:val="000000"/>
                <w:sz w:val="16"/>
                <w:szCs w:val="16"/>
              </w:rPr>
              <w:t>/2</w:t>
            </w:r>
            <w:r w:rsidR="00FF2F21">
              <w:rPr>
                <w:rFonts w:ascii="Helvetica" w:eastAsia="Helvetica" w:hAnsi="Helvetica" w:cs="Helvetica"/>
                <w:color w:val="000000"/>
                <w:sz w:val="16"/>
                <w:szCs w:val="16"/>
              </w:rPr>
              <w:t>4</w:t>
            </w:r>
          </w:p>
        </w:tc>
        <w:tc>
          <w:tcPr>
            <w:tcW w:w="179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47CA477" w14:textId="60B8AFAF" w:rsidR="00FB0A3F" w:rsidRDefault="00000000">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2009/10 – 202</w:t>
            </w:r>
            <w:r w:rsidR="00FF2F21">
              <w:rPr>
                <w:rFonts w:ascii="Helvetica" w:eastAsia="Helvetica" w:hAnsi="Helvetica" w:cs="Helvetica"/>
                <w:color w:val="000000"/>
                <w:sz w:val="16"/>
                <w:szCs w:val="16"/>
              </w:rPr>
              <w:t>3</w:t>
            </w:r>
            <w:r>
              <w:rPr>
                <w:rFonts w:ascii="Helvetica" w:eastAsia="Helvetica" w:hAnsi="Helvetica" w:cs="Helvetica"/>
                <w:color w:val="000000"/>
                <w:sz w:val="16"/>
                <w:szCs w:val="16"/>
              </w:rPr>
              <w:t>/2</w:t>
            </w:r>
            <w:r w:rsidR="00FF2F21">
              <w:rPr>
                <w:rFonts w:ascii="Helvetica" w:eastAsia="Helvetica" w:hAnsi="Helvetica" w:cs="Helvetica"/>
                <w:color w:val="000000"/>
                <w:sz w:val="16"/>
                <w:szCs w:val="16"/>
              </w:rPr>
              <w:t>4</w:t>
            </w:r>
          </w:p>
        </w:tc>
        <w:tc>
          <w:tcPr>
            <w:tcW w:w="179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CBE3954" w14:textId="474A13A6" w:rsidR="00FB0A3F" w:rsidRDefault="00000000">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20</w:t>
            </w:r>
            <w:r w:rsidR="00FF2F21">
              <w:rPr>
                <w:rFonts w:ascii="Helvetica" w:eastAsia="Helvetica" w:hAnsi="Helvetica" w:cs="Helvetica"/>
                <w:color w:val="000000"/>
                <w:sz w:val="16"/>
                <w:szCs w:val="16"/>
              </w:rPr>
              <w:t>20</w:t>
            </w:r>
            <w:r>
              <w:rPr>
                <w:rFonts w:ascii="Helvetica" w:eastAsia="Helvetica" w:hAnsi="Helvetica" w:cs="Helvetica"/>
                <w:color w:val="000000"/>
                <w:sz w:val="16"/>
                <w:szCs w:val="16"/>
              </w:rPr>
              <w:t>/</w:t>
            </w:r>
            <w:r w:rsidR="00FF2F21">
              <w:rPr>
                <w:rFonts w:ascii="Helvetica" w:eastAsia="Helvetica" w:hAnsi="Helvetica" w:cs="Helvetica"/>
                <w:color w:val="000000"/>
                <w:sz w:val="16"/>
                <w:szCs w:val="16"/>
              </w:rPr>
              <w:t>21</w:t>
            </w:r>
            <w:r>
              <w:rPr>
                <w:rFonts w:ascii="Helvetica" w:eastAsia="Helvetica" w:hAnsi="Helvetica" w:cs="Helvetica"/>
                <w:color w:val="000000"/>
                <w:sz w:val="16"/>
                <w:szCs w:val="16"/>
              </w:rPr>
              <w:t xml:space="preserve"> – 202</w:t>
            </w:r>
            <w:r w:rsidR="00FF2F21">
              <w:rPr>
                <w:rFonts w:ascii="Helvetica" w:eastAsia="Helvetica" w:hAnsi="Helvetica" w:cs="Helvetica"/>
                <w:color w:val="000000"/>
                <w:sz w:val="16"/>
                <w:szCs w:val="16"/>
              </w:rPr>
              <w:t>3</w:t>
            </w:r>
            <w:r>
              <w:rPr>
                <w:rFonts w:ascii="Helvetica" w:eastAsia="Helvetica" w:hAnsi="Helvetica" w:cs="Helvetica"/>
                <w:color w:val="000000"/>
                <w:sz w:val="16"/>
                <w:szCs w:val="16"/>
              </w:rPr>
              <w:t>/2</w:t>
            </w:r>
            <w:r w:rsidR="00FF2F21">
              <w:rPr>
                <w:rFonts w:ascii="Helvetica" w:eastAsia="Helvetica" w:hAnsi="Helvetica" w:cs="Helvetica"/>
                <w:color w:val="000000"/>
                <w:sz w:val="16"/>
                <w:szCs w:val="16"/>
              </w:rPr>
              <w:t>4</w:t>
            </w:r>
          </w:p>
        </w:tc>
      </w:tr>
      <w:tr w:rsidR="00FF2F21" w14:paraId="4AB13C60" w14:textId="77777777">
        <w:trPr>
          <w:cantSplit/>
          <w:jc w:val="center"/>
        </w:trPr>
        <w:tc>
          <w:tcPr>
            <w:tcW w:w="703"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0367BA39" w14:textId="2636175C" w:rsidR="00FF2F21" w:rsidRDefault="00FF2F21" w:rsidP="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47.0</w:t>
            </w:r>
          </w:p>
        </w:tc>
        <w:tc>
          <w:tcPr>
            <w:tcW w:w="572"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3D5FE098" w14:textId="7B3EDD80" w:rsidR="00FF2F21" w:rsidRDefault="00FF2F21" w:rsidP="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21.1</w:t>
            </w:r>
          </w:p>
        </w:tc>
        <w:tc>
          <w:tcPr>
            <w:tcW w:w="724"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237F06D" w14:textId="70147804" w:rsidR="00FF2F21" w:rsidRDefault="00FF2F21" w:rsidP="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57.9*</w:t>
            </w:r>
          </w:p>
        </w:tc>
        <w:tc>
          <w:tcPr>
            <w:tcW w:w="846" w:type="dxa"/>
            <w:tcBorders>
              <w:left w:val="single" w:sz="8" w:space="0" w:color="000000"/>
              <w:bottom w:val="single" w:sz="8" w:space="0" w:color="000000"/>
              <w:right w:val="single" w:sz="8" w:space="0" w:color="000000"/>
            </w:tcBorders>
            <w:shd w:val="clear" w:color="auto" w:fill="auto"/>
          </w:tcPr>
          <w:p w14:paraId="570F4AD5" w14:textId="5C4D26B7" w:rsidR="00FF2F21" w:rsidRDefault="00FF2F21" w:rsidP="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49.0*</w:t>
            </w:r>
          </w:p>
        </w:tc>
        <w:tc>
          <w:tcPr>
            <w:tcW w:w="845" w:type="dxa"/>
            <w:gridSpan w:val="2"/>
            <w:tcBorders>
              <w:left w:val="single" w:sz="8" w:space="0" w:color="000000"/>
              <w:bottom w:val="single" w:sz="8" w:space="0" w:color="000000"/>
              <w:right w:val="single" w:sz="8" w:space="0" w:color="000000"/>
            </w:tcBorders>
            <w:shd w:val="clear" w:color="auto" w:fill="auto"/>
          </w:tcPr>
          <w:p w14:paraId="00B6A0EE" w14:textId="7496C829" w:rsidR="00FF2F21" w:rsidRDefault="009C295D" w:rsidP="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49</w:t>
            </w: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9486BE0" w14:textId="7A45BA99" w:rsidR="00FF2F21" w:rsidRDefault="00FF2F21" w:rsidP="00FF2F21">
            <w:pPr>
              <w:spacing w:before="100" w:after="100"/>
              <w:ind w:left="100" w:right="100"/>
              <w:jc w:val="center"/>
              <w:rPr>
                <w:rFonts w:ascii="Helvetica" w:eastAsia="Helvetica" w:hAnsi="Helvetica" w:cs="Helvetica"/>
                <w:color w:val="FF0000"/>
                <w:sz w:val="18"/>
                <w:szCs w:val="18"/>
              </w:rPr>
            </w:pPr>
            <w:r w:rsidRPr="00192026">
              <w:rPr>
                <w:rFonts w:ascii="Arial" w:eastAsia="Arial" w:hAnsi="Arial" w:cs="Arial"/>
                <w:color w:val="000000" w:themeColor="text1"/>
                <w:sz w:val="18"/>
                <w:szCs w:val="18"/>
              </w:rPr>
              <w:t>-2</w:t>
            </w:r>
            <w:r w:rsidR="00192026" w:rsidRPr="00192026">
              <w:rPr>
                <w:rFonts w:ascii="Arial" w:eastAsia="Arial" w:hAnsi="Arial" w:cs="Arial"/>
                <w:color w:val="000000" w:themeColor="text1"/>
                <w:sz w:val="18"/>
                <w:szCs w:val="18"/>
              </w:rPr>
              <w:t>4</w:t>
            </w:r>
          </w:p>
        </w:tc>
        <w:tc>
          <w:tcPr>
            <w:tcW w:w="179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A5F7107" w14:textId="0C1E234A" w:rsidR="00FF2F21" w:rsidRDefault="00FF2F21" w:rsidP="00FF2F21">
            <w:pPr>
              <w:spacing w:before="100" w:after="100"/>
              <w:ind w:left="100" w:right="100"/>
              <w:jc w:val="center"/>
              <w:rPr>
                <w:rFonts w:ascii="Helvetica" w:eastAsia="Helvetica" w:hAnsi="Helvetica" w:cs="Helvetica"/>
                <w:color w:val="000000"/>
                <w:sz w:val="18"/>
                <w:szCs w:val="18"/>
              </w:rPr>
            </w:pPr>
            <w:r>
              <w:rPr>
                <w:rFonts w:ascii="Arial" w:eastAsia="Arial" w:hAnsi="Arial" w:cs="Arial"/>
                <w:color w:val="000000"/>
                <w:sz w:val="18"/>
                <w:szCs w:val="18"/>
              </w:rPr>
              <w:t>-1</w:t>
            </w:r>
            <w:r w:rsidR="00192026">
              <w:rPr>
                <w:rFonts w:ascii="Arial" w:eastAsia="Arial" w:hAnsi="Arial" w:cs="Arial"/>
                <w:color w:val="000000"/>
                <w:sz w:val="18"/>
                <w:szCs w:val="18"/>
              </w:rPr>
              <w:t>5</w:t>
            </w:r>
          </w:p>
        </w:tc>
        <w:tc>
          <w:tcPr>
            <w:tcW w:w="1791" w:type="dxa"/>
            <w:tcBorders>
              <w:top w:val="single" w:sz="8" w:space="0" w:color="000000"/>
              <w:left w:val="single" w:sz="8" w:space="0" w:color="000000"/>
              <w:bottom w:val="single" w:sz="8" w:space="0" w:color="000000"/>
              <w:right w:val="single" w:sz="8" w:space="0" w:color="000000"/>
            </w:tcBorders>
            <w:shd w:val="clear" w:color="auto" w:fill="FFFFFF"/>
          </w:tcPr>
          <w:p w14:paraId="6A7FFA46" w14:textId="6E01DCCB" w:rsidR="00FF2F21" w:rsidRDefault="00192026" w:rsidP="00FF2F21">
            <w:pPr>
              <w:spacing w:before="100" w:after="100"/>
              <w:ind w:left="100" w:right="100"/>
              <w:jc w:val="center"/>
              <w:rPr>
                <w:rFonts w:ascii="Helvetica" w:eastAsia="Helvetica" w:hAnsi="Helvetica" w:cs="Helvetica"/>
                <w:color w:val="000000"/>
                <w:sz w:val="18"/>
                <w:szCs w:val="18"/>
              </w:rPr>
            </w:pPr>
            <w:r>
              <w:rPr>
                <w:rFonts w:ascii="Arial" w:eastAsia="Arial" w:hAnsi="Arial" w:cs="Arial"/>
                <w:color w:val="000000"/>
                <w:sz w:val="18"/>
                <w:szCs w:val="18"/>
              </w:rPr>
              <w:t>0</w:t>
            </w:r>
          </w:p>
        </w:tc>
      </w:tr>
      <w:tr w:rsidR="00FB0A3F" w14:paraId="3CC3D5A7" w14:textId="77777777" w:rsidTr="00947B63">
        <w:trPr>
          <w:cantSplit/>
          <w:jc w:val="center"/>
        </w:trPr>
        <w:tc>
          <w:tcPr>
            <w:tcW w:w="3676" w:type="dxa"/>
            <w:gridSpan w:val="5"/>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0C660CC3" w14:textId="41B0CEA8" w:rsidR="00FB0A3F" w:rsidRDefault="00000000">
            <w:pPr>
              <w:spacing w:before="100" w:after="100"/>
              <w:ind w:left="100" w:right="100"/>
              <w:jc w:val="center"/>
              <w:rPr>
                <w:rFonts w:ascii="Helvetica" w:eastAsia="Helvetica" w:hAnsi="Helvetica" w:cs="Helvetica"/>
                <w:color w:val="000000"/>
                <w:sz w:val="18"/>
                <w:szCs w:val="18"/>
              </w:rPr>
            </w:pPr>
            <w:bookmarkStart w:id="204" w:name="_Hlk149156727"/>
            <w:r>
              <w:rPr>
                <w:rFonts w:ascii="Helvetica" w:eastAsia="Helvetica" w:hAnsi="Helvetica" w:cs="Helvetica"/>
                <w:color w:val="000000"/>
                <w:sz w:val="18"/>
                <w:szCs w:val="18"/>
              </w:rPr>
              <w:t>LML 202</w:t>
            </w:r>
            <w:r w:rsidR="00FF2F21">
              <w:rPr>
                <w:rFonts w:ascii="Helvetica" w:eastAsia="Helvetica" w:hAnsi="Helvetica" w:cs="Helvetica"/>
                <w:color w:val="000000"/>
                <w:sz w:val="18"/>
                <w:szCs w:val="18"/>
              </w:rPr>
              <w:t>3</w:t>
            </w:r>
            <w:r>
              <w:rPr>
                <w:rFonts w:ascii="Helvetica" w:eastAsia="Helvetica" w:hAnsi="Helvetica" w:cs="Helvetica"/>
                <w:color w:val="000000"/>
                <w:sz w:val="18"/>
                <w:szCs w:val="18"/>
              </w:rPr>
              <w:t>/2</w:t>
            </w:r>
            <w:r w:rsidR="00FF2F21">
              <w:rPr>
                <w:rFonts w:ascii="Helvetica" w:eastAsia="Helvetica" w:hAnsi="Helvetica" w:cs="Helvetica"/>
                <w:color w:val="000000"/>
                <w:sz w:val="18"/>
                <w:szCs w:val="18"/>
              </w:rPr>
              <w:t>4</w:t>
            </w:r>
            <w:r>
              <w:rPr>
                <w:rFonts w:ascii="Helvetica" w:eastAsia="Helvetica" w:hAnsi="Helvetica" w:cs="Helvetica"/>
                <w:color w:val="000000"/>
                <w:sz w:val="18"/>
                <w:szCs w:val="18"/>
              </w:rPr>
              <w:t xml:space="preserve"> = 125 mm</w:t>
            </w:r>
          </w:p>
        </w:tc>
        <w:tc>
          <w:tcPr>
            <w:tcW w:w="5386" w:type="dxa"/>
            <w:gridSpan w:val="4"/>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42045F2B" w14:textId="3A00988C" w:rsidR="00FB0A3F" w:rsidRDefault="0001483C">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Mean daily catch 2023/24 (nominal) = 4</w:t>
            </w:r>
            <w:r w:rsidR="00947B63">
              <w:rPr>
                <w:rFonts w:ascii="Helvetica" w:eastAsia="Helvetica" w:hAnsi="Helvetica" w:cs="Helvetica"/>
                <w:color w:val="000000"/>
                <w:sz w:val="18"/>
                <w:szCs w:val="18"/>
              </w:rPr>
              <w:t>45</w:t>
            </w:r>
            <w:r>
              <w:rPr>
                <w:rFonts w:ascii="Helvetica" w:eastAsia="Helvetica" w:hAnsi="Helvetica" w:cs="Helvetica"/>
                <w:color w:val="000000"/>
                <w:sz w:val="18"/>
                <w:szCs w:val="18"/>
              </w:rPr>
              <w:t xml:space="preserve"> kg</w:t>
            </w:r>
          </w:p>
        </w:tc>
      </w:tr>
    </w:tbl>
    <w:bookmarkEnd w:id="203"/>
    <w:bookmarkEnd w:id="204"/>
    <w:p w14:paraId="3FE84A20" w14:textId="6801BEE3" w:rsidR="00FB0A3F" w:rsidRDefault="00000000">
      <w:r>
        <w:t>The Cape Otway SMU has been an important contributor to the TACC since 1992, with an average catch of 8</w:t>
      </w:r>
      <w:r w:rsidR="00D2115A">
        <w:t>4</w:t>
      </w:r>
      <w:r>
        <w:t xml:space="preserve"> t during this period and a peak catch of 159 t taken during 2008, the year after the virus became apparent in the west of the Central Zone (Figure 3). Catches have generally declined thereafter, reaching a low catch of 40 t in 2015 and an average catch of 50 t over the past 8 years. </w:t>
      </w:r>
    </w:p>
    <w:p w14:paraId="4D707B07" w14:textId="4B6A5315" w:rsidR="00FB0A3F" w:rsidRDefault="00000000">
      <w:r>
        <w:t xml:space="preserve">Standardised CPUE </w:t>
      </w:r>
      <w:r w:rsidR="00495804">
        <w:t xml:space="preserve">generally declined from 2003 to 2015 then increased to 2018 and has been stable thereafter (Figure 8). Standardised CPUE shows a substantial departure from nominal CPUE between 2006 and 2021, with a smaller difference in recent years. </w:t>
      </w:r>
    </w:p>
    <w:p w14:paraId="1A521A76" w14:textId="37EC7C02" w:rsidR="00FB0A3F" w:rsidRDefault="005C3846">
      <w:pPr>
        <w:jc w:val="center"/>
      </w:pPr>
      <w:r>
        <w:rPr>
          <w:noProof/>
        </w:rPr>
        <w:lastRenderedPageBreak/>
        <w:drawing>
          <wp:inline distT="0" distB="0" distL="0" distR="0" wp14:anchorId="065E21A3" wp14:editId="643D1393">
            <wp:extent cx="5727700" cy="3579495"/>
            <wp:effectExtent l="0" t="0" r="0" b="0"/>
            <wp:docPr id="39" name="Picture" descr="Figure 3: Cape Otway SMU catch, and CPUE (nominal and standardised) from 1992/93 – 2022/23. Catch = bars, nominal CPUE = grey series (+/- SE), standardised series = black. Numbers in bars indicate changes to LMLs. MPs = introduction of Marine Parks"/>
            <wp:cNvGraphicFramePr/>
            <a:graphic xmlns:a="http://schemas.openxmlformats.org/drawingml/2006/main">
              <a:graphicData uri="http://schemas.openxmlformats.org/drawingml/2006/picture">
                <pic:pic xmlns:pic="http://schemas.openxmlformats.org/drawingml/2006/picture">
                  <pic:nvPicPr>
                    <pic:cNvPr id="39" name="Picture" descr="Figure 3: Cape Otway SMU catch, and CPUE (nominal and standardised) from 1992/93 – 2022/23. Catch = bars, nominal CPUE = grey series (+/- SE), standardised series = black. Numbers in bars indicate changes to LMLs. MPs = introduction of Marine Parks"/>
                    <pic:cNvPicPr/>
                  </pic:nvPicPr>
                  <pic:blipFill>
                    <a:blip r:embed="rId26"/>
                    <a:stretch>
                      <a:fillRect/>
                    </a:stretch>
                  </pic:blipFill>
                  <pic:spPr bwMode="auto">
                    <a:xfrm>
                      <a:off x="0" y="0"/>
                      <a:ext cx="5727700" cy="3579495"/>
                    </a:xfrm>
                    <a:prstGeom prst="rect">
                      <a:avLst/>
                    </a:prstGeom>
                    <a:noFill/>
                    <a:ln w="9525">
                      <a:noFill/>
                      <a:headEnd/>
                      <a:tailEnd/>
                    </a:ln>
                  </pic:spPr>
                </pic:pic>
              </a:graphicData>
            </a:graphic>
          </wp:inline>
        </w:drawing>
      </w:r>
    </w:p>
    <w:p w14:paraId="5ACDD757" w14:textId="161DAB43" w:rsidR="00FB0A3F" w:rsidRDefault="00000000">
      <w:pPr>
        <w:pStyle w:val="Caption"/>
      </w:pPr>
      <w:bookmarkStart w:id="205" w:name="_Toc192777274"/>
      <w:r>
        <w:t xml:space="preserve">Figure 8: Cape Otway SMU catch, and CPUE (nominal and standardised) from 1992/1993 – </w:t>
      </w:r>
      <w:r w:rsidR="00D2115A">
        <w:t>2023/24. Nominal</w:t>
      </w:r>
      <w:r>
        <w:t xml:space="preserve"> </w:t>
      </w:r>
      <w:r w:rsidR="00495804">
        <w:t xml:space="preserve">annual </w:t>
      </w:r>
      <w:r>
        <w:t xml:space="preserve">= grey series (+/- SE), standardised </w:t>
      </w:r>
      <w:r w:rsidR="00495804">
        <w:t xml:space="preserve">annual </w:t>
      </w:r>
      <w:r>
        <w:t xml:space="preserve">= </w:t>
      </w:r>
      <w:r w:rsidR="00495804">
        <w:t xml:space="preserve">solid </w:t>
      </w:r>
      <w:r>
        <w:t>black</w:t>
      </w:r>
      <w:r w:rsidR="00495804">
        <w:t>, standardised quarterly = dashed black</w:t>
      </w:r>
      <w:r>
        <w:t>. Numbers indicate changes to LMLs. MPs = introduction of Marine Parks</w:t>
      </w:r>
      <w:bookmarkEnd w:id="205"/>
    </w:p>
    <w:p w14:paraId="25CB0078" w14:textId="66D047C7" w:rsidR="00FB0A3F" w:rsidRDefault="00D2115A">
      <w:r>
        <w:t xml:space="preserve">Standardised mean daily catch decreased slowly from 2003 to 2015, increased slowly from 2015 to 2018 and has </w:t>
      </w:r>
      <w:r w:rsidR="005C3846">
        <w:t>been stable</w:t>
      </w:r>
      <w:r>
        <w:t xml:space="preserve"> thereafter (Figure 9). </w:t>
      </w:r>
      <w:r w:rsidR="009B5E24">
        <w:t xml:space="preserve">Nominal mean daily catch was 445 kg/day in 2023/24. </w:t>
      </w:r>
      <w:r>
        <w:t>Standardised trends differed substantially from nominal trends from 2017 to 2020.</w:t>
      </w:r>
    </w:p>
    <w:p w14:paraId="77DDC997" w14:textId="3C1034CD" w:rsidR="00FB0A3F" w:rsidRDefault="005C3846">
      <w:pPr>
        <w:jc w:val="center"/>
      </w:pPr>
      <w:bookmarkStart w:id="206" w:name="_Toc85714953"/>
      <w:r>
        <w:rPr>
          <w:noProof/>
        </w:rPr>
        <w:drawing>
          <wp:inline distT="0" distB="0" distL="0" distR="0" wp14:anchorId="54C67231" wp14:editId="61F3F5A7">
            <wp:extent cx="5364480" cy="3183255"/>
            <wp:effectExtent l="0" t="0" r="7620" b="0"/>
            <wp:docPr id="36" name="Picture" descr="A graph of a graph with lines and numb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6" name="Picture" descr="A graph of a graph with lines and numbers&#10;&#10;Description automatically generated with medium confidence"/>
                    <pic:cNvPicPr/>
                  </pic:nvPicPr>
                  <pic:blipFill>
                    <a:blip r:embed="rId27"/>
                    <a:stretch>
                      <a:fillRect/>
                    </a:stretch>
                  </pic:blipFill>
                  <pic:spPr bwMode="auto">
                    <a:xfrm>
                      <a:off x="0" y="0"/>
                      <a:ext cx="5364480" cy="3183255"/>
                    </a:xfrm>
                    <a:prstGeom prst="rect">
                      <a:avLst/>
                    </a:prstGeom>
                    <a:noFill/>
                    <a:ln w="9525">
                      <a:noFill/>
                      <a:headEnd/>
                      <a:tailEnd/>
                    </a:ln>
                  </pic:spPr>
                </pic:pic>
              </a:graphicData>
            </a:graphic>
          </wp:inline>
        </w:drawing>
      </w:r>
    </w:p>
    <w:p w14:paraId="128BA96F" w14:textId="0A169E03" w:rsidR="00FB0A3F" w:rsidRDefault="00000000">
      <w:pPr>
        <w:pStyle w:val="Caption"/>
      </w:pPr>
      <w:bookmarkStart w:id="207" w:name="_Toc149571881"/>
      <w:bookmarkStart w:id="208" w:name="_Toc192777275"/>
      <w:r>
        <w:t xml:space="preserve">Figure 9: Total catch and mean daily catch for the Cape Otway SMU from </w:t>
      </w:r>
      <w:r w:rsidR="008D0E2D">
        <w:t>2003</w:t>
      </w:r>
      <w:r>
        <w:t xml:space="preserve"> to 202</w:t>
      </w:r>
      <w:r w:rsidR="008D0E2D">
        <w:t>3</w:t>
      </w:r>
      <w:r>
        <w:t>.</w:t>
      </w:r>
      <w:bookmarkEnd w:id="207"/>
      <w:r>
        <w:t xml:space="preserve"> </w:t>
      </w:r>
      <w:r w:rsidR="00495804">
        <w:t>Nominal annual = grey series (+/- SE), standardised annual = solid black, standardised quarterly = dashed black.</w:t>
      </w:r>
      <w:bookmarkEnd w:id="208"/>
    </w:p>
    <w:p w14:paraId="5EDB2951" w14:textId="77777777" w:rsidR="009A7F92" w:rsidRDefault="009A7F92">
      <w:pPr>
        <w:spacing w:before="0" w:after="0"/>
        <w:rPr>
          <w:i/>
          <w:sz w:val="18"/>
        </w:rPr>
      </w:pPr>
      <w:r>
        <w:br w:type="page"/>
      </w:r>
    </w:p>
    <w:p w14:paraId="12EFB94E" w14:textId="76794BE4" w:rsidR="00FB0A3F" w:rsidRDefault="00000000">
      <w:pPr>
        <w:pStyle w:val="TableCaption"/>
      </w:pPr>
      <w:bookmarkStart w:id="209" w:name="_Toc192762277"/>
      <w:r>
        <w:lastRenderedPageBreak/>
        <w:t xml:space="preserve">Table </w:t>
      </w:r>
      <w:r w:rsidR="001A6F5B">
        <w:t>9</w:t>
      </w:r>
      <w:r>
        <w:t xml:space="preserve">: Catches (kg) by </w:t>
      </w:r>
      <w:proofErr w:type="spellStart"/>
      <w:r>
        <w:t>reefcode</w:t>
      </w:r>
      <w:proofErr w:type="spellEnd"/>
      <w:r>
        <w:t xml:space="preserve"> for the Cape Otway SMU </w:t>
      </w:r>
      <w:r w:rsidR="003E07DE">
        <w:t>from 2018/19 to 2023/24 and the five-year average catch from 2018/19 to 2022/23</w:t>
      </w:r>
      <w:r>
        <w:t>.</w:t>
      </w:r>
      <w:bookmarkEnd w:id="206"/>
      <w:bookmarkEnd w:id="209"/>
    </w:p>
    <w:p w14:paraId="11A49EBC" w14:textId="3BD94006" w:rsidR="00FB0A3F" w:rsidRDefault="00BE07ED">
      <w:pPr>
        <w:jc w:val="center"/>
      </w:pPr>
      <w:r w:rsidRPr="00BE07ED">
        <w:rPr>
          <w:noProof/>
        </w:rPr>
        <w:drawing>
          <wp:inline distT="0" distB="0" distL="0" distR="0" wp14:anchorId="1879F395" wp14:editId="0E6DAF56">
            <wp:extent cx="3954780" cy="1947379"/>
            <wp:effectExtent l="0" t="0" r="7620" b="0"/>
            <wp:docPr id="1818393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393542" name=""/>
                    <pic:cNvPicPr/>
                  </pic:nvPicPr>
                  <pic:blipFill>
                    <a:blip r:embed="rId28"/>
                    <a:stretch>
                      <a:fillRect/>
                    </a:stretch>
                  </pic:blipFill>
                  <pic:spPr>
                    <a:xfrm>
                      <a:off x="0" y="0"/>
                      <a:ext cx="3979365" cy="1959485"/>
                    </a:xfrm>
                    <a:prstGeom prst="rect">
                      <a:avLst/>
                    </a:prstGeom>
                  </pic:spPr>
                </pic:pic>
              </a:graphicData>
            </a:graphic>
          </wp:inline>
        </w:drawing>
      </w:r>
    </w:p>
    <w:p w14:paraId="736A4B04" w14:textId="6B2D723C" w:rsidR="00FB0A3F" w:rsidRDefault="00000000">
      <w:r>
        <w:t xml:space="preserve">The Cape Otway SMU comprises </w:t>
      </w:r>
      <w:r w:rsidR="008E6717">
        <w:t>10</w:t>
      </w:r>
      <w:r>
        <w:t xml:space="preserve"> </w:t>
      </w:r>
      <w:proofErr w:type="spellStart"/>
      <w:r>
        <w:t>reefcodes</w:t>
      </w:r>
      <w:proofErr w:type="spellEnd"/>
      <w:r>
        <w:t xml:space="preserve"> (Table </w:t>
      </w:r>
      <w:r w:rsidR="001A6F5B">
        <w:t>9</w:t>
      </w:r>
      <w:r>
        <w:t>). In 202</w:t>
      </w:r>
      <w:r w:rsidR="00D2115A">
        <w:t>3</w:t>
      </w:r>
      <w:r>
        <w:t>/2</w:t>
      </w:r>
      <w:r w:rsidR="00D2115A">
        <w:t>4</w:t>
      </w:r>
      <w:r>
        <w:t xml:space="preserve">, </w:t>
      </w:r>
      <w:r w:rsidR="00D2115A">
        <w:t xml:space="preserve">6.02 remained the highest producing </w:t>
      </w:r>
      <w:proofErr w:type="spellStart"/>
      <w:r w:rsidR="00D2115A">
        <w:t>reefcode</w:t>
      </w:r>
      <w:proofErr w:type="spellEnd"/>
      <w:r w:rsidR="00D2115A">
        <w:t xml:space="preserve">. </w:t>
      </w:r>
      <w:r>
        <w:t xml:space="preserve">Catches from 6.03 were well below the </w:t>
      </w:r>
      <w:r w:rsidR="00D2115A">
        <w:t xml:space="preserve">previous </w:t>
      </w:r>
      <w:r>
        <w:t>5-year average</w:t>
      </w:r>
      <w:r w:rsidR="00D2115A">
        <w:t xml:space="preserve"> for the second consecutive year. The catches from 7.05, 7.04 and 8.01 were the highest of the last 6 years. </w:t>
      </w:r>
    </w:p>
    <w:p w14:paraId="4FCCC58C" w14:textId="77777777" w:rsidR="00FB0A3F" w:rsidRDefault="00000000">
      <w:pPr>
        <w:rPr>
          <w:i/>
          <w:iCs/>
        </w:rPr>
      </w:pPr>
      <w:r>
        <w:rPr>
          <w:i/>
          <w:iCs/>
        </w:rPr>
        <w:t xml:space="preserve">FIS recruit abundance (Four Top 15 </w:t>
      </w:r>
      <w:bookmarkStart w:id="210" w:name="_Hlk160456143"/>
      <w:r>
        <w:rPr>
          <w:i/>
          <w:iCs/>
        </w:rPr>
        <w:t>sites</w:t>
      </w:r>
      <w:bookmarkEnd w:id="210"/>
      <w:r>
        <w:rPr>
          <w:i/>
          <w:iCs/>
        </w:rPr>
        <w:t>)</w:t>
      </w:r>
    </w:p>
    <w:p w14:paraId="7DC377AE" w14:textId="77777777" w:rsidR="00FB0A3F" w:rsidRDefault="00000000">
      <w:r>
        <w:t xml:space="preserve">Nominal trends in pre-recruit abundance across all sites show decline since 2000 (Figure 10). While highly variable, the abundance of recruit sized abalone at Top 15 sites generally decreased from 2003 to a historic low in 2016 and have slowly increased thereafter. </w:t>
      </w:r>
    </w:p>
    <w:p w14:paraId="4ED336A9" w14:textId="77777777" w:rsidR="00FB0A3F" w:rsidRDefault="00000000">
      <w:pPr>
        <w:rPr>
          <w:i/>
          <w:iCs/>
        </w:rPr>
      </w:pPr>
      <w:r>
        <w:rPr>
          <w:i/>
          <w:iCs/>
        </w:rPr>
        <w:t>FIS pre-recruit abundance (Four Top 15 sites)</w:t>
      </w:r>
    </w:p>
    <w:p w14:paraId="17E4D354" w14:textId="77777777" w:rsidR="00FB0A3F" w:rsidRDefault="00000000">
      <w:r>
        <w:t xml:space="preserve">Nominal trends in pre-recruit abundance across all sites show consistent decline since 1992 (Figure 11).  The abundance of pre-recruits at Top 15 sites has been highly variable since 2003. </w:t>
      </w:r>
    </w:p>
    <w:p w14:paraId="408C0080" w14:textId="77777777" w:rsidR="00FB0A3F" w:rsidRDefault="00FB0A3F"/>
    <w:p w14:paraId="55FC172C" w14:textId="216142BA" w:rsidR="00FB0A3F" w:rsidRDefault="005C3846">
      <w:r>
        <w:rPr>
          <w:noProof/>
        </w:rPr>
        <w:drawing>
          <wp:inline distT="0" distB="0" distL="0" distR="0" wp14:anchorId="2B498C73" wp14:editId="3F9DD811">
            <wp:extent cx="5727700" cy="3579495"/>
            <wp:effectExtent l="0" t="0" r="0" b="0"/>
            <wp:docPr id="42" name="Picture" descr="Figure 4: Recruit abundance and catch from 1992/93 – 2022/23 for the Cape Otway SMU. Grey dashed series = nominal abundance across all FIS sites (+/-SE). Black series = nominal (dotted line, open data point in 2023; +/-SE) and standardised (solid line, solid data point in 2023) abundance at the four Top 15 sites located within the Cape Otway SMU."/>
            <wp:cNvGraphicFramePr/>
            <a:graphic xmlns:a="http://schemas.openxmlformats.org/drawingml/2006/main">
              <a:graphicData uri="http://schemas.openxmlformats.org/drawingml/2006/picture">
                <pic:pic xmlns:pic="http://schemas.openxmlformats.org/drawingml/2006/picture">
                  <pic:nvPicPr>
                    <pic:cNvPr id="42" name="Picture" descr="Figure 4: Recruit abundance and catch from 1992/93 – 2022/23 for the Cape Otway SMU. Grey dashed series = nominal abundance across all FIS sites (+/-SE). Black series = nominal (dotted line, open data point in 2023; +/-SE) and standardised (solid line, solid data point in 2023) abundance at the four Top 15 sites located within the Cape Otway SMU."/>
                    <pic:cNvPicPr/>
                  </pic:nvPicPr>
                  <pic:blipFill>
                    <a:blip r:embed="rId29"/>
                    <a:stretch>
                      <a:fillRect/>
                    </a:stretch>
                  </pic:blipFill>
                  <pic:spPr bwMode="auto">
                    <a:xfrm>
                      <a:off x="0" y="0"/>
                      <a:ext cx="5727700" cy="3579495"/>
                    </a:xfrm>
                    <a:prstGeom prst="rect">
                      <a:avLst/>
                    </a:prstGeom>
                    <a:noFill/>
                    <a:ln w="9525">
                      <a:noFill/>
                      <a:headEnd/>
                      <a:tailEnd/>
                    </a:ln>
                  </pic:spPr>
                </pic:pic>
              </a:graphicData>
            </a:graphic>
          </wp:inline>
        </w:drawing>
      </w:r>
      <w:r w:rsidR="00D2115A">
        <w:rPr>
          <w:noProof/>
        </w:rPr>
        <w:t xml:space="preserve"> </w:t>
      </w:r>
    </w:p>
    <w:p w14:paraId="4311E9AC" w14:textId="25F7B65C" w:rsidR="00FB0A3F" w:rsidRDefault="00000000">
      <w:pPr>
        <w:pStyle w:val="Caption"/>
      </w:pPr>
      <w:bookmarkStart w:id="211" w:name="_Toc192777276"/>
      <w:r>
        <w:t>Figure 10: Recruit abundance (grey dashed, nominal all sites 1992 – 2021; black, Top 15 standardised (solid) 2003 – 2023) including catch from 1992/1993 – 2022/23 for the Cape Otway SMU. MPs = introduction of Marine Parks; numbers reflect size limit changes.</w:t>
      </w:r>
      <w:bookmarkEnd w:id="211"/>
    </w:p>
    <w:p w14:paraId="5DFDF09F" w14:textId="2DD535B3" w:rsidR="00D2115A" w:rsidRDefault="005C3846">
      <w:r>
        <w:rPr>
          <w:noProof/>
        </w:rPr>
        <w:lastRenderedPageBreak/>
        <w:drawing>
          <wp:inline distT="0" distB="0" distL="0" distR="0" wp14:anchorId="6779D19E" wp14:editId="476B8013">
            <wp:extent cx="5727700" cy="3579495"/>
            <wp:effectExtent l="0" t="0" r="0" b="0"/>
            <wp:docPr id="45" name="Picture" descr="Figure 5: Pre-recruit abundance and catch from 1992/93 – 2022/23 for the Cape Otway SMU. Grey dashed series = nominal abundance across all FIS sites (+/-SE). Black series = nominal (dotted line, open data point in 2023; +/-SE) and standardised (solid line, solid data point in 2023) abundance at the four Top 15 sites located within the Cape Otway SMU."/>
            <wp:cNvGraphicFramePr/>
            <a:graphic xmlns:a="http://schemas.openxmlformats.org/drawingml/2006/main">
              <a:graphicData uri="http://schemas.openxmlformats.org/drawingml/2006/picture">
                <pic:pic xmlns:pic="http://schemas.openxmlformats.org/drawingml/2006/picture">
                  <pic:nvPicPr>
                    <pic:cNvPr id="45" name="Picture" descr="Figure 5: Pre-recruit abundance and catch from 1992/93 – 2022/23 for the Cape Otway SMU. Grey dashed series = nominal abundance across all FIS sites (+/-SE). Black series = nominal (dotted line, open data point in 2023; +/-SE) and standardised (solid line, solid data point in 2023) abundance at the four Top 15 sites located within the Cape Otway SMU."/>
                    <pic:cNvPicPr/>
                  </pic:nvPicPr>
                  <pic:blipFill>
                    <a:blip r:embed="rId30"/>
                    <a:stretch>
                      <a:fillRect/>
                    </a:stretch>
                  </pic:blipFill>
                  <pic:spPr bwMode="auto">
                    <a:xfrm>
                      <a:off x="0" y="0"/>
                      <a:ext cx="5727700" cy="3579495"/>
                    </a:xfrm>
                    <a:prstGeom prst="rect">
                      <a:avLst/>
                    </a:prstGeom>
                    <a:noFill/>
                    <a:ln w="9525">
                      <a:noFill/>
                      <a:headEnd/>
                      <a:tailEnd/>
                    </a:ln>
                  </pic:spPr>
                </pic:pic>
              </a:graphicData>
            </a:graphic>
          </wp:inline>
        </w:drawing>
      </w:r>
    </w:p>
    <w:p w14:paraId="6B586572" w14:textId="36A376BE" w:rsidR="00FB0A3F" w:rsidRDefault="00000000">
      <w:pPr>
        <w:pStyle w:val="Caption"/>
      </w:pPr>
      <w:bookmarkStart w:id="212" w:name="_Toc192777277"/>
      <w:r>
        <w:t>Figure 11: Pre-recruit abundance (grey dashed, nominal all sites 1992 – 2021; black, Top 15 standardised (solid) 2003 – 2023) including catch from 1992/1993 – 2022/23 for the Cape Otway SMU. MPs = introduction of Marine Parks; numbers reflect size limit changes.</w:t>
      </w:r>
      <w:bookmarkEnd w:id="212"/>
    </w:p>
    <w:p w14:paraId="4F095119" w14:textId="77777777" w:rsidR="00FB0A3F" w:rsidRDefault="00000000">
      <w:pPr>
        <w:rPr>
          <w:i/>
          <w:iCs/>
        </w:rPr>
      </w:pPr>
      <w:r>
        <w:rPr>
          <w:i/>
          <w:iCs/>
        </w:rPr>
        <w:t>Length frequency data – FIS</w:t>
      </w:r>
    </w:p>
    <w:p w14:paraId="33790732" w14:textId="189818A9" w:rsidR="00FB0A3F" w:rsidRDefault="00000000">
      <w:r>
        <w:t xml:space="preserve">The size structure of the surveyed population at the Cape Otway SMU has remained stable over time despite declines in abundance (Appendix </w:t>
      </w:r>
      <w:r w:rsidR="00E901FD">
        <w:t>1</w:t>
      </w:r>
      <w:r>
        <w:t>). The increase in pre-recruit abundance observed in the four Top 15 sites surveyed in the 2023 FIS was primarily abalone within 10 mm of the current size limit.</w:t>
      </w:r>
    </w:p>
    <w:p w14:paraId="4515DE35" w14:textId="77777777" w:rsidR="00FB0A3F" w:rsidRDefault="00000000">
      <w:pPr>
        <w:rPr>
          <w:i/>
          <w:iCs/>
        </w:rPr>
      </w:pPr>
      <w:r>
        <w:rPr>
          <w:i/>
          <w:iCs/>
        </w:rPr>
        <w:t>Length frequency data – commercial</w:t>
      </w:r>
    </w:p>
    <w:p w14:paraId="72FA774F" w14:textId="7374C956" w:rsidR="00FB0A3F" w:rsidRDefault="00000000">
      <w:r>
        <w:t xml:space="preserve">From 2017/18 to </w:t>
      </w:r>
      <w:r w:rsidR="00E901FD">
        <w:t>December 20</w:t>
      </w:r>
      <w:r>
        <w:t xml:space="preserve">24, the standardised average length of abalone in the commercial catch has increased from around 131 mm to </w:t>
      </w:r>
      <w:r w:rsidR="00E901FD">
        <w:t xml:space="preserve">around </w:t>
      </w:r>
      <w:r>
        <w:t>13</w:t>
      </w:r>
      <w:r w:rsidR="00E901FD">
        <w:t>4</w:t>
      </w:r>
      <w:r>
        <w:t xml:space="preserve"> mm, which is </w:t>
      </w:r>
      <w:r w:rsidR="00E901FD">
        <w:t>9</w:t>
      </w:r>
      <w:r>
        <w:t xml:space="preserve"> mm above the current LML (Appendix </w:t>
      </w:r>
      <w:r w:rsidR="00E901FD">
        <w:t>3</w:t>
      </w:r>
      <w:r>
        <w:t xml:space="preserve">, Appendix </w:t>
      </w:r>
      <w:r w:rsidR="00E901FD">
        <w:t>4</w:t>
      </w:r>
      <w:r>
        <w:t xml:space="preserve">). </w:t>
      </w:r>
      <w:r w:rsidR="00784356">
        <w:t xml:space="preserve">The size structure for the last </w:t>
      </w:r>
      <w:r w:rsidR="008E6717">
        <w:t>2</w:t>
      </w:r>
      <w:r w:rsidR="00784356">
        <w:t xml:space="preserve"> years was stable, although fewer data were collected in these years. </w:t>
      </w:r>
      <w:r>
        <w:t xml:space="preserve">While more variable over time, the same trends are apparent in the raw data. The LML was increased from 123 mm to 125 mm on 1 April 2020, however </w:t>
      </w:r>
      <w:r w:rsidR="00E901FD">
        <w:t>r</w:t>
      </w:r>
      <w:r>
        <w:t xml:space="preserve">esults of an analysis to account for LML increases in Appendix </w:t>
      </w:r>
      <w:r w:rsidR="00E901FD">
        <w:t>3</w:t>
      </w:r>
      <w:r>
        <w:t xml:space="preserve"> also demonstrates an increase in size over and above the LML increase. </w:t>
      </w:r>
      <w:r w:rsidR="00EC5BF2">
        <w:t>The increase in average length has led to a &gt;5% increase in average weight and a reduction in the number of abalone harvested for a given TACC.</w:t>
      </w:r>
      <w:r w:rsidR="00784356">
        <w:t xml:space="preserve"> </w:t>
      </w:r>
      <w:r>
        <w:t xml:space="preserve"> </w:t>
      </w:r>
    </w:p>
    <w:p w14:paraId="0DC00CA9" w14:textId="77777777" w:rsidR="00FB0A3F" w:rsidRDefault="00000000">
      <w:r>
        <w:rPr>
          <w:i/>
          <w:iCs/>
        </w:rPr>
        <w:t>Summary</w:t>
      </w:r>
    </w:p>
    <w:p w14:paraId="1BB265B8" w14:textId="16550FF3" w:rsidR="00FB0A3F" w:rsidRDefault="00000000">
      <w:r>
        <w:t>A peak catch of 159 t was harvested from the Cape Otway SMU during 2008, the year after the virus first affected the west of the Central Zone. Catches have generally declined thereafter, reaching a low of 40 t in 2015. Catch in 202</w:t>
      </w:r>
      <w:r w:rsidR="00771073">
        <w:t>3</w:t>
      </w:r>
      <w:r>
        <w:t>/2</w:t>
      </w:r>
      <w:r w:rsidR="00771073">
        <w:t>4</w:t>
      </w:r>
      <w:r>
        <w:t xml:space="preserve"> was </w:t>
      </w:r>
      <w:r w:rsidR="00771073">
        <w:t>47.0</w:t>
      </w:r>
      <w:r>
        <w:t xml:space="preserve"> t. The size limit was increased from 123 to 125 mm on 1 April 2021. </w:t>
      </w:r>
      <w:r w:rsidR="00771073">
        <w:t>Standardised CPUE generally declined from 2003 to 2015 then increased to 2018 and has been stable thereafter.</w:t>
      </w:r>
      <w:r>
        <w:t xml:space="preserve"> </w:t>
      </w:r>
      <w:r w:rsidR="00771073">
        <w:t>Standardised m</w:t>
      </w:r>
      <w:r>
        <w:t xml:space="preserve">ean daily catch </w:t>
      </w:r>
      <w:r w:rsidR="00771073">
        <w:t xml:space="preserve">has also been stable since 2018. In 2023/24, 6.02 remained the highest producing </w:t>
      </w:r>
      <w:proofErr w:type="spellStart"/>
      <w:r w:rsidR="00771073">
        <w:t>reefcode</w:t>
      </w:r>
      <w:proofErr w:type="spellEnd"/>
      <w:r w:rsidR="00771073">
        <w:t>. Catches from 6.03 were well below the previous 5-year average for the second consecutive year. The catches from 7.05, 7.04 and 8.01 were the highest of the last 6 years.</w:t>
      </w:r>
      <w:r>
        <w:t xml:space="preserve"> </w:t>
      </w:r>
    </w:p>
    <w:p w14:paraId="25F511C5" w14:textId="1F966306" w:rsidR="00FB0A3F" w:rsidRDefault="00000000">
      <w:r>
        <w:lastRenderedPageBreak/>
        <w:t xml:space="preserve">Recruit abundance from the </w:t>
      </w:r>
      <w:r w:rsidR="008E6717">
        <w:t>4</w:t>
      </w:r>
      <w:r>
        <w:t xml:space="preserve"> Top 15 FIS sites has fluctuated without clear trend for the last 15 years. Pre-recruit abundance has been variable over time but more than doubled between 2021 and 2023 and was high in an historic sense. </w:t>
      </w:r>
    </w:p>
    <w:p w14:paraId="45B788CF" w14:textId="6AC60A13" w:rsidR="00FB0A3F" w:rsidRDefault="00000000">
      <w:r>
        <w:t xml:space="preserve">The standardised average length of abalone in the commercial catch has increased </w:t>
      </w:r>
      <w:r w:rsidR="00771073">
        <w:t xml:space="preserve">from 131 mm in </w:t>
      </w:r>
      <w:r>
        <w:t>2017/18</w:t>
      </w:r>
      <w:r w:rsidR="00771073">
        <w:t xml:space="preserve"> to </w:t>
      </w:r>
      <w:r>
        <w:t>13</w:t>
      </w:r>
      <w:r w:rsidR="00771073">
        <w:t>4</w:t>
      </w:r>
      <w:r>
        <w:t xml:space="preserve"> mm </w:t>
      </w:r>
      <w:r w:rsidR="00771073">
        <w:t xml:space="preserve">in 2023/24, which </w:t>
      </w:r>
      <w:r>
        <w:t xml:space="preserve">is </w:t>
      </w:r>
      <w:r w:rsidR="00771073">
        <w:t>9</w:t>
      </w:r>
      <w:r>
        <w:t xml:space="preserve"> mm above the LML.</w:t>
      </w:r>
      <w:r w:rsidR="00771073">
        <w:t xml:space="preserve"> </w:t>
      </w:r>
    </w:p>
    <w:p w14:paraId="2D0849AA" w14:textId="1CB16406" w:rsidR="00FB0A3F" w:rsidRDefault="00000000">
      <w:r>
        <w:t xml:space="preserve">The total catch in the Cape Otway SMU of </w:t>
      </w:r>
      <w:r w:rsidR="00771073">
        <w:t>47.0</w:t>
      </w:r>
      <w:r>
        <w:t xml:space="preserve"> t was 2.</w:t>
      </w:r>
      <w:r w:rsidR="009A7F92">
        <w:t>0</w:t>
      </w:r>
      <w:r>
        <w:t xml:space="preserve"> t below the OT (</w:t>
      </w:r>
      <w:r w:rsidR="009A7F92">
        <w:t>49.0</w:t>
      </w:r>
      <w:r>
        <w:t xml:space="preserve"> t). Mean CPUE (</w:t>
      </w:r>
      <w:r w:rsidR="009A7F92">
        <w:t xml:space="preserve">71.5 </w:t>
      </w:r>
      <w:r>
        <w:t xml:space="preserve">kg/h) was above the Threshold level (70 kg/h). </w:t>
      </w:r>
      <w:r w:rsidR="009A7F92">
        <w:t>Both</w:t>
      </w:r>
      <w:r>
        <w:t xml:space="preserve"> the Primary Indicator </w:t>
      </w:r>
      <w:r w:rsidR="009A7F92">
        <w:t xml:space="preserve">and </w:t>
      </w:r>
      <w:r>
        <w:t>Secondary Indicator</w:t>
      </w:r>
      <w:r w:rsidR="009A7F92">
        <w:t>s are Stable</w:t>
      </w:r>
      <w:r>
        <w:t xml:space="preserve">, resulting in a </w:t>
      </w:r>
      <w:r w:rsidR="009A7F92">
        <w:t xml:space="preserve">Stable </w:t>
      </w:r>
      <w:r>
        <w:t>Final Category. For 202</w:t>
      </w:r>
      <w:r w:rsidR="009A7F92">
        <w:t>4</w:t>
      </w:r>
      <w:r>
        <w:t>/2</w:t>
      </w:r>
      <w:r w:rsidR="009A7F92">
        <w:t>5</w:t>
      </w:r>
      <w:r>
        <w:t xml:space="preserve"> the OT was </w:t>
      </w:r>
      <w:r w:rsidR="009A7F92">
        <w:t xml:space="preserve">maintained at </w:t>
      </w:r>
      <w:r>
        <w:t>49.0 t, so this suggests an OT of 4</w:t>
      </w:r>
      <w:r w:rsidR="009A7F92">
        <w:t>6.6</w:t>
      </w:r>
      <w:r>
        <w:t>–</w:t>
      </w:r>
      <w:r w:rsidR="009A7F92">
        <w:t>51.5</w:t>
      </w:r>
      <w:r>
        <w:t xml:space="preserve"> t. </w:t>
      </w:r>
    </w:p>
    <w:p w14:paraId="31FEB7C8" w14:textId="5FB29098" w:rsidR="00FB0A3F" w:rsidRDefault="00000000">
      <w:pPr>
        <w:rPr>
          <w:b/>
          <w:bCs/>
        </w:rPr>
      </w:pPr>
      <w:r>
        <w:rPr>
          <w:b/>
          <w:bCs/>
        </w:rPr>
        <w:t xml:space="preserve">Following reduced catches in 2015, standardised CPUE </w:t>
      </w:r>
      <w:r w:rsidR="009A7F92">
        <w:rPr>
          <w:b/>
          <w:bCs/>
        </w:rPr>
        <w:t xml:space="preserve">increased until 2018 and has been stable thereafter. </w:t>
      </w:r>
      <w:r>
        <w:rPr>
          <w:b/>
          <w:bCs/>
        </w:rPr>
        <w:t xml:space="preserve">Mean daily catch has </w:t>
      </w:r>
      <w:r w:rsidR="009A7F92">
        <w:rPr>
          <w:b/>
          <w:bCs/>
        </w:rPr>
        <w:t>also been stable since 2018</w:t>
      </w:r>
      <w:r>
        <w:rPr>
          <w:b/>
          <w:bCs/>
        </w:rPr>
        <w:t xml:space="preserve">. At the </w:t>
      </w:r>
      <w:r w:rsidR="008E6717">
        <w:rPr>
          <w:b/>
          <w:bCs/>
        </w:rPr>
        <w:t>4</w:t>
      </w:r>
      <w:r>
        <w:rPr>
          <w:b/>
          <w:bCs/>
        </w:rPr>
        <w:t xml:space="preserve"> Top 15 FIS sites, recruit abundance is </w:t>
      </w:r>
      <w:proofErr w:type="gramStart"/>
      <w:r>
        <w:rPr>
          <w:b/>
          <w:bCs/>
        </w:rPr>
        <w:t>stable</w:t>
      </w:r>
      <w:proofErr w:type="gramEnd"/>
      <w:r>
        <w:rPr>
          <w:b/>
          <w:bCs/>
        </w:rPr>
        <w:t xml:space="preserve"> and pre-recruit abundance was high in 2023 in historical terms. </w:t>
      </w:r>
      <w:r w:rsidR="009A7F92">
        <w:rPr>
          <w:b/>
          <w:bCs/>
        </w:rPr>
        <w:t xml:space="preserve">No FIS was done in 2024. </w:t>
      </w:r>
      <w:r>
        <w:rPr>
          <w:b/>
          <w:bCs/>
        </w:rPr>
        <w:t xml:space="preserve">The standardised average </w:t>
      </w:r>
      <w:r w:rsidR="00712158">
        <w:rPr>
          <w:b/>
          <w:bCs/>
        </w:rPr>
        <w:t>length</w:t>
      </w:r>
      <w:r>
        <w:rPr>
          <w:b/>
          <w:bCs/>
        </w:rPr>
        <w:t xml:space="preserve"> of the commercial catch has steadily increased for the last </w:t>
      </w:r>
      <w:r w:rsidR="008E6717">
        <w:rPr>
          <w:b/>
          <w:bCs/>
        </w:rPr>
        <w:t>7</w:t>
      </w:r>
      <w:r>
        <w:rPr>
          <w:b/>
          <w:bCs/>
        </w:rPr>
        <w:t xml:space="preserve"> years. The Draft Harvest Strategy suggests a </w:t>
      </w:r>
      <w:r w:rsidR="009A7F92">
        <w:rPr>
          <w:b/>
          <w:bCs/>
        </w:rPr>
        <w:t xml:space="preserve">Stable </w:t>
      </w:r>
      <w:r>
        <w:rPr>
          <w:b/>
          <w:bCs/>
        </w:rPr>
        <w:t xml:space="preserve">OT </w:t>
      </w:r>
      <w:r w:rsidR="009A7F92">
        <w:rPr>
          <w:b/>
          <w:bCs/>
        </w:rPr>
        <w:t xml:space="preserve">which </w:t>
      </w:r>
      <w:r w:rsidR="00900000">
        <w:rPr>
          <w:b/>
          <w:bCs/>
        </w:rPr>
        <w:t>is supported by</w:t>
      </w:r>
      <w:r w:rsidR="009A7F92">
        <w:rPr>
          <w:b/>
          <w:bCs/>
        </w:rPr>
        <w:t xml:space="preserve"> the </w:t>
      </w:r>
      <w:r>
        <w:rPr>
          <w:b/>
          <w:bCs/>
        </w:rPr>
        <w:t xml:space="preserve">weight of evidence </w:t>
      </w:r>
      <w:r w:rsidR="009A7F92">
        <w:rPr>
          <w:b/>
          <w:bCs/>
        </w:rPr>
        <w:t xml:space="preserve">for the Cape Otway SMU. </w:t>
      </w:r>
    </w:p>
    <w:p w14:paraId="13DD2FE7" w14:textId="18CCED0F" w:rsidR="00FB0A3F" w:rsidRDefault="00FB0A3F">
      <w:pPr>
        <w:spacing w:before="0" w:after="160" w:line="259" w:lineRule="auto"/>
      </w:pPr>
    </w:p>
    <w:p w14:paraId="278365E5" w14:textId="77777777" w:rsidR="00FB0A3F" w:rsidRDefault="00000000">
      <w:pPr>
        <w:pStyle w:val="Heading3"/>
        <w:numPr>
          <w:ilvl w:val="2"/>
          <w:numId w:val="9"/>
        </w:numPr>
        <w:ind w:left="720" w:hanging="720"/>
      </w:pPr>
      <w:bookmarkStart w:id="213" w:name="_Toc98408339"/>
      <w:bookmarkStart w:id="214" w:name="_Toc192777231"/>
      <w:r>
        <w:t>Back Beaches</w:t>
      </w:r>
      <w:bookmarkEnd w:id="213"/>
      <w:r>
        <w:t xml:space="preserve"> (Large SMU)</w:t>
      </w:r>
      <w:bookmarkEnd w:id="214"/>
    </w:p>
    <w:p w14:paraId="76E8C5C6" w14:textId="2EEFDC22" w:rsidR="00FB0A3F" w:rsidRDefault="00000000">
      <w:r>
        <w:t>The Back Beaches SMU was the second most productive Central Zone SMU with 42.5 t harvested in 202</w:t>
      </w:r>
      <w:r w:rsidR="008D0E2D">
        <w:t>3</w:t>
      </w:r>
      <w:r>
        <w:t>/2</w:t>
      </w:r>
      <w:r w:rsidR="008D0E2D">
        <w:t>4</w:t>
      </w:r>
      <w:r>
        <w:t xml:space="preserve"> representing 1</w:t>
      </w:r>
      <w:r w:rsidR="008D0E2D">
        <w:t>9.1</w:t>
      </w:r>
      <w:r>
        <w:t xml:space="preserve">% of the total catch (Table </w:t>
      </w:r>
      <w:r w:rsidR="001A6F5B">
        <w:t>10</w:t>
      </w:r>
      <w:r>
        <w:t xml:space="preserve">) and TACC (Table </w:t>
      </w:r>
      <w:r w:rsidR="008D0E2D">
        <w:t>3</w:t>
      </w:r>
      <w:r>
        <w:t xml:space="preserve">). The total catch exceeded the OT by </w:t>
      </w:r>
      <w:r w:rsidR="008D0E2D">
        <w:t>1.0</w:t>
      </w:r>
      <w:r>
        <w:t xml:space="preserve"> t. </w:t>
      </w:r>
      <w:r w:rsidR="00192026">
        <w:rPr>
          <w:rFonts w:ascii="Helvetica" w:eastAsia="Helvetica" w:hAnsi="Helvetica" w:cs="Helvetica"/>
          <w:color w:val="000000"/>
          <w:sz w:val="18"/>
          <w:szCs w:val="18"/>
        </w:rPr>
        <w:t>Standardised</w:t>
      </w:r>
      <w:r w:rsidR="00192026">
        <w:t xml:space="preserve"> </w:t>
      </w:r>
      <w:r>
        <w:t>CPUE has declined since 2003 by 1</w:t>
      </w:r>
      <w:r w:rsidR="00192026">
        <w:t>5</w:t>
      </w:r>
      <w:r>
        <w:t xml:space="preserve">%, was similar in the short-term (1% </w:t>
      </w:r>
      <w:r w:rsidR="00192026">
        <w:t>increase</w:t>
      </w:r>
      <w:r>
        <w:t xml:space="preserve">) and </w:t>
      </w:r>
      <w:r w:rsidR="00192026">
        <w:t xml:space="preserve">was </w:t>
      </w:r>
      <w:r>
        <w:t>1</w:t>
      </w:r>
      <w:r w:rsidR="00192026">
        <w:t>5</w:t>
      </w:r>
      <w:r>
        <w:t xml:space="preserve">% higher than 4 years ago. </w:t>
      </w:r>
    </w:p>
    <w:p w14:paraId="5AF836FD" w14:textId="56BF9F51" w:rsidR="00FB0A3F" w:rsidRDefault="00000000">
      <w:pPr>
        <w:pStyle w:val="TableCaption"/>
      </w:pPr>
      <w:bookmarkStart w:id="215" w:name="_Toc192762278"/>
      <w:r>
        <w:t xml:space="preserve">Table </w:t>
      </w:r>
      <w:r w:rsidR="001A6F5B">
        <w:t>10</w:t>
      </w:r>
      <w:r>
        <w:t>: Summary of Catch, Optimal targets and CPUE performance indicators for the Back Beaches SMU. The LML and mean daily catch are also shown.</w:t>
      </w:r>
      <w:bookmarkEnd w:id="215"/>
      <w:r>
        <w:t xml:space="preserve"> </w:t>
      </w:r>
    </w:p>
    <w:tbl>
      <w:tblPr>
        <w:tblW w:w="9062" w:type="dxa"/>
        <w:jc w:val="center"/>
        <w:tblLayout w:type="fixed"/>
        <w:tblLook w:val="04A0" w:firstRow="1" w:lastRow="0" w:firstColumn="1" w:lastColumn="0" w:noHBand="0" w:noVBand="1"/>
      </w:tblPr>
      <w:tblGrid>
        <w:gridCol w:w="703"/>
        <w:gridCol w:w="572"/>
        <w:gridCol w:w="724"/>
        <w:gridCol w:w="846"/>
        <w:gridCol w:w="831"/>
        <w:gridCol w:w="14"/>
        <w:gridCol w:w="1790"/>
        <w:gridCol w:w="1791"/>
        <w:gridCol w:w="1791"/>
      </w:tblGrid>
      <w:tr w:rsidR="00FB0A3F" w14:paraId="67A3B687" w14:textId="77777777">
        <w:trPr>
          <w:cantSplit/>
          <w:trHeight w:val="540"/>
          <w:tblHeader/>
          <w:jc w:val="center"/>
        </w:trPr>
        <w:tc>
          <w:tcPr>
            <w:tcW w:w="3690" w:type="dxa"/>
            <w:gridSpan w:val="6"/>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7F625DB3" w14:textId="77777777" w:rsidR="00FB0A3F" w:rsidRDefault="00000000">
            <w:pPr>
              <w:spacing w:before="100" w:after="100"/>
              <w:ind w:left="100" w:right="100"/>
              <w:jc w:val="center"/>
            </w:pPr>
            <w:r>
              <w:rPr>
                <w:rFonts w:ascii="Helvetica" w:eastAsia="Helvetica" w:hAnsi="Helvetica" w:cs="Helvetica"/>
                <w:color w:val="000000"/>
                <w:sz w:val="18"/>
                <w:szCs w:val="18"/>
              </w:rPr>
              <w:t>Catch</w:t>
            </w:r>
          </w:p>
        </w:tc>
        <w:tc>
          <w:tcPr>
            <w:tcW w:w="5372" w:type="dxa"/>
            <w:gridSpan w:val="3"/>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7BB19B67" w14:textId="05AEFAF2" w:rsidR="00FB0A3F" w:rsidRDefault="00192026">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Standardised CPUE Performance Indicators (% change)</w:t>
            </w:r>
          </w:p>
        </w:tc>
      </w:tr>
      <w:tr w:rsidR="00FB0A3F" w14:paraId="6DF207FF" w14:textId="77777777">
        <w:trPr>
          <w:cantSplit/>
          <w:trHeight w:val="507"/>
          <w:tblHeader/>
          <w:jc w:val="center"/>
        </w:trPr>
        <w:tc>
          <w:tcPr>
            <w:tcW w:w="1275" w:type="dxa"/>
            <w:gridSpan w:val="2"/>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0E9E397B" w14:textId="163906D0" w:rsidR="00FB0A3F" w:rsidRDefault="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2023/24</w:t>
            </w:r>
          </w:p>
        </w:tc>
        <w:tc>
          <w:tcPr>
            <w:tcW w:w="241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70FCE64" w14:textId="77777777" w:rsidR="00FB0A3F" w:rsidRDefault="00000000">
            <w:pPr>
              <w:spacing w:before="100" w:after="100"/>
              <w:ind w:left="100" w:right="100"/>
              <w:jc w:val="center"/>
            </w:pPr>
            <w:r>
              <w:rPr>
                <w:rFonts w:ascii="Helvetica" w:eastAsia="Helvetica" w:hAnsi="Helvetica" w:cs="Helvetica"/>
                <w:color w:val="000000"/>
                <w:sz w:val="18"/>
                <w:szCs w:val="18"/>
              </w:rPr>
              <w:t>OT + carryover* (t)</w:t>
            </w: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46DC0B2" w14:textId="77777777" w:rsidR="00FB0A3F" w:rsidRDefault="00000000">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Long-term</w:t>
            </w:r>
          </w:p>
        </w:tc>
        <w:tc>
          <w:tcPr>
            <w:tcW w:w="179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1865BDB" w14:textId="77777777" w:rsidR="00FB0A3F" w:rsidRDefault="00000000">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Short-term</w:t>
            </w:r>
          </w:p>
        </w:tc>
        <w:tc>
          <w:tcPr>
            <w:tcW w:w="179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A7ECFAD" w14:textId="77777777" w:rsidR="00FB0A3F" w:rsidRDefault="00000000">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Last 4 years</w:t>
            </w:r>
          </w:p>
        </w:tc>
      </w:tr>
      <w:tr w:rsidR="00FF2F21" w14:paraId="6FF466F5" w14:textId="77777777">
        <w:trPr>
          <w:cantSplit/>
          <w:trHeight w:val="218"/>
          <w:tblHeader/>
          <w:jc w:val="center"/>
        </w:trPr>
        <w:tc>
          <w:tcPr>
            <w:tcW w:w="703"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929AE0E" w14:textId="77777777" w:rsidR="00FF2F21" w:rsidRDefault="00FF2F21" w:rsidP="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(t)</w:t>
            </w:r>
          </w:p>
        </w:tc>
        <w:tc>
          <w:tcPr>
            <w:tcW w:w="572"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F0748FE" w14:textId="77777777" w:rsidR="00FF2F21" w:rsidRDefault="00FF2F21" w:rsidP="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w:t>
            </w: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588267E" w14:textId="21261CE2" w:rsidR="00FF2F21" w:rsidRDefault="00FF2F21" w:rsidP="00FF2F21">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22/23</w:t>
            </w:r>
          </w:p>
        </w:tc>
        <w:tc>
          <w:tcPr>
            <w:tcW w:w="84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3399108" w14:textId="7398B803" w:rsidR="00FF2F21" w:rsidRDefault="00FF2F21" w:rsidP="00FF2F21">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23/24</w:t>
            </w:r>
          </w:p>
        </w:tc>
        <w:tc>
          <w:tcPr>
            <w:tcW w:w="845"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427DB0E7" w14:textId="350A593E" w:rsidR="00FF2F21" w:rsidRDefault="00FF2F21" w:rsidP="00FF2F21">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24/25</w:t>
            </w: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AF87551" w14:textId="7DBDAB42" w:rsidR="00FF2F21" w:rsidRDefault="00FF2F21" w:rsidP="00FF2F21">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2003/04 – 2023/24</w:t>
            </w:r>
          </w:p>
        </w:tc>
        <w:tc>
          <w:tcPr>
            <w:tcW w:w="179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8B997BD" w14:textId="2F02067A" w:rsidR="00FF2F21" w:rsidRDefault="00FF2F21" w:rsidP="00FF2F21">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2009/10 – 2023/24</w:t>
            </w:r>
          </w:p>
        </w:tc>
        <w:tc>
          <w:tcPr>
            <w:tcW w:w="179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2FF1C7A" w14:textId="71D57035" w:rsidR="00FF2F21" w:rsidRDefault="00FF2F21" w:rsidP="00FF2F21">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2020/21 – 2023/24</w:t>
            </w:r>
          </w:p>
        </w:tc>
      </w:tr>
      <w:tr w:rsidR="00FB0A3F" w14:paraId="3135BC59" w14:textId="77777777">
        <w:trPr>
          <w:cantSplit/>
          <w:jc w:val="center"/>
        </w:trPr>
        <w:tc>
          <w:tcPr>
            <w:tcW w:w="703"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0E1EC1C3" w14:textId="77777777" w:rsidR="00FB0A3F" w:rsidRDefault="00000000">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42.5</w:t>
            </w:r>
          </w:p>
        </w:tc>
        <w:tc>
          <w:tcPr>
            <w:tcW w:w="572"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4CFC19F3" w14:textId="77777777" w:rsidR="00FB0A3F" w:rsidRDefault="00000000">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16.8</w:t>
            </w:r>
          </w:p>
        </w:tc>
        <w:tc>
          <w:tcPr>
            <w:tcW w:w="724"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7E7C5D62" w14:textId="77777777" w:rsidR="00FB0A3F" w:rsidRDefault="00000000">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40</w:t>
            </w:r>
          </w:p>
        </w:tc>
        <w:tc>
          <w:tcPr>
            <w:tcW w:w="846" w:type="dxa"/>
            <w:tcBorders>
              <w:left w:val="single" w:sz="8" w:space="0" w:color="000000"/>
              <w:bottom w:val="single" w:sz="8" w:space="0" w:color="000000"/>
              <w:right w:val="single" w:sz="8" w:space="0" w:color="000000"/>
            </w:tcBorders>
            <w:shd w:val="clear" w:color="auto" w:fill="auto"/>
            <w:vAlign w:val="center"/>
          </w:tcPr>
          <w:p w14:paraId="04177E34" w14:textId="77777777" w:rsidR="00FB0A3F" w:rsidRDefault="00000000">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40</w:t>
            </w:r>
          </w:p>
        </w:tc>
        <w:tc>
          <w:tcPr>
            <w:tcW w:w="845" w:type="dxa"/>
            <w:gridSpan w:val="2"/>
            <w:tcBorders>
              <w:left w:val="single" w:sz="8" w:space="0" w:color="000000"/>
              <w:bottom w:val="single" w:sz="8" w:space="0" w:color="000000"/>
              <w:right w:val="single" w:sz="8" w:space="0" w:color="000000"/>
            </w:tcBorders>
            <w:shd w:val="clear" w:color="auto" w:fill="auto"/>
            <w:vAlign w:val="center"/>
          </w:tcPr>
          <w:p w14:paraId="14513F46" w14:textId="353EBD81" w:rsidR="00FB0A3F" w:rsidRDefault="009C295D">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41.5</w:t>
            </w: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BF5249E" w14:textId="72064689" w:rsidR="00FB0A3F" w:rsidRDefault="00000000">
            <w:pPr>
              <w:spacing w:before="100" w:after="100"/>
              <w:ind w:left="100" w:right="100"/>
              <w:jc w:val="center"/>
              <w:rPr>
                <w:rFonts w:ascii="Helvetica" w:eastAsia="Helvetica" w:hAnsi="Helvetica" w:cs="Helvetica"/>
                <w:color w:val="000000"/>
                <w:sz w:val="18"/>
                <w:szCs w:val="18"/>
              </w:rPr>
            </w:pPr>
            <w:r w:rsidRPr="00192026">
              <w:rPr>
                <w:rFonts w:ascii="Helvetica" w:eastAsia="Arial" w:hAnsi="Helvetica" w:cs="Helvetica"/>
                <w:color w:val="000000" w:themeColor="text1"/>
                <w:sz w:val="18"/>
                <w:szCs w:val="18"/>
              </w:rPr>
              <w:t>-1</w:t>
            </w:r>
            <w:r w:rsidR="00192026">
              <w:rPr>
                <w:rFonts w:ascii="Helvetica" w:eastAsia="Arial" w:hAnsi="Helvetica" w:cs="Helvetica"/>
                <w:color w:val="000000" w:themeColor="text1"/>
                <w:sz w:val="18"/>
                <w:szCs w:val="18"/>
              </w:rPr>
              <w:t>5</w:t>
            </w:r>
          </w:p>
        </w:tc>
        <w:tc>
          <w:tcPr>
            <w:tcW w:w="179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68A801D" w14:textId="4A976A15" w:rsidR="00FB0A3F" w:rsidRDefault="00000000">
            <w:pPr>
              <w:spacing w:before="100" w:after="100"/>
              <w:ind w:left="100" w:right="100"/>
              <w:jc w:val="center"/>
              <w:rPr>
                <w:rFonts w:ascii="Helvetica" w:eastAsia="Helvetica" w:hAnsi="Helvetica" w:cs="Helvetica"/>
                <w:color w:val="000000"/>
                <w:sz w:val="18"/>
                <w:szCs w:val="18"/>
              </w:rPr>
            </w:pPr>
            <w:r>
              <w:rPr>
                <w:rFonts w:ascii="Helvetica" w:eastAsia="Arial" w:hAnsi="Helvetica" w:cs="Helvetica"/>
                <w:color w:val="000000"/>
                <w:sz w:val="18"/>
                <w:szCs w:val="18"/>
              </w:rPr>
              <w:t>1</w:t>
            </w:r>
          </w:p>
        </w:tc>
        <w:tc>
          <w:tcPr>
            <w:tcW w:w="1791" w:type="dxa"/>
            <w:tcBorders>
              <w:top w:val="single" w:sz="8" w:space="0" w:color="000000"/>
              <w:left w:val="single" w:sz="8" w:space="0" w:color="000000"/>
              <w:bottom w:val="single" w:sz="8" w:space="0" w:color="000000"/>
              <w:right w:val="single" w:sz="8" w:space="0" w:color="000000"/>
            </w:tcBorders>
            <w:shd w:val="clear" w:color="auto" w:fill="FFFFFF"/>
          </w:tcPr>
          <w:p w14:paraId="1A61B3A7" w14:textId="4FFA262D" w:rsidR="00FB0A3F" w:rsidRDefault="00000000">
            <w:pPr>
              <w:spacing w:before="100" w:after="100"/>
              <w:ind w:left="100" w:right="100"/>
              <w:jc w:val="center"/>
              <w:rPr>
                <w:rFonts w:ascii="Helvetica" w:eastAsia="Helvetica" w:hAnsi="Helvetica" w:cs="Helvetica"/>
                <w:color w:val="000000"/>
                <w:sz w:val="18"/>
                <w:szCs w:val="18"/>
              </w:rPr>
            </w:pPr>
            <w:r>
              <w:rPr>
                <w:rFonts w:ascii="Helvetica" w:eastAsia="Arial" w:hAnsi="Helvetica" w:cs="Helvetica"/>
                <w:color w:val="000000"/>
                <w:sz w:val="18"/>
                <w:szCs w:val="18"/>
              </w:rPr>
              <w:t>1</w:t>
            </w:r>
            <w:r w:rsidR="00192026">
              <w:rPr>
                <w:rFonts w:ascii="Helvetica" w:eastAsia="Arial" w:hAnsi="Helvetica" w:cs="Helvetica"/>
                <w:color w:val="000000"/>
                <w:sz w:val="18"/>
                <w:szCs w:val="18"/>
              </w:rPr>
              <w:t>5</w:t>
            </w:r>
          </w:p>
        </w:tc>
      </w:tr>
      <w:tr w:rsidR="00FB0A3F" w14:paraId="6589DC6B" w14:textId="77777777" w:rsidTr="00947B63">
        <w:trPr>
          <w:cantSplit/>
          <w:jc w:val="center"/>
        </w:trPr>
        <w:tc>
          <w:tcPr>
            <w:tcW w:w="3676" w:type="dxa"/>
            <w:gridSpan w:val="5"/>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75878263" w14:textId="42F8D947" w:rsidR="00FB0A3F" w:rsidRDefault="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LML 2023/24 = 119 mm</w:t>
            </w:r>
          </w:p>
        </w:tc>
        <w:tc>
          <w:tcPr>
            <w:tcW w:w="5386" w:type="dxa"/>
            <w:gridSpan w:val="4"/>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6AA20AEB" w14:textId="2CA55DB1" w:rsidR="00FB0A3F" w:rsidRDefault="00000000">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Mean daily catch 202</w:t>
            </w:r>
            <w:r w:rsidR="00FF2F21">
              <w:rPr>
                <w:rFonts w:ascii="Helvetica" w:eastAsia="Helvetica" w:hAnsi="Helvetica" w:cs="Helvetica"/>
                <w:color w:val="000000"/>
                <w:sz w:val="18"/>
                <w:szCs w:val="18"/>
              </w:rPr>
              <w:t>3</w:t>
            </w:r>
            <w:r>
              <w:rPr>
                <w:rFonts w:ascii="Helvetica" w:eastAsia="Helvetica" w:hAnsi="Helvetica" w:cs="Helvetica"/>
                <w:color w:val="000000"/>
                <w:sz w:val="18"/>
                <w:szCs w:val="18"/>
              </w:rPr>
              <w:t>/2</w:t>
            </w:r>
            <w:r w:rsidR="00FF2F21">
              <w:rPr>
                <w:rFonts w:ascii="Helvetica" w:eastAsia="Helvetica" w:hAnsi="Helvetica" w:cs="Helvetica"/>
                <w:color w:val="000000"/>
                <w:sz w:val="18"/>
                <w:szCs w:val="18"/>
              </w:rPr>
              <w:t>4</w:t>
            </w:r>
            <w:r>
              <w:rPr>
                <w:rFonts w:ascii="Helvetica" w:eastAsia="Helvetica" w:hAnsi="Helvetica" w:cs="Helvetica"/>
                <w:color w:val="000000"/>
                <w:sz w:val="18"/>
                <w:szCs w:val="18"/>
              </w:rPr>
              <w:t xml:space="preserve"> </w:t>
            </w:r>
            <w:r w:rsidR="00D2115A">
              <w:rPr>
                <w:rFonts w:ascii="Helvetica" w:eastAsia="Helvetica" w:hAnsi="Helvetica" w:cs="Helvetica"/>
                <w:color w:val="000000"/>
                <w:sz w:val="18"/>
                <w:szCs w:val="18"/>
              </w:rPr>
              <w:t xml:space="preserve">(nominal) </w:t>
            </w:r>
            <w:r>
              <w:rPr>
                <w:rFonts w:ascii="Helvetica" w:eastAsia="Helvetica" w:hAnsi="Helvetica" w:cs="Helvetica"/>
                <w:color w:val="000000"/>
                <w:sz w:val="18"/>
                <w:szCs w:val="18"/>
              </w:rPr>
              <w:t xml:space="preserve">= </w:t>
            </w:r>
            <w:r w:rsidR="00947B63">
              <w:rPr>
                <w:rFonts w:ascii="Helvetica" w:eastAsia="Helvetica" w:hAnsi="Helvetica" w:cs="Helvetica"/>
                <w:color w:val="000000"/>
                <w:sz w:val="18"/>
                <w:szCs w:val="18"/>
              </w:rPr>
              <w:t>483</w:t>
            </w:r>
            <w:r>
              <w:rPr>
                <w:rFonts w:ascii="Helvetica" w:eastAsia="Helvetica" w:hAnsi="Helvetica" w:cs="Helvetica"/>
                <w:color w:val="000000"/>
                <w:sz w:val="18"/>
                <w:szCs w:val="18"/>
              </w:rPr>
              <w:t xml:space="preserve"> kg</w:t>
            </w:r>
          </w:p>
        </w:tc>
      </w:tr>
    </w:tbl>
    <w:p w14:paraId="74D9E928" w14:textId="77777777" w:rsidR="00FB0A3F" w:rsidRDefault="00000000">
      <w:r>
        <w:t xml:space="preserve">The Back Beaches SMU is an important contributor to the Central Zone TACC, with an average catch of 59 t since 1992 and a peak catch of 95 t taken during 2008 (Figure 12). Catches generally declined in subsequent years reaching a low catch of 32 t in 2013. Catches ranged from 52 to 78 t from 2014 to 2018 and have ranged from 35 to 43 t thereafter. </w:t>
      </w:r>
    </w:p>
    <w:p w14:paraId="66D2A023" w14:textId="4C9F3ECA" w:rsidR="00FB0A3F" w:rsidRDefault="00000000">
      <w:r>
        <w:t>Standardised CPUE generally declin</w:t>
      </w:r>
      <w:r w:rsidR="005C3846">
        <w:t>ed</w:t>
      </w:r>
      <w:r>
        <w:t xml:space="preserve"> </w:t>
      </w:r>
      <w:r w:rsidR="005C3846">
        <w:t xml:space="preserve">from 2003 to </w:t>
      </w:r>
      <w:r>
        <w:t xml:space="preserve">2017 and </w:t>
      </w:r>
      <w:r w:rsidR="005C3846">
        <w:t xml:space="preserve">has increased </w:t>
      </w:r>
      <w:r>
        <w:t>thereafter</w:t>
      </w:r>
      <w:r w:rsidR="005C3846">
        <w:t xml:space="preserve"> (Figure 8)</w:t>
      </w:r>
      <w:r>
        <w:t>.</w:t>
      </w:r>
      <w:r w:rsidR="005C3846">
        <w:t xml:space="preserve"> Standardised CPUE has followed similar annual trends to nominal CPUE.</w:t>
      </w:r>
      <w:r>
        <w:t xml:space="preserve"> </w:t>
      </w:r>
    </w:p>
    <w:p w14:paraId="39563B41" w14:textId="5004BEE7" w:rsidR="00FB0A3F" w:rsidRDefault="005C3846">
      <w:pPr>
        <w:jc w:val="center"/>
      </w:pPr>
      <w:r>
        <w:rPr>
          <w:noProof/>
        </w:rPr>
        <w:lastRenderedPageBreak/>
        <w:drawing>
          <wp:inline distT="0" distB="0" distL="0" distR="0" wp14:anchorId="611C7297" wp14:editId="1B65006C">
            <wp:extent cx="5727700" cy="3579495"/>
            <wp:effectExtent l="0" t="0" r="0" b="0"/>
            <wp:docPr id="106" name="Picture" descr="Figure 18: Back Beaches SMU catch, and CPUE (nominal and standardised) from 1992/93 – 2022/23. Catch = bars, nominal CPUE = grey series (+/- SE), standardised series = black. Numbers in bars indicate changes to LMLs. MPs = introduction of Marine Parks."/>
            <wp:cNvGraphicFramePr/>
            <a:graphic xmlns:a="http://schemas.openxmlformats.org/drawingml/2006/main">
              <a:graphicData uri="http://schemas.openxmlformats.org/drawingml/2006/picture">
                <pic:pic xmlns:pic="http://schemas.openxmlformats.org/drawingml/2006/picture">
                  <pic:nvPicPr>
                    <pic:cNvPr id="106" name="Picture" descr="Figure 18: Back Beaches SMU catch, and CPUE (nominal and standardised) from 1992/93 – 2022/23. Catch = bars, nominal CPUE = grey series (+/- SE), standardised series = black. Numbers in bars indicate changes to LMLs. MPs = introduction of Marine Parks."/>
                    <pic:cNvPicPr/>
                  </pic:nvPicPr>
                  <pic:blipFill>
                    <a:blip r:embed="rId31"/>
                    <a:stretch>
                      <a:fillRect/>
                    </a:stretch>
                  </pic:blipFill>
                  <pic:spPr bwMode="auto">
                    <a:xfrm>
                      <a:off x="0" y="0"/>
                      <a:ext cx="5727700" cy="3579495"/>
                    </a:xfrm>
                    <a:prstGeom prst="rect">
                      <a:avLst/>
                    </a:prstGeom>
                    <a:noFill/>
                    <a:ln w="9525">
                      <a:noFill/>
                      <a:headEnd/>
                      <a:tailEnd/>
                    </a:ln>
                  </pic:spPr>
                </pic:pic>
              </a:graphicData>
            </a:graphic>
          </wp:inline>
        </w:drawing>
      </w:r>
    </w:p>
    <w:p w14:paraId="3C2BEC9A" w14:textId="1F0506D6" w:rsidR="00FB0A3F" w:rsidRDefault="00000000">
      <w:pPr>
        <w:pStyle w:val="Caption"/>
      </w:pPr>
      <w:bookmarkStart w:id="216" w:name="_Toc192777278"/>
      <w:r>
        <w:t xml:space="preserve">Figure 12: Back Beaches SMU catch, and CPUE (nominal and standardised) from 1992/1993 – </w:t>
      </w:r>
      <w:r w:rsidR="00D2115A">
        <w:t xml:space="preserve">2023/24. </w:t>
      </w:r>
      <w:r w:rsidR="00495804">
        <w:t>Nominal annual = grey series (+/- SE), standardised annual = solid black, standardised quarterly = dashed black</w:t>
      </w:r>
      <w:r>
        <w:t>. Numbers indicate changes to LMLs. MPs = introduction of Marine Parks.</w:t>
      </w:r>
      <w:bookmarkEnd w:id="216"/>
    </w:p>
    <w:p w14:paraId="7C20AE6D" w14:textId="6119A37C" w:rsidR="00FB0A3F" w:rsidRDefault="009B5E24">
      <w:r>
        <w:t>Standardised mean daily catch slowly declined from 2003 to 2017 and has slowly increased thereafter (Figure 13). Nominal mean daily catch was 483 kg/day in 2023/24.</w:t>
      </w:r>
    </w:p>
    <w:p w14:paraId="0CD08DAD" w14:textId="685FAE87" w:rsidR="00FB0A3F" w:rsidRDefault="005C3846" w:rsidP="009A7F92">
      <w:r>
        <w:rPr>
          <w:noProof/>
        </w:rPr>
        <w:drawing>
          <wp:inline distT="0" distB="0" distL="0" distR="0" wp14:anchorId="19333593" wp14:editId="5033A577">
            <wp:extent cx="5539740" cy="3434715"/>
            <wp:effectExtent l="0" t="0" r="3810" b="0"/>
            <wp:docPr id="103" name="Picture" descr="A graph of a graph with lines and numb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3" name="Picture" descr="A graph of a graph with lines and numbers&#10;&#10;Description automatically generated with medium confidence"/>
                    <pic:cNvPicPr/>
                  </pic:nvPicPr>
                  <pic:blipFill>
                    <a:blip r:embed="rId32"/>
                    <a:stretch>
                      <a:fillRect/>
                    </a:stretch>
                  </pic:blipFill>
                  <pic:spPr bwMode="auto">
                    <a:xfrm>
                      <a:off x="0" y="0"/>
                      <a:ext cx="5539740" cy="3434715"/>
                    </a:xfrm>
                    <a:prstGeom prst="rect">
                      <a:avLst/>
                    </a:prstGeom>
                    <a:noFill/>
                    <a:ln w="9525">
                      <a:noFill/>
                      <a:headEnd/>
                      <a:tailEnd/>
                    </a:ln>
                  </pic:spPr>
                </pic:pic>
              </a:graphicData>
            </a:graphic>
          </wp:inline>
        </w:drawing>
      </w:r>
      <w:r w:rsidRPr="009A7F92">
        <w:rPr>
          <w:rStyle w:val="CaptionChar"/>
        </w:rPr>
        <w:t xml:space="preserve">Figure 13: Total catch and mean daily catch for the Back Beaches </w:t>
      </w:r>
      <w:r w:rsidR="008D0E2D" w:rsidRPr="009A7F92">
        <w:rPr>
          <w:rStyle w:val="CaptionChar"/>
        </w:rPr>
        <w:t>SMU from 2003 to 2</w:t>
      </w:r>
      <w:r w:rsidR="00495804" w:rsidRPr="009A7F92">
        <w:rPr>
          <w:rStyle w:val="CaptionChar"/>
        </w:rPr>
        <w:t>0</w:t>
      </w:r>
      <w:r w:rsidR="008D0E2D" w:rsidRPr="009A7F92">
        <w:rPr>
          <w:rStyle w:val="CaptionChar"/>
        </w:rPr>
        <w:t>23</w:t>
      </w:r>
      <w:r w:rsidR="00495804" w:rsidRPr="009A7F92">
        <w:rPr>
          <w:rStyle w:val="CaptionChar"/>
        </w:rPr>
        <w:t xml:space="preserve">. </w:t>
      </w:r>
      <w:bookmarkStart w:id="217" w:name="_Hlk192152398"/>
      <w:r w:rsidR="00495804" w:rsidRPr="009A7F92">
        <w:rPr>
          <w:rStyle w:val="CaptionChar"/>
        </w:rPr>
        <w:t>Nominal annual = grey series (+/- SE), standardised annual = solid black, standardised quarterly = dashed black</w:t>
      </w:r>
      <w:bookmarkEnd w:id="217"/>
      <w:r w:rsidRPr="009A7F92">
        <w:rPr>
          <w:rStyle w:val="CaptionChar"/>
        </w:rPr>
        <w:t>.</w:t>
      </w:r>
    </w:p>
    <w:p w14:paraId="3E15F885" w14:textId="77777777" w:rsidR="009A7F92" w:rsidRDefault="009A7F92">
      <w:pPr>
        <w:spacing w:before="0" w:after="0"/>
        <w:rPr>
          <w:i/>
          <w:sz w:val="18"/>
        </w:rPr>
      </w:pPr>
      <w:r>
        <w:br w:type="page"/>
      </w:r>
    </w:p>
    <w:p w14:paraId="37D7E5EA" w14:textId="4852EE23" w:rsidR="00FB0A3F" w:rsidRDefault="00000000" w:rsidP="00712158">
      <w:pPr>
        <w:pStyle w:val="TableCaption"/>
      </w:pPr>
      <w:bookmarkStart w:id="218" w:name="_Toc192762279"/>
      <w:r>
        <w:lastRenderedPageBreak/>
        <w:t xml:space="preserve">Table </w:t>
      </w:r>
      <w:r w:rsidR="001A6F5B">
        <w:t>11</w:t>
      </w:r>
      <w:r>
        <w:t xml:space="preserve">: Catches (kg) by </w:t>
      </w:r>
      <w:proofErr w:type="spellStart"/>
      <w:r>
        <w:t>reefcode</w:t>
      </w:r>
      <w:proofErr w:type="spellEnd"/>
      <w:r>
        <w:t xml:space="preserve"> for the Back Beaches SMU </w:t>
      </w:r>
      <w:r w:rsidR="003E07DE">
        <w:t xml:space="preserve">from 2018/19 to 2023/24 and the </w:t>
      </w:r>
      <w:r w:rsidR="003E07DE" w:rsidRPr="00712158">
        <w:t>five</w:t>
      </w:r>
      <w:r w:rsidR="003E07DE">
        <w:t>-year average catch from 2018/19 to 2022/</w:t>
      </w:r>
      <w:proofErr w:type="gramStart"/>
      <w:r w:rsidR="003E07DE">
        <w:t>23</w:t>
      </w:r>
      <w:r>
        <w:t>.</w:t>
      </w:r>
      <w:bookmarkStart w:id="219" w:name="back-beaches"/>
      <w:r w:rsidR="005C3846">
        <w:t>*</w:t>
      </w:r>
      <w:bookmarkEnd w:id="218"/>
      <w:proofErr w:type="gramEnd"/>
    </w:p>
    <w:p w14:paraId="709C0118" w14:textId="1D1DEFDD" w:rsidR="00FB0A3F" w:rsidRDefault="00BE07ED">
      <w:pPr>
        <w:jc w:val="center"/>
      </w:pPr>
      <w:r w:rsidRPr="00BE07ED">
        <w:rPr>
          <w:noProof/>
        </w:rPr>
        <w:drawing>
          <wp:inline distT="0" distB="0" distL="0" distR="0" wp14:anchorId="2087AA02" wp14:editId="3D0F5E9E">
            <wp:extent cx="4244340" cy="1230649"/>
            <wp:effectExtent l="0" t="0" r="3810" b="7620"/>
            <wp:docPr id="1873819584" name="Picture 1" descr="A table with numb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819584" name="Picture 1" descr="A table with numbers and numbers&#10;&#10;Description automatically generated"/>
                    <pic:cNvPicPr/>
                  </pic:nvPicPr>
                  <pic:blipFill>
                    <a:blip r:embed="rId33"/>
                    <a:stretch>
                      <a:fillRect/>
                    </a:stretch>
                  </pic:blipFill>
                  <pic:spPr>
                    <a:xfrm>
                      <a:off x="0" y="0"/>
                      <a:ext cx="4260526" cy="1235342"/>
                    </a:xfrm>
                    <a:prstGeom prst="rect">
                      <a:avLst/>
                    </a:prstGeom>
                  </pic:spPr>
                </pic:pic>
              </a:graphicData>
            </a:graphic>
          </wp:inline>
        </w:drawing>
      </w:r>
    </w:p>
    <w:p w14:paraId="2BE2F3AD" w14:textId="4AD5F4F2" w:rsidR="00FB0A3F" w:rsidRDefault="00000000">
      <w:r>
        <w:t xml:space="preserve">The Back Beaches SMU comprises </w:t>
      </w:r>
      <w:r w:rsidR="008E6717">
        <w:t>5</w:t>
      </w:r>
      <w:r>
        <w:t xml:space="preserve"> </w:t>
      </w:r>
      <w:proofErr w:type="spellStart"/>
      <w:r>
        <w:t>reefcodes</w:t>
      </w:r>
      <w:proofErr w:type="spellEnd"/>
      <w:r>
        <w:t xml:space="preserve">, </w:t>
      </w:r>
      <w:r w:rsidR="008E6717">
        <w:t>4</w:t>
      </w:r>
      <w:r>
        <w:t xml:space="preserve"> of which regularly produce high catches (Table </w:t>
      </w:r>
      <w:r w:rsidR="001A6F5B">
        <w:t>11</w:t>
      </w:r>
      <w:r>
        <w:t>). Catches in 202</w:t>
      </w:r>
      <w:r w:rsidR="006139FB">
        <w:t>3</w:t>
      </w:r>
      <w:r>
        <w:t>/2</w:t>
      </w:r>
      <w:r w:rsidR="006139FB">
        <w:t>4</w:t>
      </w:r>
      <w:r>
        <w:t xml:space="preserve"> were </w:t>
      </w:r>
      <w:proofErr w:type="gramStart"/>
      <w:r>
        <w:t>similar to</w:t>
      </w:r>
      <w:proofErr w:type="gramEnd"/>
      <w:r>
        <w:t xml:space="preserve"> the previous </w:t>
      </w:r>
      <w:r w:rsidR="008E6717">
        <w:t>5</w:t>
      </w:r>
      <w:r>
        <w:t xml:space="preserve">-year average for </w:t>
      </w:r>
      <w:r w:rsidR="006139FB">
        <w:t>the four main</w:t>
      </w:r>
      <w:r>
        <w:t xml:space="preserve"> </w:t>
      </w:r>
      <w:proofErr w:type="spellStart"/>
      <w:r>
        <w:t>reefcodes</w:t>
      </w:r>
      <w:proofErr w:type="spellEnd"/>
      <w:r>
        <w:t>.</w:t>
      </w:r>
      <w:r w:rsidR="006139FB">
        <w:t xml:space="preserve"> A catch of 417 kg was harvested from 12.01 for the first time in the last </w:t>
      </w:r>
      <w:r w:rsidR="008E6717">
        <w:t>6</w:t>
      </w:r>
      <w:r w:rsidR="006139FB">
        <w:t xml:space="preserve"> years.</w:t>
      </w:r>
    </w:p>
    <w:p w14:paraId="3CAAF45D" w14:textId="77777777" w:rsidR="00FB0A3F" w:rsidRDefault="00FB0A3F">
      <w:pPr>
        <w:rPr>
          <w:i/>
          <w:iCs/>
        </w:rPr>
      </w:pPr>
    </w:p>
    <w:p w14:paraId="056D5653" w14:textId="77777777" w:rsidR="00FB0A3F" w:rsidRDefault="00000000">
      <w:pPr>
        <w:rPr>
          <w:i/>
          <w:iCs/>
        </w:rPr>
      </w:pPr>
      <w:r>
        <w:rPr>
          <w:i/>
          <w:iCs/>
        </w:rPr>
        <w:t>FIS recruit abundance (Three Top 15 sites)</w:t>
      </w:r>
    </w:p>
    <w:p w14:paraId="4E956D04" w14:textId="77777777" w:rsidR="00FB0A3F" w:rsidRDefault="00000000">
      <w:r>
        <w:t xml:space="preserve">The abundance of recruit sized abalone on FIS was highly variable from 1992 to 2015 before declining to a historic low in 2017 and 2018 (Figure 14). Abundance has been higher thereafter but remains low in a historic context. </w:t>
      </w:r>
    </w:p>
    <w:p w14:paraId="55841B80" w14:textId="77777777" w:rsidR="00FB0A3F" w:rsidRDefault="00000000">
      <w:pPr>
        <w:rPr>
          <w:i/>
          <w:iCs/>
        </w:rPr>
      </w:pPr>
      <w:r>
        <w:rPr>
          <w:i/>
          <w:iCs/>
        </w:rPr>
        <w:t>FIS pre-recruit abundance (Three Top 15 sites)</w:t>
      </w:r>
    </w:p>
    <w:p w14:paraId="4B6B3419" w14:textId="6BEBE420" w:rsidR="005C3846" w:rsidRDefault="00000000" w:rsidP="009A7F92">
      <w:r>
        <w:t xml:space="preserve">Pre-recruit abundance at the Top 15 sites declined substantially from 2003 to very low levels in 2021, however in 2023 pre-recruit abundance levels increased to be equal with historic high levels (Figure 15). </w:t>
      </w:r>
    </w:p>
    <w:p w14:paraId="4C9A59E7" w14:textId="3539102F" w:rsidR="005C3846" w:rsidRDefault="005C3846" w:rsidP="005C3846">
      <w:pPr>
        <w:pStyle w:val="BodyText"/>
        <w:jc w:val="center"/>
      </w:pPr>
      <w:r>
        <w:rPr>
          <w:noProof/>
        </w:rPr>
        <w:drawing>
          <wp:inline distT="0" distB="0" distL="0" distR="0" wp14:anchorId="692EBC54" wp14:editId="40FBD9E0">
            <wp:extent cx="5727700" cy="3579495"/>
            <wp:effectExtent l="0" t="0" r="0" b="0"/>
            <wp:docPr id="109" name="Picture" descr="Figure 19: Recruit abundance and catch from 1992/93 – 2022/23 for the Back Beaches SMU. Grey dashed series = nominal abundance across all FIS sites (+/-SE). Black series = nominal (dotted line, open data point in 2023; +/-SE) and standardised (solid line, solid data point in 2023) abundance at the three Top 15 sites located within the Back Beaches SMU."/>
            <wp:cNvGraphicFramePr/>
            <a:graphic xmlns:a="http://schemas.openxmlformats.org/drawingml/2006/main">
              <a:graphicData uri="http://schemas.openxmlformats.org/drawingml/2006/picture">
                <pic:pic xmlns:pic="http://schemas.openxmlformats.org/drawingml/2006/picture">
                  <pic:nvPicPr>
                    <pic:cNvPr id="109" name="Picture" descr="Figure 19: Recruit abundance and catch from 1992/93 – 2022/23 for the Back Beaches SMU. Grey dashed series = nominal abundance across all FIS sites (+/-SE). Black series = nominal (dotted line, open data point in 2023; +/-SE) and standardised (solid line, solid data point in 2023) abundance at the three Top 15 sites located within the Back Beaches SMU."/>
                    <pic:cNvPicPr/>
                  </pic:nvPicPr>
                  <pic:blipFill>
                    <a:blip r:embed="rId34"/>
                    <a:stretch>
                      <a:fillRect/>
                    </a:stretch>
                  </pic:blipFill>
                  <pic:spPr bwMode="auto">
                    <a:xfrm>
                      <a:off x="0" y="0"/>
                      <a:ext cx="5727700" cy="3579495"/>
                    </a:xfrm>
                    <a:prstGeom prst="rect">
                      <a:avLst/>
                    </a:prstGeom>
                    <a:noFill/>
                    <a:ln w="9525">
                      <a:noFill/>
                      <a:headEnd/>
                      <a:tailEnd/>
                    </a:ln>
                  </pic:spPr>
                </pic:pic>
              </a:graphicData>
            </a:graphic>
          </wp:inline>
        </w:drawing>
      </w:r>
    </w:p>
    <w:p w14:paraId="6EB0AA39" w14:textId="39B76B40" w:rsidR="00FB0A3F" w:rsidRDefault="00000000">
      <w:pPr>
        <w:pStyle w:val="Caption"/>
      </w:pPr>
      <w:bookmarkStart w:id="220" w:name="_Toc192777279"/>
      <w:r>
        <w:t>Figure 14: Recruit abundance (grey dashed, nominal all sites 1992 – 2021; black, Top 15 standardised (solid) 2003 – 2023) including catch from 1992/1993 – 2022/</w:t>
      </w:r>
      <w:proofErr w:type="gramStart"/>
      <w:r>
        <w:t>23  for</w:t>
      </w:r>
      <w:proofErr w:type="gramEnd"/>
      <w:r>
        <w:t xml:space="preserve"> the Back Beaches SMU. MPs = introduction of Marine Parks; numbers reflect size limit changes.</w:t>
      </w:r>
      <w:bookmarkEnd w:id="220"/>
    </w:p>
    <w:p w14:paraId="0A7F4CD7" w14:textId="0BF33061" w:rsidR="00FB0A3F" w:rsidRDefault="005C3846">
      <w:r>
        <w:rPr>
          <w:noProof/>
        </w:rPr>
        <w:lastRenderedPageBreak/>
        <w:drawing>
          <wp:inline distT="0" distB="0" distL="0" distR="0" wp14:anchorId="0B93A945" wp14:editId="3AD1801A">
            <wp:extent cx="5727700" cy="3579495"/>
            <wp:effectExtent l="0" t="0" r="0" b="0"/>
            <wp:docPr id="112" name="Picture" descr="Figure 20: Pre-recruit abundance and catch from 1992/93 – 2022/23 for the Back Beaches SMU. Grey dashed series = nominal abundance across all FIS sites (+/-SE). Black series = nominal (dotted line, open data point in 2023; +/-SE) and standardised (solid line, solid data point in 2023) abundance at the three Top 15 sites located within the Back Beaches SMU."/>
            <wp:cNvGraphicFramePr/>
            <a:graphic xmlns:a="http://schemas.openxmlformats.org/drawingml/2006/main">
              <a:graphicData uri="http://schemas.openxmlformats.org/drawingml/2006/picture">
                <pic:pic xmlns:pic="http://schemas.openxmlformats.org/drawingml/2006/picture">
                  <pic:nvPicPr>
                    <pic:cNvPr id="112" name="Picture" descr="Figure 20: Pre-recruit abundance and catch from 1992/93 – 2022/23 for the Back Beaches SMU. Grey dashed series = nominal abundance across all FIS sites (+/-SE). Black series = nominal (dotted line, open data point in 2023; +/-SE) and standardised (solid line, solid data point in 2023) abundance at the three Top 15 sites located within the Back Beaches SMU."/>
                    <pic:cNvPicPr/>
                  </pic:nvPicPr>
                  <pic:blipFill>
                    <a:blip r:embed="rId35"/>
                    <a:stretch>
                      <a:fillRect/>
                    </a:stretch>
                  </pic:blipFill>
                  <pic:spPr bwMode="auto">
                    <a:xfrm>
                      <a:off x="0" y="0"/>
                      <a:ext cx="5727700" cy="3579495"/>
                    </a:xfrm>
                    <a:prstGeom prst="rect">
                      <a:avLst/>
                    </a:prstGeom>
                    <a:noFill/>
                    <a:ln w="9525">
                      <a:noFill/>
                      <a:headEnd/>
                      <a:tailEnd/>
                    </a:ln>
                  </pic:spPr>
                </pic:pic>
              </a:graphicData>
            </a:graphic>
          </wp:inline>
        </w:drawing>
      </w:r>
    </w:p>
    <w:p w14:paraId="50B37898" w14:textId="3AACD621" w:rsidR="00FB0A3F" w:rsidRDefault="00000000">
      <w:pPr>
        <w:pStyle w:val="Caption"/>
      </w:pPr>
      <w:bookmarkStart w:id="221" w:name="_Toc192777280"/>
      <w:r>
        <w:t>Figure 15: Pre-recruit abundance (grey dashed, nominal all sites 1992 – 2021; black, Top 15 standardised (solid) 2003 – 2023) including catch from 1992/1993 – 2022/23 for the Back Beaches SMU. MPs = introduction of Marine Parks; numbers reflect size limit changes.</w:t>
      </w:r>
      <w:bookmarkEnd w:id="221"/>
    </w:p>
    <w:p w14:paraId="10264AAB" w14:textId="77777777" w:rsidR="00FB0A3F" w:rsidRDefault="00FB0A3F"/>
    <w:p w14:paraId="280B47BB" w14:textId="139F8316" w:rsidR="00FB0A3F" w:rsidRDefault="00000000">
      <w:pPr>
        <w:rPr>
          <w:i/>
          <w:iCs/>
        </w:rPr>
      </w:pPr>
      <w:r>
        <w:rPr>
          <w:i/>
          <w:iCs/>
        </w:rPr>
        <w:t>Length frequency data – FIS</w:t>
      </w:r>
    </w:p>
    <w:p w14:paraId="53CBA0F5" w14:textId="6799FEBB" w:rsidR="00FB0A3F" w:rsidRDefault="00000000">
      <w:r>
        <w:t xml:space="preserve">The size structure of the surveyed population at the Back Beaches SMU has remained stable over time despite variations in abundance (Appendix </w:t>
      </w:r>
      <w:r w:rsidR="00AE57FA">
        <w:t>1</w:t>
      </w:r>
      <w:r>
        <w:t>). The increase in pre-recruit abundance observed in the three Top 15 sites surveyed in the 2023 FIS was across a range of pre-recruit size categories.</w:t>
      </w:r>
    </w:p>
    <w:p w14:paraId="45EAB08B" w14:textId="77777777" w:rsidR="00FB0A3F" w:rsidRDefault="00000000">
      <w:pPr>
        <w:rPr>
          <w:i/>
          <w:iCs/>
        </w:rPr>
      </w:pPr>
      <w:r>
        <w:rPr>
          <w:i/>
          <w:iCs/>
        </w:rPr>
        <w:t>Length frequency data – commercial</w:t>
      </w:r>
    </w:p>
    <w:p w14:paraId="5783A0A8" w14:textId="3D95D5D8" w:rsidR="00FB0A3F" w:rsidRDefault="00000000">
      <w:r>
        <w:t>From 2016/17 to 2019/20, the standardised average length of abalone in the commercial catch was relatively stable around 12</w:t>
      </w:r>
      <w:r w:rsidR="00AE57FA">
        <w:t>5</w:t>
      </w:r>
      <w:r>
        <w:t xml:space="preserve"> mm, which was around </w:t>
      </w:r>
      <w:r w:rsidR="00AE57FA">
        <w:t>8</w:t>
      </w:r>
      <w:r>
        <w:t xml:space="preserve"> mm above the LML at that time (Appendix </w:t>
      </w:r>
      <w:r w:rsidR="00AE57FA">
        <w:t>3</w:t>
      </w:r>
      <w:r>
        <w:t xml:space="preserve">, Appendix </w:t>
      </w:r>
      <w:r w:rsidR="00AE57FA">
        <w:t>3</w:t>
      </w:r>
      <w:r>
        <w:t xml:space="preserve">). The LML increased to 119 mm on 1 April 2020 and mean size increased by around 2 mm at that time. Thereafter, average size has </w:t>
      </w:r>
      <w:r w:rsidR="00AE57FA">
        <w:t xml:space="preserve">steadily </w:t>
      </w:r>
      <w:r>
        <w:t>increased on an annual basis and is currently around 1</w:t>
      </w:r>
      <w:r w:rsidR="00AE57FA">
        <w:t>34</w:t>
      </w:r>
      <w:r>
        <w:t xml:space="preserve"> mm, which is </w:t>
      </w:r>
      <w:r w:rsidR="00AE57FA">
        <w:t>15</w:t>
      </w:r>
      <w:r>
        <w:t xml:space="preserve"> mm above the LML. It is noted that raw data show </w:t>
      </w:r>
      <w:r w:rsidR="00AE57FA">
        <w:t xml:space="preserve">very similar trends </w:t>
      </w:r>
      <w:r>
        <w:t xml:space="preserve">as standardised data over time. </w:t>
      </w:r>
      <w:r w:rsidR="00AE57FA">
        <w:t>Increases in length lead to increases in weight and a reduction in the number of abalone harvested for a given TACC, with estimates of weight increase greater than 10% for the Back Beaches SMU.</w:t>
      </w:r>
    </w:p>
    <w:p w14:paraId="6FB736E7" w14:textId="77777777" w:rsidR="00FB0A3F" w:rsidRDefault="00000000">
      <w:r>
        <w:rPr>
          <w:i/>
          <w:iCs/>
        </w:rPr>
        <w:t>Summary</w:t>
      </w:r>
    </w:p>
    <w:p w14:paraId="62C22F02" w14:textId="54A1782A" w:rsidR="00FB0A3F" w:rsidRDefault="00000000">
      <w:r>
        <w:t xml:space="preserve">The Back Beaches SMU maintained high catches and catch rates particularly from 2000 to 2009. The peak catch of 95 t in 2008 occurred either side of increases in LML in 2007 and 2009. Catches declined thereafter until 2014 when the LML was decreased and catches again increased to reach almost 80 t in 2016. Catches then declined again, with 36.5 t harvested in the 2020/21 quota year before increasing to </w:t>
      </w:r>
      <w:r w:rsidR="00712158">
        <w:t xml:space="preserve">around </w:t>
      </w:r>
      <w:r>
        <w:t>42.</w:t>
      </w:r>
      <w:r w:rsidR="00712158">
        <w:t>5</w:t>
      </w:r>
      <w:r>
        <w:t xml:space="preserve"> t </w:t>
      </w:r>
      <w:r w:rsidR="00712158">
        <w:t>for the last three years</w:t>
      </w:r>
      <w:r>
        <w:t xml:space="preserve">. Standardised CPUE declined from 2003 to 2017 but has increased thereafter. </w:t>
      </w:r>
      <w:r w:rsidR="00712158">
        <w:t>Standardised m</w:t>
      </w:r>
      <w:r>
        <w:t xml:space="preserve">ean </w:t>
      </w:r>
      <w:r w:rsidR="00712158">
        <w:t xml:space="preserve">daily </w:t>
      </w:r>
      <w:r>
        <w:t xml:space="preserve">catch per day has </w:t>
      </w:r>
      <w:r w:rsidR="00712158">
        <w:t xml:space="preserve">also </w:t>
      </w:r>
      <w:r>
        <w:t xml:space="preserve">increased in the last three years. The distribution of catches by </w:t>
      </w:r>
      <w:proofErr w:type="spellStart"/>
      <w:r>
        <w:t>reefcode</w:t>
      </w:r>
      <w:proofErr w:type="spellEnd"/>
      <w:r>
        <w:t xml:space="preserve"> is stable. </w:t>
      </w:r>
    </w:p>
    <w:p w14:paraId="4E923991" w14:textId="05C61481" w:rsidR="00FB0A3F" w:rsidRDefault="00000000">
      <w:r>
        <w:lastRenderedPageBreak/>
        <w:t>At the three Top 15 FIS sites</w:t>
      </w:r>
      <w:r w:rsidR="00712158">
        <w:t xml:space="preserve"> in 2023</w:t>
      </w:r>
      <w:r>
        <w:t xml:space="preserve">, recruit abundance remains low in a historical context but is almost twice as high as it was in 2017 and 2018. The abundance of pre-recruits increased dramatically in 2023 to be the equal highest observed </w:t>
      </w:r>
      <w:r w:rsidR="00712158">
        <w:t xml:space="preserve">(same as </w:t>
      </w:r>
      <w:r>
        <w:t>2006</w:t>
      </w:r>
      <w:r w:rsidR="00712158">
        <w:t>)</w:t>
      </w:r>
      <w:r>
        <w:t xml:space="preserve">. </w:t>
      </w:r>
      <w:r w:rsidR="00712158">
        <w:t>No FIS was done in 20</w:t>
      </w:r>
      <w:r w:rsidR="008E6717">
        <w:t>24</w:t>
      </w:r>
      <w:r w:rsidR="00712158">
        <w:t>.</w:t>
      </w:r>
    </w:p>
    <w:p w14:paraId="5AB74159" w14:textId="592758A7" w:rsidR="00FB0A3F" w:rsidRDefault="00000000">
      <w:r>
        <w:t xml:space="preserve">The standardised average </w:t>
      </w:r>
      <w:r w:rsidR="00712158">
        <w:t>length</w:t>
      </w:r>
      <w:r>
        <w:t xml:space="preserve"> of the commercial catch has increased substantially </w:t>
      </w:r>
      <w:r w:rsidR="00712158">
        <w:t>from around 125 mm in 2019/20 to around 134 mm in 2024/25, which is 15 mm above the LML</w:t>
      </w:r>
      <w:r>
        <w:t>.</w:t>
      </w:r>
    </w:p>
    <w:p w14:paraId="4352CCB9" w14:textId="2DD52561" w:rsidR="00FB0A3F" w:rsidRDefault="00000000">
      <w:r>
        <w:t>Total catch in the Back Beaches SMU (42.</w:t>
      </w:r>
      <w:r w:rsidR="00712158">
        <w:t>5</w:t>
      </w:r>
      <w:r>
        <w:t xml:space="preserve"> t) was 2.</w:t>
      </w:r>
      <w:r w:rsidR="00712158">
        <w:t>5</w:t>
      </w:r>
      <w:r>
        <w:t xml:space="preserve"> t above the OT (40.0 t). Mean CPUE (</w:t>
      </w:r>
      <w:r w:rsidR="00712158">
        <w:t>79.3</w:t>
      </w:r>
      <w:r>
        <w:t xml:space="preserve"> kg/h) was above the Threshold level (70 kg/h)</w:t>
      </w:r>
      <w:r w:rsidR="00712158">
        <w:t xml:space="preserve"> for the</w:t>
      </w:r>
      <w:r w:rsidR="00F60C2D">
        <w:t xml:space="preserve"> third consecutive year</w:t>
      </w:r>
      <w:r>
        <w:t xml:space="preserve">. The Primary </w:t>
      </w:r>
      <w:r w:rsidR="00712158">
        <w:t xml:space="preserve">Indicator was Increasing </w:t>
      </w:r>
      <w:r>
        <w:t>and Secondary Indicator</w:t>
      </w:r>
      <w:r w:rsidR="00712158">
        <w:t xml:space="preserve"> was Stable, </w:t>
      </w:r>
      <w:r>
        <w:t xml:space="preserve">resulting in an Increasing Final Category. </w:t>
      </w:r>
      <w:r w:rsidR="00F60C2D">
        <w:t xml:space="preserve">As a result, increases in catch of up to 25% above the current OT could be considered. The OT was increased to 41.5 t for 2024/25, suggesting an OT from 41.5 t to 51.9 t for 2025/26. </w:t>
      </w:r>
    </w:p>
    <w:p w14:paraId="5A84A36E" w14:textId="58FA4D09" w:rsidR="00FB0A3F" w:rsidRDefault="00155082">
      <w:pPr>
        <w:rPr>
          <w:b/>
          <w:bCs/>
        </w:rPr>
      </w:pPr>
      <w:r>
        <w:rPr>
          <w:b/>
          <w:bCs/>
        </w:rPr>
        <w:t xml:space="preserve">Following the lower catches harvested since 2019, the weight of evidence assessment for the Back Beaches SMU is now overwhelmingly positive. Both CPUE and mean daily catch have increased, </w:t>
      </w:r>
      <w:r w:rsidR="00897821">
        <w:rPr>
          <w:b/>
          <w:bCs/>
        </w:rPr>
        <w:t xml:space="preserve">and the distribution of catches among </w:t>
      </w:r>
      <w:proofErr w:type="spellStart"/>
      <w:r w:rsidR="00897821">
        <w:rPr>
          <w:b/>
          <w:bCs/>
        </w:rPr>
        <w:t>reefcodes</w:t>
      </w:r>
      <w:proofErr w:type="spellEnd"/>
      <w:r w:rsidR="00897821">
        <w:rPr>
          <w:b/>
          <w:bCs/>
        </w:rPr>
        <w:t xml:space="preserve"> is stable. T</w:t>
      </w:r>
      <w:r>
        <w:rPr>
          <w:b/>
          <w:bCs/>
        </w:rPr>
        <w:t>he average length of abalone in the commercial catch</w:t>
      </w:r>
      <w:r w:rsidR="00897821">
        <w:rPr>
          <w:b/>
          <w:bCs/>
        </w:rPr>
        <w:t xml:space="preserve"> has increased substantially, implying that fewer individual abalone are harvested annually for a given TACC</w:t>
      </w:r>
      <w:r>
        <w:rPr>
          <w:b/>
          <w:bCs/>
        </w:rPr>
        <w:t xml:space="preserve">. FIS recruit abundance is low but stable however pre-recruit abundance increased dramatically in 2023 and was at equal record levels. The Draft Harvest Strategy suggests another increase in OT can be considered, however if this is recommended then any increase should again be modest to ensure </w:t>
      </w:r>
      <w:r w:rsidR="00900000">
        <w:rPr>
          <w:b/>
          <w:bCs/>
        </w:rPr>
        <w:t xml:space="preserve">continued </w:t>
      </w:r>
      <w:r>
        <w:rPr>
          <w:b/>
          <w:bCs/>
        </w:rPr>
        <w:t xml:space="preserve">recovery of the stock. </w:t>
      </w:r>
    </w:p>
    <w:p w14:paraId="2D7EA514" w14:textId="77777777" w:rsidR="00FB0A3F" w:rsidRDefault="00FB0A3F"/>
    <w:bookmarkEnd w:id="219"/>
    <w:p w14:paraId="1B357769" w14:textId="77777777" w:rsidR="00FB0A3F" w:rsidRDefault="00000000">
      <w:pPr>
        <w:pStyle w:val="Heading3"/>
        <w:numPr>
          <w:ilvl w:val="2"/>
          <w:numId w:val="9"/>
        </w:numPr>
        <w:ind w:left="504"/>
      </w:pPr>
      <w:r>
        <w:t xml:space="preserve">   </w:t>
      </w:r>
      <w:bookmarkStart w:id="222" w:name="_Toc192777232"/>
      <w:r>
        <w:t>Phillip Island (Medium SMU)</w:t>
      </w:r>
      <w:bookmarkEnd w:id="222"/>
    </w:p>
    <w:p w14:paraId="6D32A55F" w14:textId="36674C85" w:rsidR="00FB0A3F" w:rsidRDefault="00000000">
      <w:r>
        <w:t xml:space="preserve">The Phillip Island SMU was </w:t>
      </w:r>
      <w:r w:rsidR="008D0E2D">
        <w:t xml:space="preserve">third </w:t>
      </w:r>
      <w:r>
        <w:t>highest contributor to the Central Zone total catch with 3</w:t>
      </w:r>
      <w:r w:rsidR="008D0E2D">
        <w:t>2</w:t>
      </w:r>
      <w:r>
        <w:t>.</w:t>
      </w:r>
      <w:r w:rsidR="008D0E2D">
        <w:t>7</w:t>
      </w:r>
      <w:r>
        <w:t xml:space="preserve"> t harvested in 202</w:t>
      </w:r>
      <w:r w:rsidR="008D0E2D">
        <w:t>3</w:t>
      </w:r>
      <w:r>
        <w:t>/2</w:t>
      </w:r>
      <w:r w:rsidR="008D0E2D">
        <w:t>4</w:t>
      </w:r>
      <w:r>
        <w:t xml:space="preserve"> representing 1</w:t>
      </w:r>
      <w:r w:rsidR="008D0E2D">
        <w:t>4.7</w:t>
      </w:r>
      <w:r>
        <w:t>% of the total catch (Table 1</w:t>
      </w:r>
      <w:r w:rsidR="001A6F5B">
        <w:t>2</w:t>
      </w:r>
      <w:r>
        <w:t xml:space="preserve">) and TACC (Table </w:t>
      </w:r>
      <w:r w:rsidR="008D0E2D">
        <w:t>3</w:t>
      </w:r>
      <w:r>
        <w:t xml:space="preserve">). The catch was </w:t>
      </w:r>
      <w:r w:rsidR="008D0E2D">
        <w:t>0.4</w:t>
      </w:r>
      <w:r>
        <w:t xml:space="preserve"> t above the OT. </w:t>
      </w:r>
      <w:r w:rsidR="00192026">
        <w:rPr>
          <w:rFonts w:ascii="Helvetica" w:eastAsia="Helvetica" w:hAnsi="Helvetica" w:cs="Helvetica"/>
          <w:color w:val="000000"/>
          <w:sz w:val="18"/>
          <w:szCs w:val="18"/>
        </w:rPr>
        <w:t>Standardised</w:t>
      </w:r>
      <w:r w:rsidR="00192026">
        <w:t xml:space="preserve"> </w:t>
      </w:r>
      <w:r>
        <w:t xml:space="preserve">CPUE has declined by </w:t>
      </w:r>
      <w:r w:rsidR="00192026">
        <w:t>8</w:t>
      </w:r>
      <w:r>
        <w:t xml:space="preserve">% in the long-term, </w:t>
      </w:r>
      <w:r w:rsidR="00192026">
        <w:t>increased by 2%</w:t>
      </w:r>
      <w:r>
        <w:t xml:space="preserve"> in the short-term </w:t>
      </w:r>
      <w:r w:rsidR="00192026">
        <w:t xml:space="preserve">and </w:t>
      </w:r>
      <w:r>
        <w:t>by 2</w:t>
      </w:r>
      <w:r w:rsidR="00192026">
        <w:t>8</w:t>
      </w:r>
      <w:r>
        <w:t xml:space="preserve">% in the last 4 years. </w:t>
      </w:r>
    </w:p>
    <w:p w14:paraId="4AFF307C" w14:textId="035213A7" w:rsidR="00FB0A3F" w:rsidRDefault="00000000">
      <w:pPr>
        <w:pStyle w:val="TableCaption"/>
      </w:pPr>
      <w:bookmarkStart w:id="223" w:name="_Toc192762280"/>
      <w:r>
        <w:t>Table 1</w:t>
      </w:r>
      <w:r w:rsidR="001A6F5B">
        <w:t>2</w:t>
      </w:r>
      <w:r>
        <w:t>: Summary of Catch, Optimal targets and CPUE performance indicators for the Phillip Island SMU. The LML and mean daily catch are also shown.</w:t>
      </w:r>
      <w:bookmarkEnd w:id="223"/>
      <w:r>
        <w:t xml:space="preserve"> </w:t>
      </w:r>
    </w:p>
    <w:tbl>
      <w:tblPr>
        <w:tblW w:w="9062" w:type="dxa"/>
        <w:jc w:val="center"/>
        <w:tblLayout w:type="fixed"/>
        <w:tblLook w:val="04A0" w:firstRow="1" w:lastRow="0" w:firstColumn="1" w:lastColumn="0" w:noHBand="0" w:noVBand="1"/>
      </w:tblPr>
      <w:tblGrid>
        <w:gridCol w:w="703"/>
        <w:gridCol w:w="572"/>
        <w:gridCol w:w="724"/>
        <w:gridCol w:w="846"/>
        <w:gridCol w:w="831"/>
        <w:gridCol w:w="14"/>
        <w:gridCol w:w="1790"/>
        <w:gridCol w:w="1791"/>
        <w:gridCol w:w="1791"/>
      </w:tblGrid>
      <w:tr w:rsidR="00FB0A3F" w14:paraId="64BCAFAD" w14:textId="77777777">
        <w:trPr>
          <w:cantSplit/>
          <w:trHeight w:val="540"/>
          <w:tblHeader/>
          <w:jc w:val="center"/>
        </w:trPr>
        <w:tc>
          <w:tcPr>
            <w:tcW w:w="3690" w:type="dxa"/>
            <w:gridSpan w:val="6"/>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3AF3F25E" w14:textId="77777777" w:rsidR="00FB0A3F" w:rsidRDefault="00000000">
            <w:pPr>
              <w:spacing w:before="100" w:after="100"/>
              <w:ind w:left="100" w:right="100"/>
              <w:jc w:val="center"/>
            </w:pPr>
            <w:r>
              <w:rPr>
                <w:rFonts w:ascii="Helvetica" w:eastAsia="Helvetica" w:hAnsi="Helvetica" w:cs="Helvetica"/>
                <w:color w:val="000000"/>
                <w:sz w:val="18"/>
                <w:szCs w:val="18"/>
              </w:rPr>
              <w:t>Catch</w:t>
            </w:r>
          </w:p>
        </w:tc>
        <w:tc>
          <w:tcPr>
            <w:tcW w:w="5372" w:type="dxa"/>
            <w:gridSpan w:val="3"/>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3BA5DA83" w14:textId="0DA12095" w:rsidR="00FB0A3F" w:rsidRDefault="00192026">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Standardised CPUE Performance Indicators (% change)</w:t>
            </w:r>
          </w:p>
        </w:tc>
      </w:tr>
      <w:tr w:rsidR="00FB0A3F" w14:paraId="7DBDDC9E" w14:textId="77777777">
        <w:trPr>
          <w:cantSplit/>
          <w:trHeight w:val="507"/>
          <w:tblHeader/>
          <w:jc w:val="center"/>
        </w:trPr>
        <w:tc>
          <w:tcPr>
            <w:tcW w:w="1275" w:type="dxa"/>
            <w:gridSpan w:val="2"/>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35AC62C1" w14:textId="51602391" w:rsidR="00FB0A3F" w:rsidRDefault="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2023/24</w:t>
            </w:r>
          </w:p>
        </w:tc>
        <w:tc>
          <w:tcPr>
            <w:tcW w:w="241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15556F6" w14:textId="77777777" w:rsidR="00FB0A3F" w:rsidRDefault="00000000">
            <w:pPr>
              <w:spacing w:before="100" w:after="100"/>
              <w:ind w:left="100" w:right="100"/>
              <w:jc w:val="center"/>
            </w:pPr>
            <w:r>
              <w:rPr>
                <w:rFonts w:ascii="Helvetica" w:eastAsia="Helvetica" w:hAnsi="Helvetica" w:cs="Helvetica"/>
                <w:color w:val="000000"/>
                <w:sz w:val="18"/>
                <w:szCs w:val="18"/>
              </w:rPr>
              <w:t>OT + carryover* (t)</w:t>
            </w: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1F5F4D5" w14:textId="77777777" w:rsidR="00FB0A3F" w:rsidRDefault="00000000">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Long-term</w:t>
            </w:r>
          </w:p>
        </w:tc>
        <w:tc>
          <w:tcPr>
            <w:tcW w:w="179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3BE6493" w14:textId="77777777" w:rsidR="00FB0A3F" w:rsidRDefault="00000000">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Short-term</w:t>
            </w:r>
          </w:p>
        </w:tc>
        <w:tc>
          <w:tcPr>
            <w:tcW w:w="179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A252308" w14:textId="77777777" w:rsidR="00FB0A3F" w:rsidRDefault="00000000">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Last 4 years</w:t>
            </w:r>
          </w:p>
        </w:tc>
      </w:tr>
      <w:tr w:rsidR="00FF2F21" w14:paraId="2E02B4F6" w14:textId="77777777">
        <w:trPr>
          <w:cantSplit/>
          <w:trHeight w:val="218"/>
          <w:tblHeader/>
          <w:jc w:val="center"/>
        </w:trPr>
        <w:tc>
          <w:tcPr>
            <w:tcW w:w="703"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7C59D32" w14:textId="77777777" w:rsidR="00FF2F21" w:rsidRDefault="00FF2F21" w:rsidP="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(t)</w:t>
            </w:r>
          </w:p>
        </w:tc>
        <w:tc>
          <w:tcPr>
            <w:tcW w:w="572"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32C747B" w14:textId="77777777" w:rsidR="00FF2F21" w:rsidRDefault="00FF2F21" w:rsidP="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w:t>
            </w: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B7D937D" w14:textId="1A217023" w:rsidR="00FF2F21" w:rsidRDefault="00FF2F21" w:rsidP="00FF2F21">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22/23</w:t>
            </w:r>
          </w:p>
        </w:tc>
        <w:tc>
          <w:tcPr>
            <w:tcW w:w="84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B8FDF2D" w14:textId="6307EED6" w:rsidR="00FF2F21" w:rsidRDefault="00FF2F21" w:rsidP="00FF2F21">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23/24</w:t>
            </w:r>
          </w:p>
        </w:tc>
        <w:tc>
          <w:tcPr>
            <w:tcW w:w="845"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0971A71B" w14:textId="54D03115" w:rsidR="00FF2F21" w:rsidRDefault="00FF2F21" w:rsidP="00FF2F21">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24/25</w:t>
            </w: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8245DB2" w14:textId="25CCFE38" w:rsidR="00FF2F21" w:rsidRDefault="00FF2F21" w:rsidP="00FF2F21">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2003/04 – 2023/24</w:t>
            </w:r>
          </w:p>
        </w:tc>
        <w:tc>
          <w:tcPr>
            <w:tcW w:w="179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62B59EB" w14:textId="1B03CF9A" w:rsidR="00FF2F21" w:rsidRDefault="00FF2F21" w:rsidP="00FF2F21">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2009/10 – 2023/24</w:t>
            </w:r>
          </w:p>
        </w:tc>
        <w:tc>
          <w:tcPr>
            <w:tcW w:w="179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825678F" w14:textId="3E9645F9" w:rsidR="00FF2F21" w:rsidRDefault="00FF2F21" w:rsidP="00FF2F21">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2020/21 – 2023/24</w:t>
            </w:r>
          </w:p>
        </w:tc>
      </w:tr>
      <w:tr w:rsidR="00FF2F21" w14:paraId="6C388EE0" w14:textId="77777777">
        <w:trPr>
          <w:cantSplit/>
          <w:jc w:val="center"/>
        </w:trPr>
        <w:tc>
          <w:tcPr>
            <w:tcW w:w="703"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38E51D4E" w14:textId="4A7A5CA0" w:rsidR="00FF2F21" w:rsidRDefault="00FF2F21" w:rsidP="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3</w:t>
            </w:r>
            <w:r w:rsidR="008D0E2D">
              <w:rPr>
                <w:rFonts w:ascii="Helvetica" w:eastAsia="Helvetica" w:hAnsi="Helvetica" w:cs="Helvetica"/>
                <w:color w:val="000000"/>
                <w:sz w:val="18"/>
                <w:szCs w:val="18"/>
              </w:rPr>
              <w:t>2.7</w:t>
            </w:r>
          </w:p>
        </w:tc>
        <w:tc>
          <w:tcPr>
            <w:tcW w:w="572"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48A20E4E" w14:textId="5876C4DF" w:rsidR="00FF2F21" w:rsidRDefault="00FF2F21" w:rsidP="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1</w:t>
            </w:r>
            <w:r w:rsidR="008D0E2D">
              <w:rPr>
                <w:rFonts w:ascii="Helvetica" w:eastAsia="Helvetica" w:hAnsi="Helvetica" w:cs="Helvetica"/>
                <w:color w:val="000000"/>
                <w:sz w:val="18"/>
                <w:szCs w:val="18"/>
              </w:rPr>
              <w:t>4.7</w:t>
            </w:r>
          </w:p>
        </w:tc>
        <w:tc>
          <w:tcPr>
            <w:tcW w:w="724"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C0B9F6E" w14:textId="238FDBD0" w:rsidR="00FF2F21" w:rsidRDefault="00FF2F21" w:rsidP="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34.0</w:t>
            </w:r>
          </w:p>
        </w:tc>
        <w:tc>
          <w:tcPr>
            <w:tcW w:w="846" w:type="dxa"/>
            <w:tcBorders>
              <w:left w:val="single" w:sz="8" w:space="0" w:color="000000"/>
              <w:bottom w:val="single" w:sz="8" w:space="0" w:color="000000"/>
              <w:right w:val="single" w:sz="8" w:space="0" w:color="000000"/>
            </w:tcBorders>
            <w:shd w:val="clear" w:color="auto" w:fill="auto"/>
          </w:tcPr>
          <w:p w14:paraId="34EFF150" w14:textId="60F079F3" w:rsidR="00FF2F21" w:rsidRDefault="00FF2F21" w:rsidP="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32.3</w:t>
            </w:r>
          </w:p>
        </w:tc>
        <w:tc>
          <w:tcPr>
            <w:tcW w:w="845" w:type="dxa"/>
            <w:gridSpan w:val="2"/>
            <w:tcBorders>
              <w:left w:val="single" w:sz="8" w:space="0" w:color="000000"/>
              <w:bottom w:val="single" w:sz="8" w:space="0" w:color="000000"/>
              <w:right w:val="single" w:sz="8" w:space="0" w:color="000000"/>
            </w:tcBorders>
            <w:shd w:val="clear" w:color="auto" w:fill="auto"/>
          </w:tcPr>
          <w:p w14:paraId="7409664C" w14:textId="7E9A1C10" w:rsidR="00FF2F21" w:rsidRDefault="009C295D" w:rsidP="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34.0</w:t>
            </w: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7A66274" w14:textId="26B7CB13" w:rsidR="00FF2F21" w:rsidRPr="00192026" w:rsidRDefault="00FF2F21" w:rsidP="00FF2F21">
            <w:pPr>
              <w:spacing w:before="100" w:after="100"/>
              <w:ind w:left="100" w:right="100"/>
              <w:jc w:val="center"/>
              <w:rPr>
                <w:rFonts w:ascii="Helvetica" w:eastAsia="Helvetica" w:hAnsi="Helvetica" w:cs="Helvetica"/>
                <w:color w:val="000000" w:themeColor="text1"/>
                <w:sz w:val="18"/>
                <w:szCs w:val="18"/>
              </w:rPr>
            </w:pPr>
            <w:r w:rsidRPr="00192026">
              <w:rPr>
                <w:rFonts w:ascii="Arial" w:eastAsia="Arial" w:hAnsi="Arial" w:cs="Arial"/>
                <w:color w:val="000000" w:themeColor="text1"/>
                <w:sz w:val="18"/>
                <w:szCs w:val="18"/>
              </w:rPr>
              <w:t>-</w:t>
            </w:r>
            <w:r w:rsidR="00192026">
              <w:rPr>
                <w:rFonts w:ascii="Arial" w:eastAsia="Arial" w:hAnsi="Arial" w:cs="Arial"/>
                <w:color w:val="000000" w:themeColor="text1"/>
                <w:sz w:val="18"/>
                <w:szCs w:val="18"/>
              </w:rPr>
              <w:t>8</w:t>
            </w:r>
          </w:p>
        </w:tc>
        <w:tc>
          <w:tcPr>
            <w:tcW w:w="179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51BC4E6" w14:textId="38137F6C" w:rsidR="00FF2F21" w:rsidRPr="00192026" w:rsidRDefault="00192026" w:rsidP="00FF2F21">
            <w:pPr>
              <w:spacing w:before="100" w:after="100"/>
              <w:ind w:left="100" w:right="100"/>
              <w:jc w:val="center"/>
              <w:rPr>
                <w:rFonts w:ascii="Helvetica" w:eastAsia="Helvetica" w:hAnsi="Helvetica" w:cs="Helvetica"/>
                <w:color w:val="000000" w:themeColor="text1"/>
                <w:sz w:val="18"/>
                <w:szCs w:val="18"/>
              </w:rPr>
            </w:pPr>
            <w:r>
              <w:rPr>
                <w:rFonts w:ascii="Arial" w:eastAsia="Arial" w:hAnsi="Arial" w:cs="Arial"/>
                <w:color w:val="000000" w:themeColor="text1"/>
                <w:sz w:val="18"/>
                <w:szCs w:val="18"/>
              </w:rPr>
              <w:t>2</w:t>
            </w:r>
          </w:p>
        </w:tc>
        <w:tc>
          <w:tcPr>
            <w:tcW w:w="1791" w:type="dxa"/>
            <w:tcBorders>
              <w:top w:val="single" w:sz="8" w:space="0" w:color="000000"/>
              <w:left w:val="single" w:sz="8" w:space="0" w:color="000000"/>
              <w:bottom w:val="single" w:sz="8" w:space="0" w:color="000000"/>
              <w:right w:val="single" w:sz="8" w:space="0" w:color="000000"/>
            </w:tcBorders>
            <w:shd w:val="clear" w:color="auto" w:fill="FFFFFF"/>
          </w:tcPr>
          <w:p w14:paraId="055D6D58" w14:textId="6DB3ACB9" w:rsidR="00FF2F21" w:rsidRPr="00192026" w:rsidRDefault="00FF2F21" w:rsidP="00FF2F21">
            <w:pPr>
              <w:spacing w:before="100" w:after="100"/>
              <w:ind w:left="100" w:right="100"/>
              <w:jc w:val="center"/>
              <w:rPr>
                <w:rFonts w:ascii="Helvetica" w:eastAsia="Helvetica" w:hAnsi="Helvetica" w:cs="Helvetica"/>
                <w:color w:val="000000" w:themeColor="text1"/>
                <w:sz w:val="18"/>
                <w:szCs w:val="18"/>
              </w:rPr>
            </w:pPr>
            <w:r w:rsidRPr="00192026">
              <w:rPr>
                <w:rFonts w:ascii="Arial" w:eastAsia="Arial" w:hAnsi="Arial" w:cs="Arial"/>
                <w:color w:val="000000" w:themeColor="text1"/>
                <w:sz w:val="18"/>
                <w:szCs w:val="18"/>
              </w:rPr>
              <w:t>2</w:t>
            </w:r>
            <w:r w:rsidR="00192026">
              <w:rPr>
                <w:rFonts w:ascii="Arial" w:eastAsia="Arial" w:hAnsi="Arial" w:cs="Arial"/>
                <w:color w:val="000000" w:themeColor="text1"/>
                <w:sz w:val="18"/>
                <w:szCs w:val="18"/>
              </w:rPr>
              <w:t>8</w:t>
            </w:r>
          </w:p>
        </w:tc>
      </w:tr>
      <w:tr w:rsidR="00FB0A3F" w14:paraId="29CBCBB5" w14:textId="77777777" w:rsidTr="00947B63">
        <w:trPr>
          <w:cantSplit/>
          <w:jc w:val="center"/>
        </w:trPr>
        <w:tc>
          <w:tcPr>
            <w:tcW w:w="3676" w:type="dxa"/>
            <w:gridSpan w:val="5"/>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50CE1345" w14:textId="21887CE8" w:rsidR="00FB0A3F" w:rsidRDefault="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LML 2023/24 = 112 mm</w:t>
            </w:r>
          </w:p>
        </w:tc>
        <w:tc>
          <w:tcPr>
            <w:tcW w:w="5386" w:type="dxa"/>
            <w:gridSpan w:val="4"/>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0CC62D7D" w14:textId="4E683478" w:rsidR="00FB0A3F" w:rsidRDefault="0001483C">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Mean daily catch 2023/24 (nominal) = 4</w:t>
            </w:r>
            <w:r w:rsidR="00947B63">
              <w:rPr>
                <w:rFonts w:ascii="Helvetica" w:eastAsia="Helvetica" w:hAnsi="Helvetica" w:cs="Helvetica"/>
                <w:color w:val="000000"/>
                <w:sz w:val="18"/>
                <w:szCs w:val="18"/>
              </w:rPr>
              <w:t>55</w:t>
            </w:r>
            <w:r>
              <w:rPr>
                <w:rFonts w:ascii="Helvetica" w:eastAsia="Helvetica" w:hAnsi="Helvetica" w:cs="Helvetica"/>
                <w:color w:val="000000"/>
                <w:sz w:val="18"/>
                <w:szCs w:val="18"/>
              </w:rPr>
              <w:t xml:space="preserve"> kg</w:t>
            </w:r>
          </w:p>
        </w:tc>
      </w:tr>
    </w:tbl>
    <w:p w14:paraId="0A52BA8B" w14:textId="4FAD0E5B" w:rsidR="00FB0A3F" w:rsidRDefault="00000000">
      <w:r>
        <w:t>The Phillip Island SMU has had an average catch of 6</w:t>
      </w:r>
      <w:r w:rsidR="00153F64">
        <w:t>1</w:t>
      </w:r>
      <w:r>
        <w:t xml:space="preserve"> t since </w:t>
      </w:r>
      <w:proofErr w:type="gramStart"/>
      <w:r>
        <w:t>1992</w:t>
      </w:r>
      <w:proofErr w:type="gramEnd"/>
      <w:r>
        <w:t xml:space="preserve"> and a peak catch of 121 t harvested during 1998 (Figure 16). Following the peak, catches generally declined reaching a low catch of 26 t in 2010. Catches ranged from 33 to 51 t between 2011 and 2018 but have stabilised in the last 4 years under a catch cap. </w:t>
      </w:r>
    </w:p>
    <w:p w14:paraId="22CB2D88" w14:textId="47497502" w:rsidR="00FB0A3F" w:rsidRDefault="00000000">
      <w:r>
        <w:t>Standardised CPUE slowly declined from 2003 to 2017 but has increased thereafter</w:t>
      </w:r>
      <w:r w:rsidR="00AF21D9">
        <w:t>, with substantial increases since 2020. CPUE in 2023/24 was</w:t>
      </w:r>
      <w:r>
        <w:t xml:space="preserve"> higher than 2006</w:t>
      </w:r>
      <w:r w:rsidR="00AF21D9">
        <w:t>/07</w:t>
      </w:r>
      <w:r>
        <w:t xml:space="preserve"> levels</w:t>
      </w:r>
      <w:r w:rsidR="00AF21D9">
        <w:t xml:space="preserve"> (Figure 16)</w:t>
      </w:r>
      <w:r>
        <w:t>.</w:t>
      </w:r>
      <w:r w:rsidR="00AF21D9">
        <w:t xml:space="preserve"> </w:t>
      </w:r>
    </w:p>
    <w:p w14:paraId="679E755F" w14:textId="01E9425F" w:rsidR="00FB0A3F" w:rsidRDefault="00AF21D9">
      <w:pPr>
        <w:jc w:val="center"/>
      </w:pPr>
      <w:r>
        <w:rPr>
          <w:noProof/>
        </w:rPr>
        <w:lastRenderedPageBreak/>
        <w:drawing>
          <wp:inline distT="0" distB="0" distL="0" distR="0" wp14:anchorId="6CA3E99C" wp14:editId="6746013B">
            <wp:extent cx="5727700" cy="3579495"/>
            <wp:effectExtent l="0" t="0" r="0" b="0"/>
            <wp:docPr id="62" name="Picture" descr="Figure 8: Phillip Island SMU catch, and CPUE (nominal and standardised) from 1992/93 – 2022/23. Catch = bars, nominal CPUE = grey series (+/- SE), standardised series = black. Numbers in bars indicate changes to LMLs. MPs = introduction of Marine Parks."/>
            <wp:cNvGraphicFramePr/>
            <a:graphic xmlns:a="http://schemas.openxmlformats.org/drawingml/2006/main">
              <a:graphicData uri="http://schemas.openxmlformats.org/drawingml/2006/picture">
                <pic:pic xmlns:pic="http://schemas.openxmlformats.org/drawingml/2006/picture">
                  <pic:nvPicPr>
                    <pic:cNvPr id="62" name="Picture" descr="Figure 8: Phillip Island SMU catch, and CPUE (nominal and standardised) from 1992/93 – 2022/23. Catch = bars, nominal CPUE = grey series (+/- SE), standardised series = black. Numbers in bars indicate changes to LMLs. MPs = introduction of Marine Parks."/>
                    <pic:cNvPicPr/>
                  </pic:nvPicPr>
                  <pic:blipFill>
                    <a:blip r:embed="rId36"/>
                    <a:stretch>
                      <a:fillRect/>
                    </a:stretch>
                  </pic:blipFill>
                  <pic:spPr bwMode="auto">
                    <a:xfrm>
                      <a:off x="0" y="0"/>
                      <a:ext cx="5727700" cy="3579495"/>
                    </a:xfrm>
                    <a:prstGeom prst="rect">
                      <a:avLst/>
                    </a:prstGeom>
                    <a:noFill/>
                    <a:ln w="9525">
                      <a:noFill/>
                      <a:headEnd/>
                      <a:tailEnd/>
                    </a:ln>
                  </pic:spPr>
                </pic:pic>
              </a:graphicData>
            </a:graphic>
          </wp:inline>
        </w:drawing>
      </w:r>
    </w:p>
    <w:p w14:paraId="4509BBD7" w14:textId="31F44973" w:rsidR="00FB0A3F" w:rsidRDefault="00000000">
      <w:pPr>
        <w:pStyle w:val="Caption"/>
      </w:pPr>
      <w:bookmarkStart w:id="224" w:name="_Toc192777281"/>
      <w:r w:rsidRPr="00495804">
        <w:t xml:space="preserve">Figure 16: Phillip Island SMU catch, and CPUE (nominal and standardised) from 1992/1993 – </w:t>
      </w:r>
      <w:r w:rsidR="00D2115A" w:rsidRPr="00495804">
        <w:t>2023/24.</w:t>
      </w:r>
      <w:r w:rsidR="00495804" w:rsidRPr="00495804">
        <w:t xml:space="preserve"> Nominal annual = grey series (+/- SE), standardised annual = solid black, standardised quarterly = dashed black</w:t>
      </w:r>
      <w:r>
        <w:t>. Numbers indicate changes to LMLs. MPs = introduction of Marine Parks.</w:t>
      </w:r>
      <w:bookmarkEnd w:id="224"/>
    </w:p>
    <w:p w14:paraId="21780A63" w14:textId="3EDDE151" w:rsidR="00FB0A3F" w:rsidRDefault="009B5E24">
      <w:r>
        <w:t>Standardised mean daily catch generally declined from 2003 to 2010 and has been variable thereafter (Figure 17). Nominal mean daily catch was 455 kg/day in 2023/24.</w:t>
      </w:r>
    </w:p>
    <w:p w14:paraId="1533454B" w14:textId="36F3D61F" w:rsidR="00FB0A3F" w:rsidRDefault="00AF21D9">
      <w:pPr>
        <w:jc w:val="center"/>
      </w:pPr>
      <w:r>
        <w:rPr>
          <w:noProof/>
        </w:rPr>
        <w:drawing>
          <wp:inline distT="0" distB="0" distL="0" distR="0" wp14:anchorId="436A286C" wp14:editId="7C76B022">
            <wp:extent cx="5524500" cy="3289935"/>
            <wp:effectExtent l="0" t="0" r="0" b="5715"/>
            <wp:docPr id="59" name="Picture" descr="A graph with lines and numbers&#10;&#10;Description automatically generated"/>
            <wp:cNvGraphicFramePr/>
            <a:graphic xmlns:a="http://schemas.openxmlformats.org/drawingml/2006/main">
              <a:graphicData uri="http://schemas.openxmlformats.org/drawingml/2006/picture">
                <pic:pic xmlns:pic="http://schemas.openxmlformats.org/drawingml/2006/picture">
                  <pic:nvPicPr>
                    <pic:cNvPr id="59" name="Picture" descr="A graph with lines and numbers&#10;&#10;Description automatically generated"/>
                    <pic:cNvPicPr/>
                  </pic:nvPicPr>
                  <pic:blipFill>
                    <a:blip r:embed="rId37"/>
                    <a:stretch>
                      <a:fillRect/>
                    </a:stretch>
                  </pic:blipFill>
                  <pic:spPr bwMode="auto">
                    <a:xfrm>
                      <a:off x="0" y="0"/>
                      <a:ext cx="5524500" cy="3289935"/>
                    </a:xfrm>
                    <a:prstGeom prst="rect">
                      <a:avLst/>
                    </a:prstGeom>
                    <a:noFill/>
                    <a:ln w="9525">
                      <a:noFill/>
                      <a:headEnd/>
                      <a:tailEnd/>
                    </a:ln>
                  </pic:spPr>
                </pic:pic>
              </a:graphicData>
            </a:graphic>
          </wp:inline>
        </w:drawing>
      </w:r>
    </w:p>
    <w:p w14:paraId="6AF6131A" w14:textId="7AE1C405" w:rsidR="00FB0A3F" w:rsidRDefault="00000000">
      <w:pPr>
        <w:pStyle w:val="Caption"/>
      </w:pPr>
      <w:bookmarkStart w:id="225" w:name="_Toc192777282"/>
      <w:r>
        <w:t xml:space="preserve">Figure 17: Total catch and mean daily catch for the Phillip Island </w:t>
      </w:r>
      <w:r w:rsidR="008D0E2D">
        <w:t>SMU from 2003 to 2023</w:t>
      </w:r>
      <w:r w:rsidR="00495804">
        <w:t xml:space="preserve">. </w:t>
      </w:r>
      <w:r w:rsidR="00495804" w:rsidRPr="00495804">
        <w:t>Nominal annual = grey series (+/- SE), standardised annual = solid black, standardised quarterly = dashed black</w:t>
      </w:r>
      <w:r>
        <w:t>.</w:t>
      </w:r>
      <w:bookmarkEnd w:id="225"/>
    </w:p>
    <w:p w14:paraId="49A967CD" w14:textId="77777777" w:rsidR="009A7F92" w:rsidRDefault="009A7F92">
      <w:pPr>
        <w:spacing w:before="0" w:after="0"/>
        <w:rPr>
          <w:i/>
          <w:sz w:val="18"/>
        </w:rPr>
      </w:pPr>
      <w:r>
        <w:br w:type="page"/>
      </w:r>
    </w:p>
    <w:p w14:paraId="7D47C9DF" w14:textId="4AE2767E" w:rsidR="00FB0A3F" w:rsidRDefault="00000000">
      <w:pPr>
        <w:pStyle w:val="TableCaption"/>
      </w:pPr>
      <w:bookmarkStart w:id="226" w:name="_Toc192762281"/>
      <w:r>
        <w:lastRenderedPageBreak/>
        <w:t>Table 1</w:t>
      </w:r>
      <w:r w:rsidR="001A6F5B">
        <w:t>3</w:t>
      </w:r>
      <w:r>
        <w:t xml:space="preserve">: Catches (kg) by </w:t>
      </w:r>
      <w:proofErr w:type="spellStart"/>
      <w:r>
        <w:t>reefcode</w:t>
      </w:r>
      <w:proofErr w:type="spellEnd"/>
      <w:r>
        <w:t xml:space="preserve"> for the Phillip Island SMU </w:t>
      </w:r>
      <w:r w:rsidR="003E07DE">
        <w:t xml:space="preserve">from 2018/19 to 2023/24 and the </w:t>
      </w:r>
      <w:r w:rsidR="008E6717">
        <w:t>5</w:t>
      </w:r>
      <w:r w:rsidR="003E07DE">
        <w:t>-year average catch from 2018/19 to 2022/23</w:t>
      </w:r>
      <w:r>
        <w:t>.</w:t>
      </w:r>
      <w:bookmarkEnd w:id="226"/>
    </w:p>
    <w:p w14:paraId="461872E9" w14:textId="25F3D29F" w:rsidR="00FB0A3F" w:rsidRDefault="00BE07ED">
      <w:pPr>
        <w:jc w:val="center"/>
      </w:pPr>
      <w:r w:rsidRPr="00BE07ED">
        <w:rPr>
          <w:noProof/>
        </w:rPr>
        <w:drawing>
          <wp:inline distT="0" distB="0" distL="0" distR="0" wp14:anchorId="15E3E579" wp14:editId="0A859469">
            <wp:extent cx="3927764" cy="2064510"/>
            <wp:effectExtent l="0" t="0" r="0" b="0"/>
            <wp:docPr id="468728545"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728545" name="Picture 1" descr="A screenshot of a graph&#10;&#10;Description automatically generated"/>
                    <pic:cNvPicPr/>
                  </pic:nvPicPr>
                  <pic:blipFill>
                    <a:blip r:embed="rId38"/>
                    <a:stretch>
                      <a:fillRect/>
                    </a:stretch>
                  </pic:blipFill>
                  <pic:spPr>
                    <a:xfrm>
                      <a:off x="0" y="0"/>
                      <a:ext cx="3951206" cy="2076831"/>
                    </a:xfrm>
                    <a:prstGeom prst="rect">
                      <a:avLst/>
                    </a:prstGeom>
                  </pic:spPr>
                </pic:pic>
              </a:graphicData>
            </a:graphic>
          </wp:inline>
        </w:drawing>
      </w:r>
    </w:p>
    <w:p w14:paraId="32FD3B13" w14:textId="1BCA51EF" w:rsidR="00FB0A3F" w:rsidRDefault="00000000">
      <w:r>
        <w:t xml:space="preserve">The Phillip Island SMU comprises 11 </w:t>
      </w:r>
      <w:proofErr w:type="spellStart"/>
      <w:r>
        <w:t>reefcodes</w:t>
      </w:r>
      <w:proofErr w:type="spellEnd"/>
      <w:r>
        <w:t xml:space="preserve">, </w:t>
      </w:r>
      <w:r w:rsidR="00AC25C3">
        <w:t>4</w:t>
      </w:r>
      <w:r>
        <w:t xml:space="preserve"> of which (14.03, 14.02, 14.04, 14.09) produce most of the catch </w:t>
      </w:r>
      <w:bookmarkStart w:id="227" w:name="phillip-island"/>
      <w:r>
        <w:t>(Table 1</w:t>
      </w:r>
      <w:r w:rsidR="001A6F5B">
        <w:t>3</w:t>
      </w:r>
      <w:r>
        <w:t>). In 202</w:t>
      </w:r>
      <w:r w:rsidR="00153F64">
        <w:t>3</w:t>
      </w:r>
      <w:r>
        <w:t>/2</w:t>
      </w:r>
      <w:r w:rsidR="00153F64">
        <w:t>4</w:t>
      </w:r>
      <w:r>
        <w:t xml:space="preserve">, the catch from 14.03 was </w:t>
      </w:r>
      <w:r w:rsidR="00153F64">
        <w:t xml:space="preserve">less than half of </w:t>
      </w:r>
      <w:r>
        <w:t xml:space="preserve">the </w:t>
      </w:r>
      <w:r w:rsidR="008E6717">
        <w:t>5</w:t>
      </w:r>
      <w:r>
        <w:t xml:space="preserve">-year average. </w:t>
      </w:r>
      <w:r w:rsidR="00153F64">
        <w:t xml:space="preserve">Catches from 14.02 were the highest recorded in the last </w:t>
      </w:r>
      <w:r w:rsidR="00AC25C3">
        <w:t>6</w:t>
      </w:r>
      <w:r w:rsidR="00153F64">
        <w:t xml:space="preserve"> years, as were catches from 14.01. </w:t>
      </w:r>
      <w:r>
        <w:t xml:space="preserve">Most other </w:t>
      </w:r>
      <w:proofErr w:type="spellStart"/>
      <w:r>
        <w:t>reefcodes</w:t>
      </w:r>
      <w:proofErr w:type="spellEnd"/>
      <w:r>
        <w:t xml:space="preserve"> </w:t>
      </w:r>
      <w:r w:rsidR="00153F64">
        <w:t xml:space="preserve">catches </w:t>
      </w:r>
      <w:r>
        <w:t xml:space="preserve">were </w:t>
      </w:r>
      <w:proofErr w:type="gramStart"/>
      <w:r>
        <w:t>similar to</w:t>
      </w:r>
      <w:proofErr w:type="gramEnd"/>
      <w:r>
        <w:t xml:space="preserve"> previous years. </w:t>
      </w:r>
    </w:p>
    <w:p w14:paraId="37D006FE" w14:textId="77777777" w:rsidR="00FB0A3F" w:rsidRDefault="00000000">
      <w:pPr>
        <w:rPr>
          <w:i/>
          <w:iCs/>
        </w:rPr>
      </w:pPr>
      <w:r>
        <w:rPr>
          <w:i/>
          <w:iCs/>
        </w:rPr>
        <w:t>FIS recruit abundance (Two Top 15 sites)</w:t>
      </w:r>
    </w:p>
    <w:p w14:paraId="42A915DD" w14:textId="77777777" w:rsidR="00FB0A3F" w:rsidRDefault="00000000">
      <w:r>
        <w:t xml:space="preserve">Recruit abundance declined sharply at Top 15 sites from 2004 to 2008 and was highly variable until it reached a contemporary low in 2017 (Figure 18). Since then, recruit abundance has linearly increased and in 2023, recruit abundance doubled relative to 2021 and was at the highest levels observed since 2004. </w:t>
      </w:r>
    </w:p>
    <w:p w14:paraId="6BB8A616" w14:textId="77777777" w:rsidR="00FB0A3F" w:rsidRDefault="00000000">
      <w:pPr>
        <w:rPr>
          <w:i/>
          <w:iCs/>
        </w:rPr>
      </w:pPr>
      <w:r>
        <w:rPr>
          <w:i/>
          <w:iCs/>
        </w:rPr>
        <w:t>FIS pre-recruit abundance (Two Top 15 sites)</w:t>
      </w:r>
    </w:p>
    <w:p w14:paraId="25C87BED" w14:textId="77777777" w:rsidR="00FB0A3F" w:rsidRDefault="00000000">
      <w:r>
        <w:t>Pre-recruit abundance at Top 15 sites has been highly variable since 2004 (Figure 19). Historic low levels were observed in 2015, increasing slightly thereafter but remaining low in a historic context. In 2023, pre-recruit abundance almost doubled relative to 2021 and was high in a historical context.</w:t>
      </w:r>
    </w:p>
    <w:p w14:paraId="185E4C2D" w14:textId="093B4CA7" w:rsidR="00FB0A3F" w:rsidRDefault="00AF21D9" w:rsidP="00153F64">
      <w:pPr>
        <w:jc w:val="center"/>
      </w:pPr>
      <w:r>
        <w:rPr>
          <w:noProof/>
        </w:rPr>
        <w:drawing>
          <wp:inline distT="0" distB="0" distL="0" distR="0" wp14:anchorId="42F85FF6" wp14:editId="16D3F63F">
            <wp:extent cx="5271655" cy="3193473"/>
            <wp:effectExtent l="0" t="0" r="5715" b="6985"/>
            <wp:docPr id="65" name="Picture" descr="Figure 9: Recruit abundance and catch from 1992/93 – 2022/23 for the Phillip Island SMU. Grey dashed series = nominal abundance across all FIS sites (+/-SE). Black series = nominal (dotted line, open data point in 2023; +/-SE) and standardised (solid line, solid data point in 2023) abundance at the two Top 15 sites located within the Phillip Island SMU."/>
            <wp:cNvGraphicFramePr/>
            <a:graphic xmlns:a="http://schemas.openxmlformats.org/drawingml/2006/main">
              <a:graphicData uri="http://schemas.openxmlformats.org/drawingml/2006/picture">
                <pic:pic xmlns:pic="http://schemas.openxmlformats.org/drawingml/2006/picture">
                  <pic:nvPicPr>
                    <pic:cNvPr id="65" name="Picture" descr="Figure 9: Recruit abundance and catch from 1992/93 – 2022/23 for the Phillip Island SMU. Grey dashed series = nominal abundance across all FIS sites (+/-SE). Black series = nominal (dotted line, open data point in 2023; +/-SE) and standardised (solid line, solid data point in 2023) abundance at the two Top 15 sites located within the Phillip Island SMU."/>
                    <pic:cNvPicPr/>
                  </pic:nvPicPr>
                  <pic:blipFill>
                    <a:blip r:embed="rId39"/>
                    <a:stretch>
                      <a:fillRect/>
                    </a:stretch>
                  </pic:blipFill>
                  <pic:spPr bwMode="auto">
                    <a:xfrm>
                      <a:off x="0" y="0"/>
                      <a:ext cx="5281253" cy="3199287"/>
                    </a:xfrm>
                    <a:prstGeom prst="rect">
                      <a:avLst/>
                    </a:prstGeom>
                    <a:noFill/>
                    <a:ln w="9525">
                      <a:noFill/>
                      <a:headEnd/>
                      <a:tailEnd/>
                    </a:ln>
                  </pic:spPr>
                </pic:pic>
              </a:graphicData>
            </a:graphic>
          </wp:inline>
        </w:drawing>
      </w:r>
    </w:p>
    <w:p w14:paraId="749D268C" w14:textId="3B440E2B" w:rsidR="00FB0A3F" w:rsidRDefault="00000000">
      <w:pPr>
        <w:pStyle w:val="Caption"/>
      </w:pPr>
      <w:bookmarkStart w:id="228" w:name="_Toc192777283"/>
      <w:r>
        <w:t>Figure 18: Recruit abundance (grey dashed, nominal all sites 1992 – 2021; black, Top 15 standardised (solid) 2003 – 2023) and catch from 1992/1993 – 2020/21 for the Phillip Island SMU. MPs = introduction of Marine Parks; numbers reflect size limit changes.</w:t>
      </w:r>
      <w:bookmarkEnd w:id="228"/>
    </w:p>
    <w:p w14:paraId="4BDCBEA5" w14:textId="1295EB82" w:rsidR="00FB0A3F" w:rsidRDefault="00AF21D9" w:rsidP="00153F64">
      <w:pPr>
        <w:jc w:val="center"/>
      </w:pPr>
      <w:r>
        <w:rPr>
          <w:noProof/>
        </w:rPr>
        <w:lastRenderedPageBreak/>
        <w:drawing>
          <wp:inline distT="0" distB="0" distL="0" distR="0" wp14:anchorId="1C789426" wp14:editId="56627E58">
            <wp:extent cx="5570220" cy="3396615"/>
            <wp:effectExtent l="0" t="0" r="0" b="0"/>
            <wp:docPr id="94588685" name="Picture" descr="Figure 10: Pre-recruit abundance and catch from 1992/93 – 2022/23 for the Phillip Island SMU. Grey dashed series = nominal abundance across all FIS sites (+/-SE). Black series = nominal (dotted line, open data point in 2023; +/-SE) and standardised (solid line, solid data point in 2023) abundance at the two Top 15 sites located within the Phillip Island SMU."/>
            <wp:cNvGraphicFramePr/>
            <a:graphic xmlns:a="http://schemas.openxmlformats.org/drawingml/2006/main">
              <a:graphicData uri="http://schemas.openxmlformats.org/drawingml/2006/picture">
                <pic:pic xmlns:pic="http://schemas.openxmlformats.org/drawingml/2006/picture">
                  <pic:nvPicPr>
                    <pic:cNvPr id="68" name="Picture" descr="Figure 10: Pre-recruit abundance and catch from 1992/93 – 2022/23 for the Phillip Island SMU. Grey dashed series = nominal abundance across all FIS sites (+/-SE). Black series = nominal (dotted line, open data point in 2023; +/-SE) and standardised (solid line, solid data point in 2023) abundance at the two Top 15 sites located within the Phillip Island SMU."/>
                    <pic:cNvPicPr/>
                  </pic:nvPicPr>
                  <pic:blipFill>
                    <a:blip r:embed="rId40"/>
                    <a:stretch>
                      <a:fillRect/>
                    </a:stretch>
                  </pic:blipFill>
                  <pic:spPr bwMode="auto">
                    <a:xfrm>
                      <a:off x="0" y="0"/>
                      <a:ext cx="5570220" cy="3396615"/>
                    </a:xfrm>
                    <a:prstGeom prst="rect">
                      <a:avLst/>
                    </a:prstGeom>
                    <a:noFill/>
                    <a:ln w="9525">
                      <a:noFill/>
                      <a:headEnd/>
                      <a:tailEnd/>
                    </a:ln>
                  </pic:spPr>
                </pic:pic>
              </a:graphicData>
            </a:graphic>
          </wp:inline>
        </w:drawing>
      </w:r>
    </w:p>
    <w:p w14:paraId="6E8AAE75" w14:textId="3CE05A7E" w:rsidR="00FB0A3F" w:rsidRDefault="00000000">
      <w:pPr>
        <w:pStyle w:val="Caption"/>
      </w:pPr>
      <w:bookmarkStart w:id="229" w:name="_Toc192777284"/>
      <w:r>
        <w:t>Figure 19: Pre-recruit abundance (grey dashed, nominal all sites 1992 – 2021; black, Top 15 standardised (solid) 2003 – 2023) including catch from 1992/1993 – 2022/23 for the Phillip Island SMU. MPs = introduction of Marine Parks; numbers reflect size limit changes.</w:t>
      </w:r>
      <w:bookmarkEnd w:id="229"/>
    </w:p>
    <w:p w14:paraId="5953BBA2" w14:textId="05FC6992" w:rsidR="00FB0A3F" w:rsidRDefault="00000000">
      <w:pPr>
        <w:rPr>
          <w:i/>
          <w:iCs/>
        </w:rPr>
      </w:pPr>
      <w:r>
        <w:rPr>
          <w:i/>
          <w:iCs/>
        </w:rPr>
        <w:t>Length frequency data – FIS</w:t>
      </w:r>
    </w:p>
    <w:p w14:paraId="7C521CE0" w14:textId="51116C7D" w:rsidR="00FB0A3F" w:rsidRDefault="00000000">
      <w:r>
        <w:t xml:space="preserve">The size structure of the surveyed population at the Phillip Island SMU has remained stable over time despite variations in abundance (Appendix </w:t>
      </w:r>
      <w:r w:rsidR="00AE57FA">
        <w:t>1</w:t>
      </w:r>
      <w:r>
        <w:t>). The increase in pre-recruit abundance observed in the two Top 15 sites surveyed in the 2023 FIS was across a range of pre-recruit size categories.</w:t>
      </w:r>
    </w:p>
    <w:p w14:paraId="752AB435" w14:textId="77777777" w:rsidR="00FB0A3F" w:rsidRDefault="00000000">
      <w:pPr>
        <w:rPr>
          <w:i/>
          <w:iCs/>
        </w:rPr>
      </w:pPr>
      <w:r>
        <w:rPr>
          <w:i/>
          <w:iCs/>
        </w:rPr>
        <w:t>Length frequency data – commercial</w:t>
      </w:r>
    </w:p>
    <w:p w14:paraId="025058C2" w14:textId="45014BEB" w:rsidR="00FB0A3F" w:rsidRDefault="00000000">
      <w:r>
        <w:t>From 2016/17 to 2019/20, the standardised average length of abalone in the commercial catch increased from around 11</w:t>
      </w:r>
      <w:r w:rsidR="00AE57FA">
        <w:t>5</w:t>
      </w:r>
      <w:r>
        <w:t xml:space="preserve"> mm to 1</w:t>
      </w:r>
      <w:r w:rsidR="00AE57FA">
        <w:t>19</w:t>
      </w:r>
      <w:r>
        <w:t xml:space="preserve"> mm, which was </w:t>
      </w:r>
      <w:r w:rsidR="00CD18AC">
        <w:t>5</w:t>
      </w:r>
      <w:r>
        <w:t xml:space="preserve"> to </w:t>
      </w:r>
      <w:r w:rsidR="00CD18AC">
        <w:t>9</w:t>
      </w:r>
      <w:r>
        <w:t xml:space="preserve"> mm above the LML at that time (Appendix </w:t>
      </w:r>
      <w:r w:rsidR="00CD18AC">
        <w:t>3</w:t>
      </w:r>
      <w:r>
        <w:t xml:space="preserve">, Appendix </w:t>
      </w:r>
      <w:r w:rsidR="00CD18AC">
        <w:t>4</w:t>
      </w:r>
      <w:r>
        <w:t xml:space="preserve">). The LML increased to 112 mm on 1 April 2020 and mean size increased by </w:t>
      </w:r>
      <w:r w:rsidR="00CD18AC">
        <w:t>almost 3</w:t>
      </w:r>
      <w:r>
        <w:t xml:space="preserve"> mm in 2021 to around 122 mm</w:t>
      </w:r>
      <w:r w:rsidR="00CD18AC">
        <w:t xml:space="preserve">. Standardised average length </w:t>
      </w:r>
      <w:r>
        <w:t xml:space="preserve">has </w:t>
      </w:r>
      <w:r w:rsidR="00CD18AC">
        <w:t xml:space="preserve">continued to </w:t>
      </w:r>
      <w:r>
        <w:t xml:space="preserve">increase </w:t>
      </w:r>
      <w:r w:rsidR="00CD18AC">
        <w:t xml:space="preserve">annually </w:t>
      </w:r>
      <w:r>
        <w:t xml:space="preserve">to </w:t>
      </w:r>
      <w:r w:rsidR="00CD18AC">
        <w:t xml:space="preserve">be around 127 mm in the first half of 2024/25, </w:t>
      </w:r>
      <w:r>
        <w:t xml:space="preserve">which is </w:t>
      </w:r>
      <w:r w:rsidR="00CD18AC">
        <w:t xml:space="preserve">15 </w:t>
      </w:r>
      <w:r>
        <w:t xml:space="preserve">mm above the current LML. Raw data show similar </w:t>
      </w:r>
      <w:r w:rsidR="00CD18AC">
        <w:t xml:space="preserve">trends </w:t>
      </w:r>
      <w:r>
        <w:t>of increase over time.</w:t>
      </w:r>
      <w:r w:rsidR="00CD18AC">
        <w:t xml:space="preserve"> Increases in length lead to increases in weight and a reduction in the number of abalone harvested for a given TACC, with estimates of weight increase greater than 10% for the Phillip Island SMU.</w:t>
      </w:r>
    </w:p>
    <w:p w14:paraId="5F69B58F" w14:textId="77777777" w:rsidR="00FB0A3F" w:rsidRDefault="00000000">
      <w:r>
        <w:rPr>
          <w:i/>
          <w:iCs/>
        </w:rPr>
        <w:t>Summary</w:t>
      </w:r>
    </w:p>
    <w:p w14:paraId="756719CC" w14:textId="24163465" w:rsidR="00FB0A3F" w:rsidRDefault="00000000">
      <w:r>
        <w:t xml:space="preserve">The Phillip Island SMU has had an average catch of 6 t since </w:t>
      </w:r>
      <w:proofErr w:type="gramStart"/>
      <w:r>
        <w:t>1992</w:t>
      </w:r>
      <w:proofErr w:type="gramEnd"/>
      <w:r>
        <w:t xml:space="preserve"> and a peak catch of 121 t harvested during 1998. Following the peak, catches generally declined reaching a low catch of 26 t in 2010. Catches ranged from 33 to 51 t between 2011 and 2018 but have stabilised in the last </w:t>
      </w:r>
      <w:r w:rsidR="008E6717">
        <w:t>5</w:t>
      </w:r>
      <w:r>
        <w:t xml:space="preserve"> years under a catch cap. </w:t>
      </w:r>
      <w:r w:rsidR="00897821">
        <w:t xml:space="preserve">These stable catches have resulted in increasing CPUE and stable mean daily catches. The </w:t>
      </w:r>
      <w:r w:rsidR="00AC25C3">
        <w:t>primary</w:t>
      </w:r>
      <w:r w:rsidR="00897821">
        <w:t xml:space="preserve"> concern </w:t>
      </w:r>
      <w:r w:rsidR="00AC25C3">
        <w:t xml:space="preserve">relates to </w:t>
      </w:r>
      <w:r w:rsidR="00897821">
        <w:t xml:space="preserve">the distribution of catches among </w:t>
      </w:r>
      <w:proofErr w:type="spellStart"/>
      <w:r w:rsidR="00897821">
        <w:t>reefcodes</w:t>
      </w:r>
      <w:proofErr w:type="spellEnd"/>
      <w:r w:rsidR="00897821">
        <w:t xml:space="preserve">. In 2023/24, the catch from the previously highest producing </w:t>
      </w:r>
      <w:proofErr w:type="spellStart"/>
      <w:r w:rsidR="00897821">
        <w:t>reefcode</w:t>
      </w:r>
      <w:proofErr w:type="spellEnd"/>
      <w:r w:rsidR="00897821">
        <w:t xml:space="preserve"> 14.03 was less than half of the </w:t>
      </w:r>
      <w:r w:rsidR="008E6717">
        <w:t>5</w:t>
      </w:r>
      <w:r w:rsidR="00897821">
        <w:t>-year average, while catches from 14.02 and 14.01 were the highest recorded in the last six years.</w:t>
      </w:r>
    </w:p>
    <w:p w14:paraId="0F5598B4" w14:textId="0D868FA2" w:rsidR="00FB0A3F" w:rsidRDefault="00000000">
      <w:r>
        <w:t>Recruit abundance at the two Top 15 FIS sites had declined substantially between 2003 and 2017 but has increased thereafter, with 2023 levels amongst the highest recorded. Similar trends have occurred for pre-recruit abundance, with 2023 levels close to the historic high.</w:t>
      </w:r>
    </w:p>
    <w:p w14:paraId="61CFF2F3" w14:textId="7E8029A7" w:rsidR="00FB0A3F" w:rsidRDefault="00000000">
      <w:r>
        <w:lastRenderedPageBreak/>
        <w:t>Since 2016/17, the standardised average length of the commercial catch has increased from 11</w:t>
      </w:r>
      <w:r w:rsidR="00897821">
        <w:t>5</w:t>
      </w:r>
      <w:r>
        <w:t xml:space="preserve"> mm to </w:t>
      </w:r>
      <w:r w:rsidR="00897821">
        <w:t>127 mm in the first half of 2024/25, which is 15 mm above the current LML. These increases in size imply that fewer individual abalone are being caught annually for the stable Phillip Island OT.</w:t>
      </w:r>
    </w:p>
    <w:p w14:paraId="380A02B1" w14:textId="75413BE5" w:rsidR="005F3688" w:rsidRDefault="00000000">
      <w:r>
        <w:t>Total catch in the Phillip Island SMU of 3</w:t>
      </w:r>
      <w:r w:rsidR="00897821">
        <w:t>2.7</w:t>
      </w:r>
      <w:r>
        <w:t xml:space="preserve"> t was just above the OT (3</w:t>
      </w:r>
      <w:r w:rsidR="00897821">
        <w:t>2.3</w:t>
      </w:r>
      <w:r>
        <w:t xml:space="preserve"> t). Mean CPUE (</w:t>
      </w:r>
      <w:r w:rsidR="005F3688">
        <w:t>72.2</w:t>
      </w:r>
      <w:r>
        <w:t xml:space="preserve"> kg/h) was above the Threshold Reference Point (</w:t>
      </w:r>
      <w:r w:rsidR="005F3688">
        <w:t>6</w:t>
      </w:r>
      <w:r>
        <w:t>0 kg/h)</w:t>
      </w:r>
      <w:r w:rsidR="005F3688" w:rsidRPr="005F3688">
        <w:t xml:space="preserve"> </w:t>
      </w:r>
      <w:r w:rsidR="005F3688">
        <w:t>for the third consecutive year. The Primary Indicator was Increasing and Secondary Indicator was Stable, resulting in an Increasing Final Category. As a result, increases in catch of up to 25% above the current OT could be considered. The OT was increased to 34.0 t for 2024/25, suggesting an OT from 34.0 t to 42.5 t for 2025/26.</w:t>
      </w:r>
    </w:p>
    <w:p w14:paraId="315EE8A0" w14:textId="1F954974" w:rsidR="00FB0A3F" w:rsidRDefault="005F3688">
      <w:pPr>
        <w:rPr>
          <w:b/>
          <w:bCs/>
        </w:rPr>
      </w:pPr>
      <w:r>
        <w:rPr>
          <w:b/>
          <w:bCs/>
        </w:rPr>
        <w:t xml:space="preserve">As for the Back Beaches, the Phillip Island SMU appears to have responded positively to the lower, stable catches maintained in recent years, with all available stock indicators appearing positive. The </w:t>
      </w:r>
      <w:r w:rsidR="00AC25C3">
        <w:rPr>
          <w:b/>
          <w:bCs/>
        </w:rPr>
        <w:t>primary</w:t>
      </w:r>
      <w:r>
        <w:rPr>
          <w:b/>
          <w:bCs/>
        </w:rPr>
        <w:t xml:space="preserve"> concern </w:t>
      </w:r>
      <w:r w:rsidR="00AC25C3">
        <w:rPr>
          <w:b/>
          <w:bCs/>
        </w:rPr>
        <w:t xml:space="preserve">relates to </w:t>
      </w:r>
      <w:r w:rsidRPr="005F3688">
        <w:rPr>
          <w:b/>
          <w:bCs/>
        </w:rPr>
        <w:t xml:space="preserve">the distribution of catches among </w:t>
      </w:r>
      <w:proofErr w:type="spellStart"/>
      <w:r w:rsidRPr="005F3688">
        <w:rPr>
          <w:b/>
          <w:bCs/>
        </w:rPr>
        <w:t>reefcodes</w:t>
      </w:r>
      <w:proofErr w:type="spellEnd"/>
      <w:r>
        <w:rPr>
          <w:b/>
          <w:bCs/>
        </w:rPr>
        <w:t xml:space="preserve">, with the </w:t>
      </w:r>
      <w:r w:rsidRPr="005F3688">
        <w:rPr>
          <w:b/>
          <w:bCs/>
        </w:rPr>
        <w:t xml:space="preserve">2023/24 catch from 14.03 </w:t>
      </w:r>
      <w:r>
        <w:rPr>
          <w:b/>
          <w:bCs/>
        </w:rPr>
        <w:t xml:space="preserve">being </w:t>
      </w:r>
      <w:r w:rsidRPr="005F3688">
        <w:rPr>
          <w:b/>
          <w:bCs/>
        </w:rPr>
        <w:t xml:space="preserve">less than half of the </w:t>
      </w:r>
      <w:r w:rsidR="008E6717">
        <w:rPr>
          <w:b/>
          <w:bCs/>
        </w:rPr>
        <w:t>5</w:t>
      </w:r>
      <w:r w:rsidRPr="005F3688">
        <w:rPr>
          <w:b/>
          <w:bCs/>
        </w:rPr>
        <w:t>-year average</w:t>
      </w:r>
      <w:r w:rsidR="00900000">
        <w:rPr>
          <w:b/>
          <w:bCs/>
        </w:rPr>
        <w:t xml:space="preserve"> and the catch from 14.02 the highest from the last </w:t>
      </w:r>
      <w:r w:rsidR="00AC25C3">
        <w:rPr>
          <w:b/>
          <w:bCs/>
        </w:rPr>
        <w:t>6</w:t>
      </w:r>
      <w:r w:rsidR="00900000">
        <w:rPr>
          <w:b/>
          <w:bCs/>
        </w:rPr>
        <w:t xml:space="preserve"> years</w:t>
      </w:r>
      <w:r>
        <w:rPr>
          <w:b/>
          <w:bCs/>
        </w:rPr>
        <w:t xml:space="preserve">. An improved understanding of the reasons for this shift is required. While the Draft Harvest Strategy outcomes suggest another increase in OT can be considered, potential concerns regarding </w:t>
      </w:r>
      <w:proofErr w:type="spellStart"/>
      <w:r>
        <w:rPr>
          <w:b/>
          <w:bCs/>
        </w:rPr>
        <w:t>reefcode</w:t>
      </w:r>
      <w:proofErr w:type="spellEnd"/>
      <w:r>
        <w:rPr>
          <w:b/>
          <w:bCs/>
        </w:rPr>
        <w:t xml:space="preserve"> </w:t>
      </w:r>
      <w:r w:rsidR="00D9781F">
        <w:rPr>
          <w:b/>
          <w:bCs/>
        </w:rPr>
        <w:t xml:space="preserve">catches </w:t>
      </w:r>
      <w:r>
        <w:rPr>
          <w:b/>
          <w:bCs/>
        </w:rPr>
        <w:t>should be addressed first. As for the Back Beaches SMU, any potential increase in OT should be modest at best to promote further stock recovery.</w:t>
      </w:r>
    </w:p>
    <w:p w14:paraId="210F0A0F" w14:textId="012D4B3A" w:rsidR="00FB0A3F" w:rsidRDefault="00FB0A3F">
      <w:pPr>
        <w:spacing w:before="0" w:after="160" w:line="259" w:lineRule="auto"/>
        <w:rPr>
          <w:b/>
          <w:bCs/>
        </w:rPr>
      </w:pPr>
    </w:p>
    <w:bookmarkEnd w:id="227"/>
    <w:p w14:paraId="5901AED0" w14:textId="77777777" w:rsidR="00FB0A3F" w:rsidRDefault="00000000">
      <w:pPr>
        <w:pStyle w:val="Heading3"/>
        <w:numPr>
          <w:ilvl w:val="2"/>
          <w:numId w:val="9"/>
        </w:numPr>
        <w:ind w:left="504"/>
      </w:pPr>
      <w:r>
        <w:t xml:space="preserve">   </w:t>
      </w:r>
      <w:bookmarkStart w:id="230" w:name="_Toc192777233"/>
      <w:r>
        <w:t>Shipwreck Coast (Medium SMU)</w:t>
      </w:r>
      <w:bookmarkEnd w:id="230"/>
    </w:p>
    <w:p w14:paraId="309C3D17" w14:textId="2F61F855" w:rsidR="00FB0A3F" w:rsidRDefault="00000000">
      <w:r>
        <w:t xml:space="preserve">The Shipwreck Coast SMU had the fourth highest catch with </w:t>
      </w:r>
      <w:r w:rsidR="008D0E2D">
        <w:t>25.1</w:t>
      </w:r>
      <w:r>
        <w:t xml:space="preserve"> t in 202</w:t>
      </w:r>
      <w:r w:rsidR="008D0E2D">
        <w:t>3</w:t>
      </w:r>
      <w:r>
        <w:t>/2</w:t>
      </w:r>
      <w:r w:rsidR="008D0E2D">
        <w:t>4</w:t>
      </w:r>
      <w:r>
        <w:t xml:space="preserve"> representing 1</w:t>
      </w:r>
      <w:r w:rsidR="008D0E2D">
        <w:t>1.3</w:t>
      </w:r>
      <w:r>
        <w:t>% of the total catch (Table 1</w:t>
      </w:r>
      <w:r w:rsidR="001A6F5B">
        <w:t>4</w:t>
      </w:r>
      <w:r>
        <w:t xml:space="preserve">) and TACC (Table </w:t>
      </w:r>
      <w:r w:rsidR="008D0E2D">
        <w:t>3</w:t>
      </w:r>
      <w:r>
        <w:t xml:space="preserve">). The catch was </w:t>
      </w:r>
      <w:r w:rsidR="008D0E2D">
        <w:t xml:space="preserve">4.1 t below </w:t>
      </w:r>
      <w:r>
        <w:t>the OT</w:t>
      </w:r>
      <w:r w:rsidR="008D0E2D">
        <w:t xml:space="preserve"> which included carryover (3.9 t)</w:t>
      </w:r>
      <w:r>
        <w:t xml:space="preserve">. </w:t>
      </w:r>
      <w:r w:rsidR="00AC25C3">
        <w:t xml:space="preserve">This SMU was severely affected by the virus in 2007 (VFA 2018) and there was no fishing in 2008 and 2009. </w:t>
      </w:r>
      <w:r w:rsidR="00192026">
        <w:rPr>
          <w:rFonts w:ascii="Helvetica" w:eastAsia="Helvetica" w:hAnsi="Helvetica" w:cs="Helvetica"/>
          <w:color w:val="000000"/>
          <w:sz w:val="18"/>
          <w:szCs w:val="18"/>
        </w:rPr>
        <w:t>Standardised</w:t>
      </w:r>
      <w:r w:rsidR="00192026">
        <w:t xml:space="preserve"> </w:t>
      </w:r>
      <w:r>
        <w:t xml:space="preserve">CPUE has declined </w:t>
      </w:r>
      <w:r w:rsidR="00192026">
        <w:t xml:space="preserve">by 17% </w:t>
      </w:r>
      <w:r>
        <w:t xml:space="preserve">in the long-term </w:t>
      </w:r>
      <w:r w:rsidR="00192026">
        <w:t>and has increased by 1</w:t>
      </w:r>
      <w:r>
        <w:t xml:space="preserve">7% </w:t>
      </w:r>
      <w:r w:rsidR="00192026">
        <w:t xml:space="preserve">in the last </w:t>
      </w:r>
      <w:r w:rsidR="00AC25C3">
        <w:t>4</w:t>
      </w:r>
      <w:r w:rsidR="00192026">
        <w:t xml:space="preserve"> years</w:t>
      </w:r>
      <w:r>
        <w:t xml:space="preserve">. </w:t>
      </w:r>
    </w:p>
    <w:p w14:paraId="74E05D24" w14:textId="2FFB7DC4" w:rsidR="00FB0A3F" w:rsidRDefault="00000000">
      <w:pPr>
        <w:pStyle w:val="TableCaption"/>
      </w:pPr>
      <w:bookmarkStart w:id="231" w:name="_Toc192762282"/>
      <w:r>
        <w:t>Table 1</w:t>
      </w:r>
      <w:r w:rsidR="001A6F5B">
        <w:t>4</w:t>
      </w:r>
      <w:r>
        <w:t>: Summary of Catch, Optimal targets and CPUE performance indicators for the Shipwreck Coast SMU. The LML and mean daily catch are also shown.</w:t>
      </w:r>
      <w:bookmarkEnd w:id="231"/>
      <w:r>
        <w:t xml:space="preserve"> </w:t>
      </w:r>
    </w:p>
    <w:tbl>
      <w:tblPr>
        <w:tblW w:w="9062" w:type="dxa"/>
        <w:jc w:val="center"/>
        <w:tblLayout w:type="fixed"/>
        <w:tblLook w:val="04A0" w:firstRow="1" w:lastRow="0" w:firstColumn="1" w:lastColumn="0" w:noHBand="0" w:noVBand="1"/>
      </w:tblPr>
      <w:tblGrid>
        <w:gridCol w:w="703"/>
        <w:gridCol w:w="572"/>
        <w:gridCol w:w="724"/>
        <w:gridCol w:w="846"/>
        <w:gridCol w:w="831"/>
        <w:gridCol w:w="14"/>
        <w:gridCol w:w="1790"/>
        <w:gridCol w:w="1791"/>
        <w:gridCol w:w="1791"/>
      </w:tblGrid>
      <w:tr w:rsidR="00FB0A3F" w14:paraId="47A6E45C" w14:textId="77777777">
        <w:trPr>
          <w:cantSplit/>
          <w:trHeight w:val="540"/>
          <w:tblHeader/>
          <w:jc w:val="center"/>
        </w:trPr>
        <w:tc>
          <w:tcPr>
            <w:tcW w:w="3690" w:type="dxa"/>
            <w:gridSpan w:val="6"/>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5E621A59" w14:textId="77777777" w:rsidR="00FB0A3F" w:rsidRDefault="00000000">
            <w:pPr>
              <w:spacing w:before="100" w:after="100"/>
              <w:ind w:left="100" w:right="100"/>
              <w:jc w:val="center"/>
            </w:pPr>
            <w:r>
              <w:rPr>
                <w:rFonts w:ascii="Helvetica" w:eastAsia="Helvetica" w:hAnsi="Helvetica" w:cs="Helvetica"/>
                <w:color w:val="000000"/>
                <w:sz w:val="18"/>
                <w:szCs w:val="18"/>
              </w:rPr>
              <w:t>Catch</w:t>
            </w:r>
          </w:p>
        </w:tc>
        <w:tc>
          <w:tcPr>
            <w:tcW w:w="5372" w:type="dxa"/>
            <w:gridSpan w:val="3"/>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7499B44D" w14:textId="4D1741D6" w:rsidR="00FB0A3F" w:rsidRDefault="00192026">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Standardised CPUE Performance Indicators (% change)</w:t>
            </w:r>
          </w:p>
        </w:tc>
      </w:tr>
      <w:tr w:rsidR="00FB0A3F" w14:paraId="58ADF04C" w14:textId="77777777">
        <w:trPr>
          <w:cantSplit/>
          <w:trHeight w:val="507"/>
          <w:tblHeader/>
          <w:jc w:val="center"/>
        </w:trPr>
        <w:tc>
          <w:tcPr>
            <w:tcW w:w="1275" w:type="dxa"/>
            <w:gridSpan w:val="2"/>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689376F6" w14:textId="004277F2" w:rsidR="00FB0A3F" w:rsidRDefault="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2023/24</w:t>
            </w:r>
          </w:p>
        </w:tc>
        <w:tc>
          <w:tcPr>
            <w:tcW w:w="241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C479787" w14:textId="77777777" w:rsidR="00FB0A3F" w:rsidRDefault="00000000">
            <w:pPr>
              <w:spacing w:before="100" w:after="100"/>
              <w:ind w:left="100" w:right="100"/>
              <w:jc w:val="center"/>
            </w:pPr>
            <w:r>
              <w:rPr>
                <w:rFonts w:ascii="Helvetica" w:eastAsia="Helvetica" w:hAnsi="Helvetica" w:cs="Helvetica"/>
                <w:color w:val="000000"/>
                <w:sz w:val="18"/>
                <w:szCs w:val="18"/>
              </w:rPr>
              <w:t>OT + carryover* (t)</w:t>
            </w: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18CFFEA" w14:textId="77777777" w:rsidR="00FB0A3F" w:rsidRDefault="00000000">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Long-term</w:t>
            </w:r>
          </w:p>
        </w:tc>
        <w:tc>
          <w:tcPr>
            <w:tcW w:w="179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942A72B" w14:textId="77777777" w:rsidR="00FB0A3F" w:rsidRDefault="00000000">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Short-term</w:t>
            </w:r>
          </w:p>
        </w:tc>
        <w:tc>
          <w:tcPr>
            <w:tcW w:w="179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D1423CC" w14:textId="77777777" w:rsidR="00FB0A3F" w:rsidRDefault="00000000">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Last 4 years</w:t>
            </w:r>
          </w:p>
        </w:tc>
      </w:tr>
      <w:tr w:rsidR="00FF2F21" w14:paraId="012EBBF4" w14:textId="77777777">
        <w:trPr>
          <w:cantSplit/>
          <w:trHeight w:val="218"/>
          <w:tblHeader/>
          <w:jc w:val="center"/>
        </w:trPr>
        <w:tc>
          <w:tcPr>
            <w:tcW w:w="703"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3E86D60" w14:textId="77777777" w:rsidR="00FF2F21" w:rsidRDefault="00FF2F21" w:rsidP="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(t)</w:t>
            </w:r>
          </w:p>
        </w:tc>
        <w:tc>
          <w:tcPr>
            <w:tcW w:w="572"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6B8C695" w14:textId="77777777" w:rsidR="00FF2F21" w:rsidRDefault="00FF2F21" w:rsidP="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w:t>
            </w: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9A6F947" w14:textId="647E6F93" w:rsidR="00FF2F21" w:rsidRDefault="00FF2F21" w:rsidP="00FF2F21">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22/23</w:t>
            </w:r>
          </w:p>
        </w:tc>
        <w:tc>
          <w:tcPr>
            <w:tcW w:w="84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5B5E6A5" w14:textId="34689FCF" w:rsidR="00FF2F21" w:rsidRDefault="00FF2F21" w:rsidP="00FF2F21">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23/24</w:t>
            </w:r>
          </w:p>
        </w:tc>
        <w:tc>
          <w:tcPr>
            <w:tcW w:w="845"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1E5E1738" w14:textId="7FB4A16A" w:rsidR="00FF2F21" w:rsidRDefault="00FF2F21" w:rsidP="00FF2F21">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24/25</w:t>
            </w: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AAD7991" w14:textId="2EDDF6A4" w:rsidR="00FF2F21" w:rsidRDefault="00FF2F21" w:rsidP="00FF2F21">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2003/04 – 2023/24</w:t>
            </w:r>
          </w:p>
        </w:tc>
        <w:tc>
          <w:tcPr>
            <w:tcW w:w="179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C1D6853" w14:textId="3AE45840" w:rsidR="00FF2F21" w:rsidRDefault="00FF2F21" w:rsidP="00FF2F21">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2009/10 – 2023/24</w:t>
            </w:r>
          </w:p>
        </w:tc>
        <w:tc>
          <w:tcPr>
            <w:tcW w:w="179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F37F7EA" w14:textId="40BFEEB8" w:rsidR="00FF2F21" w:rsidRDefault="00FF2F21" w:rsidP="00FF2F21">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2020/21 – 2023/24</w:t>
            </w:r>
          </w:p>
        </w:tc>
      </w:tr>
      <w:tr w:rsidR="00FF2F21" w14:paraId="0D4AA8F1" w14:textId="77777777">
        <w:trPr>
          <w:cantSplit/>
          <w:jc w:val="center"/>
        </w:trPr>
        <w:tc>
          <w:tcPr>
            <w:tcW w:w="703"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78ED4159" w14:textId="3A765F3D" w:rsidR="00FF2F21" w:rsidRDefault="008D0E2D" w:rsidP="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25.1</w:t>
            </w:r>
          </w:p>
        </w:tc>
        <w:tc>
          <w:tcPr>
            <w:tcW w:w="572"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40F0FF00" w14:textId="03941742" w:rsidR="00FF2F21" w:rsidRDefault="00FF2F21" w:rsidP="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1</w:t>
            </w:r>
            <w:r w:rsidR="008D0E2D">
              <w:rPr>
                <w:rFonts w:ascii="Helvetica" w:eastAsia="Helvetica" w:hAnsi="Helvetica" w:cs="Helvetica"/>
                <w:color w:val="000000"/>
                <w:sz w:val="18"/>
                <w:szCs w:val="18"/>
              </w:rPr>
              <w:t>1.3</w:t>
            </w:r>
          </w:p>
        </w:tc>
        <w:tc>
          <w:tcPr>
            <w:tcW w:w="724"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8737831" w14:textId="0343E863" w:rsidR="00FF2F21" w:rsidRDefault="00FF2F21" w:rsidP="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34.3*</w:t>
            </w:r>
          </w:p>
        </w:tc>
        <w:tc>
          <w:tcPr>
            <w:tcW w:w="846" w:type="dxa"/>
            <w:tcBorders>
              <w:left w:val="single" w:sz="8" w:space="0" w:color="000000"/>
              <w:bottom w:val="single" w:sz="8" w:space="0" w:color="000000"/>
              <w:right w:val="single" w:sz="8" w:space="0" w:color="000000"/>
            </w:tcBorders>
            <w:shd w:val="clear" w:color="auto" w:fill="auto"/>
          </w:tcPr>
          <w:p w14:paraId="00D6DDCD" w14:textId="5F36C826" w:rsidR="00FF2F21" w:rsidRDefault="00FF2F21" w:rsidP="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29.2*</w:t>
            </w:r>
          </w:p>
        </w:tc>
        <w:tc>
          <w:tcPr>
            <w:tcW w:w="845" w:type="dxa"/>
            <w:gridSpan w:val="2"/>
            <w:tcBorders>
              <w:left w:val="single" w:sz="8" w:space="0" w:color="000000"/>
              <w:bottom w:val="single" w:sz="8" w:space="0" w:color="000000"/>
              <w:right w:val="single" w:sz="8" w:space="0" w:color="000000"/>
            </w:tcBorders>
            <w:shd w:val="clear" w:color="auto" w:fill="auto"/>
          </w:tcPr>
          <w:p w14:paraId="4E07A776" w14:textId="6DD3368D" w:rsidR="00FF2F21" w:rsidRDefault="009C295D" w:rsidP="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29.2</w:t>
            </w: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6B0373B" w14:textId="4F8D8119" w:rsidR="00FF2F21" w:rsidRPr="00192026" w:rsidRDefault="00FF2F21" w:rsidP="00FF2F21">
            <w:pPr>
              <w:spacing w:before="100" w:after="100"/>
              <w:ind w:left="100" w:right="100"/>
              <w:jc w:val="center"/>
              <w:rPr>
                <w:rFonts w:ascii="Helvetica" w:eastAsia="Helvetica" w:hAnsi="Helvetica" w:cs="Helvetica"/>
                <w:color w:val="000000" w:themeColor="text1"/>
                <w:sz w:val="18"/>
                <w:szCs w:val="18"/>
              </w:rPr>
            </w:pPr>
            <w:r w:rsidRPr="00192026">
              <w:rPr>
                <w:rFonts w:ascii="Helvetica" w:eastAsia="Arial" w:hAnsi="Helvetica" w:cs="Helvetica"/>
                <w:color w:val="000000" w:themeColor="text1"/>
                <w:sz w:val="18"/>
                <w:szCs w:val="18"/>
              </w:rPr>
              <w:t>-1</w:t>
            </w:r>
            <w:r w:rsidR="00192026">
              <w:rPr>
                <w:rFonts w:ascii="Helvetica" w:eastAsia="Arial" w:hAnsi="Helvetica" w:cs="Helvetica"/>
                <w:color w:val="000000" w:themeColor="text1"/>
                <w:sz w:val="18"/>
                <w:szCs w:val="18"/>
              </w:rPr>
              <w:t>7</w:t>
            </w:r>
          </w:p>
        </w:tc>
        <w:tc>
          <w:tcPr>
            <w:tcW w:w="179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1439DD1" w14:textId="173D52D5" w:rsidR="00FF2F21" w:rsidRPr="00192026" w:rsidRDefault="00192026" w:rsidP="00FF2F21">
            <w:pPr>
              <w:spacing w:before="100" w:after="100"/>
              <w:ind w:left="100" w:right="100"/>
              <w:jc w:val="center"/>
              <w:rPr>
                <w:rFonts w:ascii="Helvetica" w:eastAsia="Helvetica" w:hAnsi="Helvetica" w:cs="Helvetica"/>
                <w:color w:val="000000" w:themeColor="text1"/>
                <w:sz w:val="18"/>
                <w:szCs w:val="18"/>
              </w:rPr>
            </w:pPr>
            <w:r>
              <w:rPr>
                <w:rFonts w:ascii="Helvetica" w:eastAsia="Arial" w:hAnsi="Helvetica" w:cs="Helvetica"/>
                <w:color w:val="000000" w:themeColor="text1"/>
                <w:sz w:val="18"/>
                <w:szCs w:val="18"/>
              </w:rPr>
              <w:t>N/A</w:t>
            </w:r>
          </w:p>
        </w:tc>
        <w:tc>
          <w:tcPr>
            <w:tcW w:w="1791" w:type="dxa"/>
            <w:tcBorders>
              <w:top w:val="single" w:sz="8" w:space="0" w:color="000000"/>
              <w:left w:val="single" w:sz="8" w:space="0" w:color="000000"/>
              <w:bottom w:val="single" w:sz="8" w:space="0" w:color="000000"/>
              <w:right w:val="single" w:sz="8" w:space="0" w:color="000000"/>
            </w:tcBorders>
            <w:shd w:val="clear" w:color="auto" w:fill="FFFFFF"/>
          </w:tcPr>
          <w:p w14:paraId="1A0A0410" w14:textId="269F7A51" w:rsidR="00FF2F21" w:rsidRPr="00192026" w:rsidRDefault="00192026" w:rsidP="00FF2F21">
            <w:pPr>
              <w:spacing w:before="100" w:after="100"/>
              <w:ind w:left="100" w:right="100"/>
              <w:jc w:val="center"/>
              <w:rPr>
                <w:rFonts w:ascii="Helvetica" w:eastAsia="Helvetica" w:hAnsi="Helvetica" w:cs="Helvetica"/>
                <w:color w:val="000000" w:themeColor="text1"/>
                <w:sz w:val="18"/>
                <w:szCs w:val="18"/>
              </w:rPr>
            </w:pPr>
            <w:r>
              <w:rPr>
                <w:rFonts w:ascii="Helvetica" w:eastAsia="Arial" w:hAnsi="Helvetica" w:cs="Helvetica"/>
                <w:color w:val="000000" w:themeColor="text1"/>
                <w:sz w:val="18"/>
                <w:szCs w:val="18"/>
              </w:rPr>
              <w:t>1</w:t>
            </w:r>
            <w:r w:rsidR="00FF2F21" w:rsidRPr="00192026">
              <w:rPr>
                <w:rFonts w:ascii="Helvetica" w:eastAsia="Arial" w:hAnsi="Helvetica" w:cs="Helvetica"/>
                <w:color w:val="000000" w:themeColor="text1"/>
                <w:sz w:val="18"/>
                <w:szCs w:val="18"/>
              </w:rPr>
              <w:t>7</w:t>
            </w:r>
          </w:p>
        </w:tc>
      </w:tr>
      <w:tr w:rsidR="00FB0A3F" w14:paraId="2339E716" w14:textId="77777777" w:rsidTr="00947B63">
        <w:trPr>
          <w:cantSplit/>
          <w:jc w:val="center"/>
        </w:trPr>
        <w:tc>
          <w:tcPr>
            <w:tcW w:w="3676" w:type="dxa"/>
            <w:gridSpan w:val="5"/>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043FDD57" w14:textId="72987E23" w:rsidR="00FB0A3F" w:rsidRDefault="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LML 2023/24 = 130 mm</w:t>
            </w:r>
          </w:p>
        </w:tc>
        <w:tc>
          <w:tcPr>
            <w:tcW w:w="5386" w:type="dxa"/>
            <w:gridSpan w:val="4"/>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211AFBC8" w14:textId="7B1F0156" w:rsidR="00FB0A3F" w:rsidRDefault="0001483C">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Mean daily catch 2023/24 (nominal) = 5</w:t>
            </w:r>
            <w:r w:rsidR="00947B63">
              <w:rPr>
                <w:rFonts w:ascii="Helvetica" w:eastAsia="Helvetica" w:hAnsi="Helvetica" w:cs="Helvetica"/>
                <w:color w:val="000000"/>
                <w:sz w:val="18"/>
                <w:szCs w:val="18"/>
              </w:rPr>
              <w:t>7</w:t>
            </w:r>
            <w:r>
              <w:rPr>
                <w:rFonts w:ascii="Helvetica" w:eastAsia="Helvetica" w:hAnsi="Helvetica" w:cs="Helvetica"/>
                <w:color w:val="000000"/>
                <w:sz w:val="18"/>
                <w:szCs w:val="18"/>
              </w:rPr>
              <w:t>6 kg</w:t>
            </w:r>
          </w:p>
        </w:tc>
      </w:tr>
    </w:tbl>
    <w:p w14:paraId="7F62F464" w14:textId="6995C22E" w:rsidR="00FB0A3F" w:rsidRDefault="00000000">
      <w:r>
        <w:t>The Shipwreck Coast SMU has had an average catch of 26 t since 1992 with a peak catch of 49 t harvested during 2002 (Figure 20). Catches gradually increased post-virus and following a low catch of 17 t in 2022/23, catches were the highest post-virus in 2021/22 (38.4 t).</w:t>
      </w:r>
    </w:p>
    <w:p w14:paraId="1246AE22" w14:textId="12B703BE" w:rsidR="00FB0A3F" w:rsidRDefault="00000000">
      <w:r>
        <w:t xml:space="preserve">Standardised CPUE </w:t>
      </w:r>
      <w:r w:rsidR="00AF21D9">
        <w:t xml:space="preserve">declined from 2003 to 2007 prior to the impact of the virus and </w:t>
      </w:r>
      <w:r>
        <w:t>has fluctuated without any significant trend post-virus</w:t>
      </w:r>
      <w:r w:rsidR="00AF21D9">
        <w:t xml:space="preserve"> (Figure 20)</w:t>
      </w:r>
      <w:r>
        <w:t>.</w:t>
      </w:r>
    </w:p>
    <w:p w14:paraId="3C930BB8" w14:textId="4809F6CA" w:rsidR="00FB0A3F" w:rsidRDefault="00AF21D9">
      <w:pPr>
        <w:jc w:val="center"/>
      </w:pPr>
      <w:r>
        <w:rPr>
          <w:noProof/>
        </w:rPr>
        <w:lastRenderedPageBreak/>
        <w:drawing>
          <wp:inline distT="0" distB="0" distL="0" distR="0" wp14:anchorId="414D7488" wp14:editId="537C5461">
            <wp:extent cx="5727700" cy="3579495"/>
            <wp:effectExtent l="0" t="0" r="0" b="0"/>
            <wp:docPr id="84" name="Picture" descr="Figure 13: Shipwreck Coast SMU catch, and CPUE (nominal and standardised) from 1992/93 – 2022/23. Catch = bars, nominal CPUE = grey series (+/- SE), standardised series = black. Numbers in bars indicate changes to LMLs. MPs = introduction of Marine Parks."/>
            <wp:cNvGraphicFramePr/>
            <a:graphic xmlns:a="http://schemas.openxmlformats.org/drawingml/2006/main">
              <a:graphicData uri="http://schemas.openxmlformats.org/drawingml/2006/picture">
                <pic:pic xmlns:pic="http://schemas.openxmlformats.org/drawingml/2006/picture">
                  <pic:nvPicPr>
                    <pic:cNvPr id="84" name="Picture" descr="Figure 13: Shipwreck Coast SMU catch, and CPUE (nominal and standardised) from 1992/93 – 2022/23. Catch = bars, nominal CPUE = grey series (+/- SE), standardised series = black. Numbers in bars indicate changes to LMLs. MPs = introduction of Marine Parks."/>
                    <pic:cNvPicPr/>
                  </pic:nvPicPr>
                  <pic:blipFill>
                    <a:blip r:embed="rId41"/>
                    <a:stretch>
                      <a:fillRect/>
                    </a:stretch>
                  </pic:blipFill>
                  <pic:spPr bwMode="auto">
                    <a:xfrm>
                      <a:off x="0" y="0"/>
                      <a:ext cx="5727700" cy="3579495"/>
                    </a:xfrm>
                    <a:prstGeom prst="rect">
                      <a:avLst/>
                    </a:prstGeom>
                    <a:noFill/>
                    <a:ln w="9525">
                      <a:noFill/>
                      <a:headEnd/>
                      <a:tailEnd/>
                    </a:ln>
                  </pic:spPr>
                </pic:pic>
              </a:graphicData>
            </a:graphic>
          </wp:inline>
        </w:drawing>
      </w:r>
    </w:p>
    <w:p w14:paraId="7035629D" w14:textId="6478CDC8" w:rsidR="00FB0A3F" w:rsidRDefault="00000000">
      <w:pPr>
        <w:pStyle w:val="Caption"/>
      </w:pPr>
      <w:bookmarkStart w:id="232" w:name="_Toc192777285"/>
      <w:r>
        <w:t xml:space="preserve">Figure 20: Shipwreck Coast SMU catch, and CPUE (nominal and standardised) from 1992/1993 – </w:t>
      </w:r>
      <w:r w:rsidR="00D2115A">
        <w:t xml:space="preserve">2023/24. </w:t>
      </w:r>
      <w:r w:rsidR="00495804" w:rsidRPr="00495804">
        <w:t>Nominal annual = grey series (+/- SE), standardised annual = solid black, standardised quarterly = dashed black</w:t>
      </w:r>
      <w:r>
        <w:t>. Numbers indicate changes to LMLs. MPs = introduction of Marine Parks.</w:t>
      </w:r>
      <w:bookmarkEnd w:id="232"/>
    </w:p>
    <w:p w14:paraId="038F3F96" w14:textId="593C8600" w:rsidR="00FB0A3F" w:rsidRDefault="009B5E24">
      <w:r>
        <w:t>Standardised mean daily catch declined from 2003 to 2007 prior to the virus and has been relatively stable thereafter (Figure 21). Nominal mean daily catch was 576 kg/day in 2023/24.</w:t>
      </w:r>
    </w:p>
    <w:p w14:paraId="2987055B" w14:textId="55843C79" w:rsidR="00FB0A3F" w:rsidRDefault="00AF21D9">
      <w:pPr>
        <w:jc w:val="center"/>
      </w:pPr>
      <w:r>
        <w:rPr>
          <w:noProof/>
        </w:rPr>
        <w:drawing>
          <wp:inline distT="0" distB="0" distL="0" distR="0" wp14:anchorId="4D10DA9A" wp14:editId="3F000B12">
            <wp:extent cx="5727700" cy="3579495"/>
            <wp:effectExtent l="0" t="0" r="0" b="0"/>
            <wp:docPr id="81" name="Picture" descr="A graph with lines and numbers&#10;&#10;Description automatically generated"/>
            <wp:cNvGraphicFramePr/>
            <a:graphic xmlns:a="http://schemas.openxmlformats.org/drawingml/2006/main">
              <a:graphicData uri="http://schemas.openxmlformats.org/drawingml/2006/picture">
                <pic:pic xmlns:pic="http://schemas.openxmlformats.org/drawingml/2006/picture">
                  <pic:nvPicPr>
                    <pic:cNvPr id="81" name="Picture" descr="A graph with lines and numbers&#10;&#10;Description automatically generated"/>
                    <pic:cNvPicPr/>
                  </pic:nvPicPr>
                  <pic:blipFill>
                    <a:blip r:embed="rId42"/>
                    <a:stretch>
                      <a:fillRect/>
                    </a:stretch>
                  </pic:blipFill>
                  <pic:spPr bwMode="auto">
                    <a:xfrm>
                      <a:off x="0" y="0"/>
                      <a:ext cx="5727700" cy="3579495"/>
                    </a:xfrm>
                    <a:prstGeom prst="rect">
                      <a:avLst/>
                    </a:prstGeom>
                    <a:noFill/>
                    <a:ln w="9525">
                      <a:noFill/>
                      <a:headEnd/>
                      <a:tailEnd/>
                    </a:ln>
                  </pic:spPr>
                </pic:pic>
              </a:graphicData>
            </a:graphic>
          </wp:inline>
        </w:drawing>
      </w:r>
    </w:p>
    <w:p w14:paraId="3BE53FD0" w14:textId="4CEC7917" w:rsidR="00FB0A3F" w:rsidRDefault="00000000">
      <w:pPr>
        <w:pStyle w:val="Caption"/>
      </w:pPr>
      <w:bookmarkStart w:id="233" w:name="_Toc192777286"/>
      <w:r>
        <w:t xml:space="preserve">Figure 21: Total catch and mean daily catch for the Shipwreck Coast </w:t>
      </w:r>
      <w:r w:rsidR="008D0E2D">
        <w:t>SMU from 2003 to 2023</w:t>
      </w:r>
      <w:r>
        <w:t>.</w:t>
      </w:r>
      <w:r w:rsidR="00AF21D9">
        <w:t xml:space="preserve"> </w:t>
      </w:r>
      <w:r w:rsidR="00AF21D9" w:rsidRPr="00AF21D9">
        <w:t>Nominal annual = grey series (+/- SE), standardised annual = solid black, standardised quarterly = dashed black.</w:t>
      </w:r>
      <w:bookmarkEnd w:id="233"/>
      <w:r>
        <w:t xml:space="preserve"> </w:t>
      </w:r>
    </w:p>
    <w:p w14:paraId="64CDDA8A" w14:textId="36F66A53" w:rsidR="00FB0A3F" w:rsidRDefault="00000000">
      <w:pPr>
        <w:pStyle w:val="TableCaption"/>
      </w:pPr>
      <w:bookmarkStart w:id="234" w:name="_Toc192762283"/>
      <w:r>
        <w:lastRenderedPageBreak/>
        <w:t>Table 1</w:t>
      </w:r>
      <w:r w:rsidR="001A6F5B">
        <w:t>5</w:t>
      </w:r>
      <w:r>
        <w:t xml:space="preserve">: Catches (kg) by </w:t>
      </w:r>
      <w:proofErr w:type="spellStart"/>
      <w:r>
        <w:t>reefcode</w:t>
      </w:r>
      <w:proofErr w:type="spellEnd"/>
      <w:r>
        <w:t xml:space="preserve"> for the Shipwreck Coast SMU </w:t>
      </w:r>
      <w:r w:rsidR="003E07DE">
        <w:t xml:space="preserve">from 2018/19 to 2023/24 and the </w:t>
      </w:r>
      <w:r w:rsidR="008E6717">
        <w:t>5</w:t>
      </w:r>
      <w:r w:rsidR="003E07DE">
        <w:t>-year average catch from 2018/19 to 2022/23</w:t>
      </w:r>
      <w:r>
        <w:t>.</w:t>
      </w:r>
      <w:bookmarkEnd w:id="234"/>
    </w:p>
    <w:p w14:paraId="4845C104" w14:textId="79AE8930" w:rsidR="00FB0A3F" w:rsidRDefault="00BE07ED">
      <w:pPr>
        <w:jc w:val="center"/>
      </w:pPr>
      <w:r w:rsidRPr="00BE07ED">
        <w:rPr>
          <w:noProof/>
        </w:rPr>
        <w:drawing>
          <wp:inline distT="0" distB="0" distL="0" distR="0" wp14:anchorId="37D1F7B1" wp14:editId="6C666FBF">
            <wp:extent cx="4366260" cy="1287206"/>
            <wp:effectExtent l="0" t="0" r="0" b="8255"/>
            <wp:docPr id="463664576" name="Picture 1" descr="A table with numb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664576" name="Picture 1" descr="A table with numbers and numbers&#10;&#10;Description automatically generated"/>
                    <pic:cNvPicPr/>
                  </pic:nvPicPr>
                  <pic:blipFill>
                    <a:blip r:embed="rId43"/>
                    <a:stretch>
                      <a:fillRect/>
                    </a:stretch>
                  </pic:blipFill>
                  <pic:spPr>
                    <a:xfrm>
                      <a:off x="0" y="0"/>
                      <a:ext cx="4382000" cy="1291846"/>
                    </a:xfrm>
                    <a:prstGeom prst="rect">
                      <a:avLst/>
                    </a:prstGeom>
                  </pic:spPr>
                </pic:pic>
              </a:graphicData>
            </a:graphic>
          </wp:inline>
        </w:drawing>
      </w:r>
    </w:p>
    <w:p w14:paraId="370A8AF9" w14:textId="4091AB35" w:rsidR="00FB0A3F" w:rsidRDefault="00000000">
      <w:r>
        <w:t xml:space="preserve">All </w:t>
      </w:r>
      <w:r w:rsidR="008E6717">
        <w:t>5</w:t>
      </w:r>
      <w:r>
        <w:t xml:space="preserve"> </w:t>
      </w:r>
      <w:proofErr w:type="spellStart"/>
      <w:r>
        <w:t>reefcodes</w:t>
      </w:r>
      <w:proofErr w:type="spellEnd"/>
      <w:r>
        <w:t xml:space="preserve"> have contributed regularly to the catch from the Shipwreck Coast SMU in the past </w:t>
      </w:r>
      <w:r w:rsidR="00AC25C3">
        <w:t>6</w:t>
      </w:r>
      <w:r>
        <w:t xml:space="preserve"> years (Table 1</w:t>
      </w:r>
      <w:r w:rsidR="001A6F5B">
        <w:t>5</w:t>
      </w:r>
      <w:r>
        <w:t>). In 202</w:t>
      </w:r>
      <w:r w:rsidR="00153F64">
        <w:t>3</w:t>
      </w:r>
      <w:r>
        <w:t>/2</w:t>
      </w:r>
      <w:r w:rsidR="00153F64">
        <w:t>4</w:t>
      </w:r>
      <w:r>
        <w:t xml:space="preserve">, catches were close to the </w:t>
      </w:r>
      <w:r w:rsidR="008E6717">
        <w:t>5</w:t>
      </w:r>
      <w:r>
        <w:t xml:space="preserve">-year average at </w:t>
      </w:r>
      <w:r w:rsidR="00153F64">
        <w:t xml:space="preserve">all </w:t>
      </w:r>
      <w:proofErr w:type="spellStart"/>
      <w:r>
        <w:t>reefcodes</w:t>
      </w:r>
      <w:proofErr w:type="spellEnd"/>
      <w:r w:rsidR="00153F64">
        <w:t xml:space="preserve"> except for a low catch at 4</w:t>
      </w:r>
      <w:r>
        <w:t xml:space="preserve">.01. </w:t>
      </w:r>
    </w:p>
    <w:p w14:paraId="2A82481A" w14:textId="77777777" w:rsidR="00FB0A3F" w:rsidRDefault="00000000">
      <w:r>
        <w:rPr>
          <w:i/>
          <w:iCs/>
        </w:rPr>
        <w:t>FIS recruit abundance (Two Top 15 sites)</w:t>
      </w:r>
    </w:p>
    <w:p w14:paraId="6314D886" w14:textId="77777777" w:rsidR="00FB0A3F" w:rsidRDefault="00000000">
      <w:r>
        <w:t xml:space="preserve">FIS were not implemented in the Shipwreck SMU until 2004. The abundance of recruit sized abalone declined substantially and significantly from 2004 to 2009, seemingly independent of the virus introduction (Figure 22). At Top 15 sites, recruit abundance has generally increased post-virus. </w:t>
      </w:r>
    </w:p>
    <w:p w14:paraId="31C366AB" w14:textId="77777777" w:rsidR="00FB0A3F" w:rsidRDefault="00000000">
      <w:pPr>
        <w:rPr>
          <w:i/>
          <w:iCs/>
        </w:rPr>
      </w:pPr>
      <w:r>
        <w:rPr>
          <w:i/>
          <w:iCs/>
        </w:rPr>
        <w:t>FIS pre-recruit abundance (Two Top 15 sites)</w:t>
      </w:r>
    </w:p>
    <w:p w14:paraId="30468DBB" w14:textId="77777777" w:rsidR="00FB0A3F" w:rsidRDefault="00000000">
      <w:r>
        <w:t xml:space="preserve">The abundance of pre-recruit abalone has been variable over time (Figure 23). The abundance of pre-recruits generally increased post-virus until 2020 and has been at relatively low levels thereafter. </w:t>
      </w:r>
    </w:p>
    <w:p w14:paraId="1DB81015" w14:textId="31841600" w:rsidR="00FB0A3F" w:rsidRDefault="00AF21D9">
      <w:r>
        <w:rPr>
          <w:noProof/>
        </w:rPr>
        <w:drawing>
          <wp:inline distT="0" distB="0" distL="0" distR="0" wp14:anchorId="334CD674" wp14:editId="25CBF72C">
            <wp:extent cx="5727700" cy="3579495"/>
            <wp:effectExtent l="0" t="0" r="0" b="0"/>
            <wp:docPr id="87" name="Picture" descr="Figure 14: Recruit abundance and catch from 1992/93 – 2022/23 for the Shipwreck Coast SMU. Grey dashed series = nominal abundance across all FIS sites (+/-SE). Black series = nominal (dotted line, open data point in 2023; +/-SE) and standardised (solid line, solid data point in 2023) abundance at the two Top 15 sites located within the Shipwreck Coast SMU."/>
            <wp:cNvGraphicFramePr/>
            <a:graphic xmlns:a="http://schemas.openxmlformats.org/drawingml/2006/main">
              <a:graphicData uri="http://schemas.openxmlformats.org/drawingml/2006/picture">
                <pic:pic xmlns:pic="http://schemas.openxmlformats.org/drawingml/2006/picture">
                  <pic:nvPicPr>
                    <pic:cNvPr id="87" name="Picture" descr="Figure 14: Recruit abundance and catch from 1992/93 – 2022/23 for the Shipwreck Coast SMU. Grey dashed series = nominal abundance across all FIS sites (+/-SE). Black series = nominal (dotted line, open data point in 2023; +/-SE) and standardised (solid line, solid data point in 2023) abundance at the two Top 15 sites located within the Shipwreck Coast SMU."/>
                    <pic:cNvPicPr/>
                  </pic:nvPicPr>
                  <pic:blipFill>
                    <a:blip r:embed="rId44"/>
                    <a:stretch>
                      <a:fillRect/>
                    </a:stretch>
                  </pic:blipFill>
                  <pic:spPr bwMode="auto">
                    <a:xfrm>
                      <a:off x="0" y="0"/>
                      <a:ext cx="5727700" cy="3579495"/>
                    </a:xfrm>
                    <a:prstGeom prst="rect">
                      <a:avLst/>
                    </a:prstGeom>
                    <a:noFill/>
                    <a:ln w="9525">
                      <a:noFill/>
                      <a:headEnd/>
                      <a:tailEnd/>
                    </a:ln>
                  </pic:spPr>
                </pic:pic>
              </a:graphicData>
            </a:graphic>
          </wp:inline>
        </w:drawing>
      </w:r>
    </w:p>
    <w:p w14:paraId="777C3304" w14:textId="473DDEE5" w:rsidR="00FB0A3F" w:rsidRDefault="00000000" w:rsidP="00AF21D9">
      <w:pPr>
        <w:pStyle w:val="Caption"/>
      </w:pPr>
      <w:bookmarkStart w:id="235" w:name="_Toc192777287"/>
      <w:r>
        <w:t>Figure 22: Recruit abundance (grey dashed, nominal all sites 1992 – 2021; black, Top 15 standardised (solid) 2003 – 2023) including catch from 1992/1993 – 2022/23 for the Shipwreck Coast SMU. MPs = introduction of Marine Parks; numbers reflect size limit changes.</w:t>
      </w:r>
      <w:bookmarkEnd w:id="235"/>
    </w:p>
    <w:p w14:paraId="69FF698D" w14:textId="484E3476" w:rsidR="00AF21D9" w:rsidRDefault="00AF21D9">
      <w:r>
        <w:rPr>
          <w:noProof/>
        </w:rPr>
        <w:lastRenderedPageBreak/>
        <w:drawing>
          <wp:inline distT="0" distB="0" distL="0" distR="0" wp14:anchorId="7B3F6270" wp14:editId="49B05F25">
            <wp:extent cx="5727700" cy="3579495"/>
            <wp:effectExtent l="0" t="0" r="0" b="0"/>
            <wp:docPr id="90" name="Picture" descr="Figure 15: Pre-recruit abundance and catch from 1992/93 – 2022/23 for the Shipwreck Coast SMU. Grey dashed series = nominal abundance across all FIS sites (+/-SE). Black series = nominal (dotted line, open data point in 2023; +/-SE) and standardised (solid line, solid data point in 2023) abundance at the two Top 15 sites located within the Shipwreck Coast SMU."/>
            <wp:cNvGraphicFramePr/>
            <a:graphic xmlns:a="http://schemas.openxmlformats.org/drawingml/2006/main">
              <a:graphicData uri="http://schemas.openxmlformats.org/drawingml/2006/picture">
                <pic:pic xmlns:pic="http://schemas.openxmlformats.org/drawingml/2006/picture">
                  <pic:nvPicPr>
                    <pic:cNvPr id="90" name="Picture" descr="Figure 15: Pre-recruit abundance and catch from 1992/93 – 2022/23 for the Shipwreck Coast SMU. Grey dashed series = nominal abundance across all FIS sites (+/-SE). Black series = nominal (dotted line, open data point in 2023; +/-SE) and standardised (solid line, solid data point in 2023) abundance at the two Top 15 sites located within the Shipwreck Coast SMU."/>
                    <pic:cNvPicPr/>
                  </pic:nvPicPr>
                  <pic:blipFill>
                    <a:blip r:embed="rId45"/>
                    <a:stretch>
                      <a:fillRect/>
                    </a:stretch>
                  </pic:blipFill>
                  <pic:spPr bwMode="auto">
                    <a:xfrm>
                      <a:off x="0" y="0"/>
                      <a:ext cx="5727700" cy="3579495"/>
                    </a:xfrm>
                    <a:prstGeom prst="rect">
                      <a:avLst/>
                    </a:prstGeom>
                    <a:noFill/>
                    <a:ln w="9525">
                      <a:noFill/>
                      <a:headEnd/>
                      <a:tailEnd/>
                    </a:ln>
                  </pic:spPr>
                </pic:pic>
              </a:graphicData>
            </a:graphic>
          </wp:inline>
        </w:drawing>
      </w:r>
    </w:p>
    <w:p w14:paraId="00769B8C" w14:textId="72983F8E" w:rsidR="00FB0A3F" w:rsidRDefault="00000000">
      <w:pPr>
        <w:pStyle w:val="Caption"/>
      </w:pPr>
      <w:bookmarkStart w:id="236" w:name="_Toc192777288"/>
      <w:r>
        <w:t>Figure 23: Pre-recruit abundance (grey dashed, nominal all sites 1992 – 2021; black, Top 15 standardised (solid) 2003 – 2023) including catch from 1992/1993 – 2022/23 for the Shipwreck Coast SMU. MPs = introduction of Marine Parks; numbers reflect size limit changes.</w:t>
      </w:r>
      <w:bookmarkEnd w:id="236"/>
    </w:p>
    <w:p w14:paraId="60B65E25" w14:textId="35268BE7" w:rsidR="00AC6F07" w:rsidRDefault="00AC6F07">
      <w:pPr>
        <w:spacing w:before="0" w:after="0"/>
        <w:rPr>
          <w:i/>
          <w:iCs/>
        </w:rPr>
      </w:pPr>
    </w:p>
    <w:p w14:paraId="6139FB3C" w14:textId="67B68918" w:rsidR="00FB0A3F" w:rsidRDefault="00000000">
      <w:pPr>
        <w:rPr>
          <w:i/>
          <w:iCs/>
        </w:rPr>
      </w:pPr>
      <w:r>
        <w:rPr>
          <w:i/>
          <w:iCs/>
        </w:rPr>
        <w:t>Length frequency data – FIS</w:t>
      </w:r>
    </w:p>
    <w:p w14:paraId="0868218A" w14:textId="4E530FB9" w:rsidR="00FB0A3F" w:rsidRDefault="00000000">
      <w:r>
        <w:t xml:space="preserve">The size structure of the surveyed population at the Shipwreck Coast SMU changed prior to the virus, showing declines in mean size (Appendix </w:t>
      </w:r>
      <w:r w:rsidR="00CD18AC">
        <w:t>1</w:t>
      </w:r>
      <w:r>
        <w:t>). The size structure has varied post-</w:t>
      </w:r>
      <w:proofErr w:type="gramStart"/>
      <w:r>
        <w:t>virus</w:t>
      </w:r>
      <w:proofErr w:type="gramEnd"/>
      <w:r>
        <w:t xml:space="preserve"> but few clear trends are evident.</w:t>
      </w:r>
    </w:p>
    <w:p w14:paraId="1DDB69ED" w14:textId="77777777" w:rsidR="00FB0A3F" w:rsidRDefault="00000000">
      <w:pPr>
        <w:rPr>
          <w:i/>
          <w:iCs/>
        </w:rPr>
      </w:pPr>
      <w:r>
        <w:rPr>
          <w:i/>
          <w:iCs/>
        </w:rPr>
        <w:t>Length frequency data – commercial</w:t>
      </w:r>
    </w:p>
    <w:p w14:paraId="057B64D2" w14:textId="30765A3E" w:rsidR="00FB0A3F" w:rsidRDefault="00000000">
      <w:bookmarkStart w:id="237" w:name="_Hlk192239588"/>
      <w:r>
        <w:t xml:space="preserve">From 2016/17 to 2019/20, the standardised average length of abalone in the commercial catch was stable around 134 to 135 mm, which was 9 to 10 mm above the LML at that time (Appendix </w:t>
      </w:r>
      <w:r w:rsidR="00CD18AC">
        <w:t>3</w:t>
      </w:r>
      <w:r>
        <w:t xml:space="preserve">, Appendix </w:t>
      </w:r>
      <w:r w:rsidR="00CD18AC">
        <w:t>4</w:t>
      </w:r>
      <w:r>
        <w:t>). The LML increased to 130 mm on 1 April 2020 and mean size increased by around 3 mm to around 138 mm in 2021</w:t>
      </w:r>
      <w:r w:rsidR="00DE1163">
        <w:t xml:space="preserve"> and has remained relatively stable thereafter</w:t>
      </w:r>
      <w:r>
        <w:t xml:space="preserve">. Results of an analysis to account for LML increases demonstrate an increase in size over and above the LML increase. Raw data show </w:t>
      </w:r>
      <w:r w:rsidR="00DE1163">
        <w:t>similar</w:t>
      </w:r>
      <w:r>
        <w:t xml:space="preserve"> trends to standardised data over time. </w:t>
      </w:r>
      <w:r w:rsidR="00DE1163">
        <w:t>Increases in length lead to increases in weight and a reduction in the number of abalone harvested for a given TACC. While the increases in length at Shipwreck Coast SMU are smaller in magnitude than other SMUs, due to the higher average length, estimated weight increases are greater than 20% for the Shipwreck Coast SMU.</w:t>
      </w:r>
      <w:bookmarkEnd w:id="237"/>
    </w:p>
    <w:p w14:paraId="69D776D9" w14:textId="77777777" w:rsidR="00FB0A3F" w:rsidRDefault="00000000">
      <w:r>
        <w:rPr>
          <w:i/>
          <w:iCs/>
        </w:rPr>
        <w:t>Summary</w:t>
      </w:r>
    </w:p>
    <w:p w14:paraId="09F74345" w14:textId="4BB3A8F1" w:rsidR="00FB0A3F" w:rsidRDefault="00000000">
      <w:r>
        <w:t xml:space="preserve">The Shipwreck Coast SMU was severely affected by the abalone virus in 2007 (VFA 2018) and there was no fishing in 2008 and 2009. Catches have recovered substantially since and </w:t>
      </w:r>
      <w:r w:rsidR="008F4E28">
        <w:t xml:space="preserve">recent catches </w:t>
      </w:r>
      <w:r>
        <w:t xml:space="preserve">are </w:t>
      </w:r>
      <w:r w:rsidR="008F4E28">
        <w:t xml:space="preserve">around or </w:t>
      </w:r>
      <w:r>
        <w:t xml:space="preserve">above the historic average. Post-virus, standardised CPUE </w:t>
      </w:r>
      <w:r w:rsidR="008F4E28">
        <w:t xml:space="preserve">and mean daily catch have </w:t>
      </w:r>
      <w:r>
        <w:t>fluctuated without any trend</w:t>
      </w:r>
      <w:r w:rsidR="008F4E28">
        <w:t xml:space="preserve"> despite </w:t>
      </w:r>
      <w:r>
        <w:t>an increase in LML from 125 to 130 mm</w:t>
      </w:r>
      <w:r w:rsidR="008F4E28">
        <w:t xml:space="preserve"> on 1 April 2020</w:t>
      </w:r>
      <w:r>
        <w:t xml:space="preserve">. Catches at the </w:t>
      </w:r>
      <w:proofErr w:type="spellStart"/>
      <w:r>
        <w:t>reefcode</w:t>
      </w:r>
      <w:proofErr w:type="spellEnd"/>
      <w:r>
        <w:t xml:space="preserve"> scale tend to be highly variable and either reflects diver preferences or possibly differing recovery rates of reefs. </w:t>
      </w:r>
      <w:r w:rsidR="008F4E28">
        <w:t>I</w:t>
      </w:r>
      <w:r>
        <w:t>n 202</w:t>
      </w:r>
      <w:r w:rsidR="008F4E28">
        <w:t>3</w:t>
      </w:r>
      <w:r>
        <w:t>/2</w:t>
      </w:r>
      <w:r w:rsidR="008F4E28">
        <w:t>4,</w:t>
      </w:r>
      <w:r>
        <w:t xml:space="preserve"> the catch from </w:t>
      </w:r>
      <w:proofErr w:type="spellStart"/>
      <w:r>
        <w:t>reefcode</w:t>
      </w:r>
      <w:proofErr w:type="spellEnd"/>
      <w:r>
        <w:t xml:space="preserve"> </w:t>
      </w:r>
      <w:r w:rsidR="008F4E28">
        <w:t>4</w:t>
      </w:r>
      <w:r>
        <w:t>.01 (</w:t>
      </w:r>
      <w:r w:rsidR="008F4E28">
        <w:t>2.8</w:t>
      </w:r>
      <w:r>
        <w:t xml:space="preserve"> t) was </w:t>
      </w:r>
      <w:r w:rsidR="008F4E28">
        <w:t xml:space="preserve">the lowest recorded in the last </w:t>
      </w:r>
      <w:r w:rsidR="00AC25C3">
        <w:t>6</w:t>
      </w:r>
      <w:r w:rsidR="008F4E28">
        <w:t xml:space="preserve"> years</w:t>
      </w:r>
      <w:r>
        <w:t xml:space="preserve">. </w:t>
      </w:r>
    </w:p>
    <w:p w14:paraId="6DDC58C6" w14:textId="77777777" w:rsidR="00FB0A3F" w:rsidRDefault="00000000">
      <w:r>
        <w:lastRenderedPageBreak/>
        <w:t>FIS were not implemented in the Shipwreck SMU until 2004. Following the virus outbreak, both recruit and pre-recruit abundance increased substantially at the two Top 15 sites up to 2016 and have fluctuated thereafter. Recruit abundance was high in relative terms while pre-recruit abundance was low.</w:t>
      </w:r>
    </w:p>
    <w:p w14:paraId="3946924D" w14:textId="725B9241" w:rsidR="00FB0A3F" w:rsidRDefault="00000000">
      <w:r>
        <w:t xml:space="preserve">The standardised average length of the commercial catch has increased from around 134 to 138 mm </w:t>
      </w:r>
      <w:r w:rsidR="008F4E28">
        <w:t>since 2016/17</w:t>
      </w:r>
      <w:r>
        <w:t>.</w:t>
      </w:r>
      <w:r w:rsidR="008F4E28">
        <w:t xml:space="preserve"> While this is not as large of an increase in length as other SMUs, due to the large size of Shipwreck Coast abalone this equates to a &gt;20% increase in weight and a proportional reduction in the number of individual abalone harvested for a given TACC. </w:t>
      </w:r>
    </w:p>
    <w:p w14:paraId="63675CE0" w14:textId="746FF14A" w:rsidR="00FB0A3F" w:rsidRDefault="00000000" w:rsidP="00894CE2">
      <w:r>
        <w:t xml:space="preserve">The total catch in the Shipwreck Coast SMU of </w:t>
      </w:r>
      <w:r w:rsidR="00894CE2">
        <w:t>25.1</w:t>
      </w:r>
      <w:r>
        <w:t xml:space="preserve"> t was below the OT with carry-over (</w:t>
      </w:r>
      <w:r w:rsidR="00894CE2">
        <w:t>29.2</w:t>
      </w:r>
      <w:r>
        <w:t xml:space="preserve"> t). Mean CPUE (9</w:t>
      </w:r>
      <w:r w:rsidR="00894CE2">
        <w:t>7.9</w:t>
      </w:r>
      <w:r>
        <w:t xml:space="preserve"> kg/h) was above the Threshold (</w:t>
      </w:r>
      <w:r w:rsidR="00894CE2">
        <w:t>8</w:t>
      </w:r>
      <w:r>
        <w:t xml:space="preserve">0 kg/h) Reference Point. The Primary </w:t>
      </w:r>
      <w:r w:rsidR="00894CE2">
        <w:t xml:space="preserve">and Secondary </w:t>
      </w:r>
      <w:r>
        <w:t>Categor</w:t>
      </w:r>
      <w:r w:rsidR="00894CE2">
        <w:t>ies</w:t>
      </w:r>
      <w:r>
        <w:t xml:space="preserve"> w</w:t>
      </w:r>
      <w:r w:rsidR="00894CE2">
        <w:t>ere</w:t>
      </w:r>
      <w:r>
        <w:t xml:space="preserve"> Stable and therefore the Final Category was Stable. The OT was </w:t>
      </w:r>
      <w:r w:rsidR="00894CE2">
        <w:t xml:space="preserve">maintained at </w:t>
      </w:r>
      <w:r>
        <w:t xml:space="preserve">29.2 t </w:t>
      </w:r>
      <w:r w:rsidR="00894CE2">
        <w:t xml:space="preserve">for </w:t>
      </w:r>
      <w:r>
        <w:t>202</w:t>
      </w:r>
      <w:r w:rsidR="00894CE2">
        <w:t>4</w:t>
      </w:r>
      <w:r>
        <w:t>/2</w:t>
      </w:r>
      <w:r w:rsidR="00894CE2">
        <w:t>5</w:t>
      </w:r>
      <w:r>
        <w:t>, suggesting a</w:t>
      </w:r>
      <w:r w:rsidR="00894CE2">
        <w:t>n</w:t>
      </w:r>
      <w:r>
        <w:t xml:space="preserve"> </w:t>
      </w:r>
      <w:r w:rsidR="00894CE2">
        <w:t xml:space="preserve">OT </w:t>
      </w:r>
      <w:r>
        <w:t xml:space="preserve">of 27.7 to 30.7 t. </w:t>
      </w:r>
    </w:p>
    <w:p w14:paraId="0F62F377" w14:textId="798F9596" w:rsidR="00FB0A3F" w:rsidRDefault="00894CE2">
      <w:pPr>
        <w:rPr>
          <w:b/>
          <w:bCs/>
        </w:rPr>
      </w:pPr>
      <w:r>
        <w:rPr>
          <w:b/>
          <w:bCs/>
        </w:rPr>
        <w:t xml:space="preserve">While it is noted that the current OT is around 3 t above the long-term historic average catch, given its history of being virus infected it remains difficult to determine whether these catches are sustainable in the long-term. On a positive note, increases in mean length of the commercial catch indicate that fewer individual abalone are being harvested for a given OT. </w:t>
      </w:r>
      <w:r w:rsidR="00AC6D9A">
        <w:rPr>
          <w:b/>
          <w:bCs/>
        </w:rPr>
        <w:t>In addition,</w:t>
      </w:r>
      <w:r>
        <w:rPr>
          <w:b/>
          <w:bCs/>
        </w:rPr>
        <w:t xml:space="preserve"> all indicators for the stock have remained stable in recent years despite </w:t>
      </w:r>
      <w:r w:rsidR="00AC6D9A">
        <w:rPr>
          <w:b/>
          <w:bCs/>
        </w:rPr>
        <w:t xml:space="preserve">a </w:t>
      </w:r>
      <w:r>
        <w:rPr>
          <w:b/>
          <w:bCs/>
        </w:rPr>
        <w:t xml:space="preserve">large increase in the LML in 2020. The Draft Harvest Strategy suggests a stable catch and it seems appropriate to maintain this strategy for 2025/26. </w:t>
      </w:r>
    </w:p>
    <w:p w14:paraId="0B34E6DA" w14:textId="6C9C3DF6" w:rsidR="008D0E2D" w:rsidRDefault="008D0E2D">
      <w:pPr>
        <w:spacing w:before="0" w:after="0"/>
      </w:pPr>
    </w:p>
    <w:p w14:paraId="0788E1CF" w14:textId="77777777" w:rsidR="008D0E2D" w:rsidRDefault="008D0E2D" w:rsidP="008D0E2D">
      <w:pPr>
        <w:pStyle w:val="Heading3"/>
        <w:numPr>
          <w:ilvl w:val="2"/>
          <w:numId w:val="9"/>
        </w:numPr>
        <w:ind w:left="504"/>
      </w:pPr>
      <w:r>
        <w:t xml:space="preserve">   </w:t>
      </w:r>
      <w:bookmarkStart w:id="238" w:name="_Toc98408342"/>
      <w:bookmarkStart w:id="239" w:name="_Toc192777234"/>
      <w:r>
        <w:t>Prom Westside</w:t>
      </w:r>
      <w:bookmarkEnd w:id="238"/>
      <w:r>
        <w:t xml:space="preserve"> (Medium SMU)</w:t>
      </w:r>
      <w:bookmarkEnd w:id="239"/>
    </w:p>
    <w:p w14:paraId="294B86E9" w14:textId="7E00CB52" w:rsidR="008D0E2D" w:rsidRDefault="008D0E2D" w:rsidP="008D0E2D">
      <w:r>
        <w:t xml:space="preserve">The Prom Westside SMU contributed 23.1 t in 2023/24 representing 10.4% of the total catch (Table 16) and TACC (Table 3). This was 2.1 t above the OT. </w:t>
      </w:r>
      <w:r w:rsidR="00192026">
        <w:rPr>
          <w:rFonts w:ascii="Helvetica" w:eastAsia="Helvetica" w:hAnsi="Helvetica" w:cs="Helvetica"/>
          <w:color w:val="000000"/>
          <w:sz w:val="18"/>
          <w:szCs w:val="18"/>
        </w:rPr>
        <w:t>Standardised</w:t>
      </w:r>
      <w:r w:rsidR="00192026">
        <w:t xml:space="preserve"> </w:t>
      </w:r>
      <w:r>
        <w:t xml:space="preserve">CPUE </w:t>
      </w:r>
      <w:r w:rsidR="00192026">
        <w:t xml:space="preserve">has </w:t>
      </w:r>
      <w:r>
        <w:t xml:space="preserve">declined </w:t>
      </w:r>
      <w:r w:rsidR="00192026">
        <w:t xml:space="preserve">by 27% </w:t>
      </w:r>
      <w:r>
        <w:t xml:space="preserve">in the long-term and </w:t>
      </w:r>
      <w:r w:rsidR="00192026">
        <w:t>7% in the short term but is similar (1% decrease) over the last four years</w:t>
      </w:r>
      <w:r>
        <w:t xml:space="preserve">. </w:t>
      </w:r>
    </w:p>
    <w:p w14:paraId="518361C6" w14:textId="4F242D19" w:rsidR="008D0E2D" w:rsidRDefault="008D0E2D" w:rsidP="008D0E2D">
      <w:pPr>
        <w:pStyle w:val="TableCaption"/>
      </w:pPr>
      <w:bookmarkStart w:id="240" w:name="_Toc192762284"/>
      <w:r>
        <w:t>Table 16: Summary of Catch, Optimal targets and performance indicators for the Prom Westside SMU. The LML and mean daily catch are also shown.</w:t>
      </w:r>
      <w:bookmarkEnd w:id="240"/>
      <w:r>
        <w:t xml:space="preserve"> </w:t>
      </w:r>
    </w:p>
    <w:tbl>
      <w:tblPr>
        <w:tblW w:w="9062" w:type="dxa"/>
        <w:jc w:val="center"/>
        <w:tblLayout w:type="fixed"/>
        <w:tblLook w:val="04A0" w:firstRow="1" w:lastRow="0" w:firstColumn="1" w:lastColumn="0" w:noHBand="0" w:noVBand="1"/>
      </w:tblPr>
      <w:tblGrid>
        <w:gridCol w:w="703"/>
        <w:gridCol w:w="572"/>
        <w:gridCol w:w="724"/>
        <w:gridCol w:w="846"/>
        <w:gridCol w:w="831"/>
        <w:gridCol w:w="14"/>
        <w:gridCol w:w="1790"/>
        <w:gridCol w:w="1791"/>
        <w:gridCol w:w="1791"/>
      </w:tblGrid>
      <w:tr w:rsidR="008D0E2D" w14:paraId="6BE97ACE" w14:textId="77777777" w:rsidTr="00441EEF">
        <w:trPr>
          <w:cantSplit/>
          <w:trHeight w:val="540"/>
          <w:tblHeader/>
          <w:jc w:val="center"/>
        </w:trPr>
        <w:tc>
          <w:tcPr>
            <w:tcW w:w="3690" w:type="dxa"/>
            <w:gridSpan w:val="6"/>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384ACD8F" w14:textId="77777777" w:rsidR="008D0E2D" w:rsidRDefault="008D0E2D" w:rsidP="00441EEF">
            <w:pPr>
              <w:spacing w:before="100" w:after="100"/>
              <w:ind w:left="100" w:right="100"/>
              <w:jc w:val="center"/>
            </w:pPr>
            <w:r>
              <w:rPr>
                <w:rFonts w:ascii="Helvetica" w:eastAsia="Helvetica" w:hAnsi="Helvetica" w:cs="Helvetica"/>
                <w:color w:val="000000"/>
                <w:sz w:val="18"/>
                <w:szCs w:val="18"/>
              </w:rPr>
              <w:t>Catch</w:t>
            </w:r>
          </w:p>
        </w:tc>
        <w:tc>
          <w:tcPr>
            <w:tcW w:w="5372" w:type="dxa"/>
            <w:gridSpan w:val="3"/>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28BCBE9E" w14:textId="08E50812" w:rsidR="008D0E2D" w:rsidRDefault="00192026" w:rsidP="00441EEF">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 xml:space="preserve">Standardised </w:t>
            </w:r>
            <w:r w:rsidR="008D0E2D">
              <w:rPr>
                <w:rFonts w:ascii="Helvetica" w:eastAsia="Helvetica" w:hAnsi="Helvetica" w:cs="Helvetica"/>
                <w:color w:val="000000"/>
                <w:sz w:val="18"/>
                <w:szCs w:val="18"/>
              </w:rPr>
              <w:t>CPUE Performance Indicators</w:t>
            </w:r>
            <w:r>
              <w:rPr>
                <w:rFonts w:ascii="Helvetica" w:eastAsia="Helvetica" w:hAnsi="Helvetica" w:cs="Helvetica"/>
                <w:color w:val="000000"/>
                <w:sz w:val="18"/>
                <w:szCs w:val="18"/>
              </w:rPr>
              <w:t xml:space="preserve"> (% change)</w:t>
            </w:r>
          </w:p>
        </w:tc>
      </w:tr>
      <w:tr w:rsidR="008D0E2D" w14:paraId="3270246A" w14:textId="77777777" w:rsidTr="00441EEF">
        <w:trPr>
          <w:cantSplit/>
          <w:trHeight w:val="507"/>
          <w:tblHeader/>
          <w:jc w:val="center"/>
        </w:trPr>
        <w:tc>
          <w:tcPr>
            <w:tcW w:w="1275" w:type="dxa"/>
            <w:gridSpan w:val="2"/>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77190EA5" w14:textId="77777777" w:rsidR="008D0E2D" w:rsidRDefault="008D0E2D" w:rsidP="00441EEF">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2023/24</w:t>
            </w:r>
          </w:p>
        </w:tc>
        <w:tc>
          <w:tcPr>
            <w:tcW w:w="241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753B9AB" w14:textId="77777777" w:rsidR="008D0E2D" w:rsidRDefault="008D0E2D" w:rsidP="00441EEF">
            <w:pPr>
              <w:spacing w:before="100" w:after="100"/>
              <w:ind w:left="100" w:right="100"/>
              <w:jc w:val="center"/>
            </w:pPr>
            <w:r>
              <w:rPr>
                <w:rFonts w:ascii="Helvetica" w:eastAsia="Helvetica" w:hAnsi="Helvetica" w:cs="Helvetica"/>
                <w:color w:val="000000"/>
                <w:sz w:val="18"/>
                <w:szCs w:val="18"/>
              </w:rPr>
              <w:t>OT + carryover* (t)</w:t>
            </w: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20693FD" w14:textId="77777777" w:rsidR="008D0E2D" w:rsidRDefault="008D0E2D" w:rsidP="00441EEF">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Long-term</w:t>
            </w:r>
          </w:p>
        </w:tc>
        <w:tc>
          <w:tcPr>
            <w:tcW w:w="179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1681398" w14:textId="77777777" w:rsidR="008D0E2D" w:rsidRDefault="008D0E2D" w:rsidP="00441EEF">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Short-term</w:t>
            </w:r>
          </w:p>
        </w:tc>
        <w:tc>
          <w:tcPr>
            <w:tcW w:w="179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0C4A163" w14:textId="77777777" w:rsidR="008D0E2D" w:rsidRDefault="008D0E2D" w:rsidP="00441EEF">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Last 4 years</w:t>
            </w:r>
          </w:p>
        </w:tc>
      </w:tr>
      <w:tr w:rsidR="008D0E2D" w14:paraId="1EAF1005" w14:textId="77777777" w:rsidTr="00441EEF">
        <w:trPr>
          <w:cantSplit/>
          <w:trHeight w:val="218"/>
          <w:tblHeader/>
          <w:jc w:val="center"/>
        </w:trPr>
        <w:tc>
          <w:tcPr>
            <w:tcW w:w="703"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331BAFF" w14:textId="77777777" w:rsidR="008D0E2D" w:rsidRDefault="008D0E2D" w:rsidP="00441EEF">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(t)</w:t>
            </w:r>
          </w:p>
        </w:tc>
        <w:tc>
          <w:tcPr>
            <w:tcW w:w="572"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5DF7CDC" w14:textId="77777777" w:rsidR="008D0E2D" w:rsidRDefault="008D0E2D" w:rsidP="00441EEF">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w:t>
            </w: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9C5F4EB" w14:textId="77777777" w:rsidR="008D0E2D" w:rsidRDefault="008D0E2D" w:rsidP="00441EEF">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22/23</w:t>
            </w:r>
          </w:p>
        </w:tc>
        <w:tc>
          <w:tcPr>
            <w:tcW w:w="84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A518B8C" w14:textId="77777777" w:rsidR="008D0E2D" w:rsidRDefault="008D0E2D" w:rsidP="00441EEF">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23/24</w:t>
            </w:r>
          </w:p>
        </w:tc>
        <w:tc>
          <w:tcPr>
            <w:tcW w:w="845"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05637233" w14:textId="77777777" w:rsidR="008D0E2D" w:rsidRDefault="008D0E2D" w:rsidP="00441EEF">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24/25</w:t>
            </w: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320B710" w14:textId="77777777" w:rsidR="008D0E2D" w:rsidRDefault="008D0E2D" w:rsidP="00441EEF">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2003/04 – 2023/24</w:t>
            </w:r>
          </w:p>
        </w:tc>
        <w:tc>
          <w:tcPr>
            <w:tcW w:w="179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91BC4EB" w14:textId="77777777" w:rsidR="008D0E2D" w:rsidRDefault="008D0E2D" w:rsidP="00441EEF">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2009/10 – 2023/24</w:t>
            </w:r>
          </w:p>
        </w:tc>
        <w:tc>
          <w:tcPr>
            <w:tcW w:w="179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95E38A0" w14:textId="77777777" w:rsidR="008D0E2D" w:rsidRDefault="008D0E2D" w:rsidP="00441EEF">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2020/21 – 2023/24</w:t>
            </w:r>
          </w:p>
        </w:tc>
      </w:tr>
      <w:tr w:rsidR="008D0E2D" w14:paraId="485D86F4" w14:textId="77777777" w:rsidTr="00441EEF">
        <w:trPr>
          <w:cantSplit/>
          <w:trHeight w:val="123"/>
          <w:jc w:val="center"/>
        </w:trPr>
        <w:tc>
          <w:tcPr>
            <w:tcW w:w="703"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3D0644A4" w14:textId="686162C2" w:rsidR="008D0E2D" w:rsidRDefault="008D0E2D" w:rsidP="00441EEF">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23.1</w:t>
            </w:r>
          </w:p>
        </w:tc>
        <w:tc>
          <w:tcPr>
            <w:tcW w:w="572"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34842397" w14:textId="2EA96F5E" w:rsidR="008D0E2D" w:rsidRDefault="008D0E2D" w:rsidP="00441EEF">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10.4</w:t>
            </w:r>
          </w:p>
        </w:tc>
        <w:tc>
          <w:tcPr>
            <w:tcW w:w="724"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4C5633CB" w14:textId="77777777" w:rsidR="008D0E2D" w:rsidRDefault="008D0E2D" w:rsidP="00441EEF">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21.0</w:t>
            </w:r>
          </w:p>
        </w:tc>
        <w:tc>
          <w:tcPr>
            <w:tcW w:w="846" w:type="dxa"/>
            <w:tcBorders>
              <w:left w:val="single" w:sz="8" w:space="0" w:color="000000"/>
              <w:bottom w:val="single" w:sz="8" w:space="0" w:color="000000"/>
              <w:right w:val="single" w:sz="8" w:space="0" w:color="000000"/>
            </w:tcBorders>
            <w:shd w:val="clear" w:color="auto" w:fill="auto"/>
            <w:vAlign w:val="center"/>
          </w:tcPr>
          <w:p w14:paraId="220DC7B8" w14:textId="77777777" w:rsidR="008D0E2D" w:rsidRDefault="008D0E2D" w:rsidP="00441EEF">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21.0</w:t>
            </w:r>
          </w:p>
        </w:tc>
        <w:tc>
          <w:tcPr>
            <w:tcW w:w="845" w:type="dxa"/>
            <w:gridSpan w:val="2"/>
            <w:tcBorders>
              <w:left w:val="single" w:sz="8" w:space="0" w:color="000000"/>
              <w:bottom w:val="single" w:sz="8" w:space="0" w:color="000000"/>
              <w:right w:val="single" w:sz="8" w:space="0" w:color="000000"/>
            </w:tcBorders>
            <w:shd w:val="clear" w:color="auto" w:fill="auto"/>
            <w:vAlign w:val="center"/>
          </w:tcPr>
          <w:p w14:paraId="05B39093" w14:textId="77777777" w:rsidR="008D0E2D" w:rsidRDefault="008D0E2D" w:rsidP="00441EEF">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21.0</w:t>
            </w: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4BE09C1" w14:textId="74DDC0F3" w:rsidR="008D0E2D" w:rsidRPr="00192026" w:rsidRDefault="008D0E2D" w:rsidP="00441EEF">
            <w:pPr>
              <w:spacing w:before="100" w:after="100"/>
              <w:ind w:left="100" w:right="100"/>
              <w:jc w:val="center"/>
              <w:rPr>
                <w:rFonts w:ascii="Helvetica" w:eastAsia="Helvetica" w:hAnsi="Helvetica" w:cs="Helvetica"/>
                <w:color w:val="000000" w:themeColor="text1"/>
                <w:sz w:val="18"/>
                <w:szCs w:val="18"/>
              </w:rPr>
            </w:pPr>
            <w:r w:rsidRPr="00192026">
              <w:rPr>
                <w:rFonts w:ascii="Helvetica" w:eastAsia="Arial" w:hAnsi="Helvetica" w:cs="Helvetica"/>
                <w:color w:val="000000" w:themeColor="text1"/>
                <w:sz w:val="18"/>
                <w:szCs w:val="18"/>
              </w:rPr>
              <w:t>-</w:t>
            </w:r>
            <w:r w:rsidR="00192026">
              <w:rPr>
                <w:rFonts w:ascii="Helvetica" w:eastAsia="Arial" w:hAnsi="Helvetica" w:cs="Helvetica"/>
                <w:color w:val="000000" w:themeColor="text1"/>
                <w:sz w:val="18"/>
                <w:szCs w:val="18"/>
              </w:rPr>
              <w:t>27</w:t>
            </w:r>
          </w:p>
        </w:tc>
        <w:tc>
          <w:tcPr>
            <w:tcW w:w="179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9890D5A" w14:textId="0823BF9B" w:rsidR="008D0E2D" w:rsidRPr="00192026" w:rsidRDefault="008D0E2D" w:rsidP="00441EEF">
            <w:pPr>
              <w:spacing w:before="100" w:after="100"/>
              <w:ind w:left="100" w:right="100"/>
              <w:jc w:val="center"/>
              <w:rPr>
                <w:rFonts w:ascii="Helvetica" w:eastAsia="Helvetica" w:hAnsi="Helvetica" w:cs="Helvetica"/>
                <w:color w:val="000000" w:themeColor="text1"/>
                <w:sz w:val="18"/>
                <w:szCs w:val="18"/>
              </w:rPr>
            </w:pPr>
            <w:r w:rsidRPr="00192026">
              <w:rPr>
                <w:rFonts w:ascii="Helvetica" w:eastAsia="Arial" w:hAnsi="Helvetica" w:cs="Helvetica"/>
                <w:color w:val="000000" w:themeColor="text1"/>
                <w:sz w:val="18"/>
                <w:szCs w:val="18"/>
              </w:rPr>
              <w:t>-</w:t>
            </w:r>
            <w:r w:rsidR="00192026">
              <w:rPr>
                <w:rFonts w:ascii="Helvetica" w:eastAsia="Arial" w:hAnsi="Helvetica" w:cs="Helvetica"/>
                <w:color w:val="000000" w:themeColor="text1"/>
                <w:sz w:val="18"/>
                <w:szCs w:val="18"/>
              </w:rPr>
              <w:t>7</w:t>
            </w:r>
          </w:p>
        </w:tc>
        <w:tc>
          <w:tcPr>
            <w:tcW w:w="1791" w:type="dxa"/>
            <w:tcBorders>
              <w:top w:val="single" w:sz="8" w:space="0" w:color="000000"/>
              <w:left w:val="single" w:sz="8" w:space="0" w:color="000000"/>
              <w:bottom w:val="single" w:sz="8" w:space="0" w:color="000000"/>
              <w:right w:val="single" w:sz="8" w:space="0" w:color="000000"/>
            </w:tcBorders>
            <w:shd w:val="clear" w:color="auto" w:fill="FFFFFF"/>
          </w:tcPr>
          <w:p w14:paraId="39D2002D" w14:textId="333CCDDE" w:rsidR="008D0E2D" w:rsidRPr="00192026" w:rsidRDefault="00192026" w:rsidP="00441EEF">
            <w:pPr>
              <w:spacing w:before="100" w:after="100"/>
              <w:ind w:left="100" w:right="100"/>
              <w:jc w:val="center"/>
              <w:rPr>
                <w:rFonts w:ascii="Helvetica" w:eastAsia="Helvetica" w:hAnsi="Helvetica" w:cs="Helvetica"/>
                <w:color w:val="000000" w:themeColor="text1"/>
                <w:sz w:val="18"/>
                <w:szCs w:val="18"/>
              </w:rPr>
            </w:pPr>
            <w:r>
              <w:rPr>
                <w:rFonts w:ascii="Helvetica" w:eastAsia="Arial" w:hAnsi="Helvetica" w:cs="Helvetica"/>
                <w:color w:val="000000" w:themeColor="text1"/>
                <w:sz w:val="18"/>
                <w:szCs w:val="18"/>
              </w:rPr>
              <w:t>-1</w:t>
            </w:r>
          </w:p>
        </w:tc>
      </w:tr>
      <w:tr w:rsidR="008D0E2D" w14:paraId="17E6A5E7" w14:textId="77777777" w:rsidTr="00947B63">
        <w:trPr>
          <w:cantSplit/>
          <w:jc w:val="center"/>
        </w:trPr>
        <w:tc>
          <w:tcPr>
            <w:tcW w:w="3676" w:type="dxa"/>
            <w:gridSpan w:val="5"/>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470F18DB" w14:textId="77777777" w:rsidR="008D0E2D" w:rsidRDefault="008D0E2D" w:rsidP="00441EEF">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LML 2023/24 = 115 / 120 mm</w:t>
            </w:r>
          </w:p>
        </w:tc>
        <w:tc>
          <w:tcPr>
            <w:tcW w:w="5386" w:type="dxa"/>
            <w:gridSpan w:val="4"/>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293957B6" w14:textId="52A80C00" w:rsidR="008D0E2D" w:rsidRDefault="0001483C" w:rsidP="00441EEF">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Mean daily catch 2023/24 (nominal)</w:t>
            </w:r>
            <w:r w:rsidR="008D0E2D">
              <w:rPr>
                <w:rFonts w:ascii="Helvetica" w:eastAsia="Helvetica" w:hAnsi="Helvetica" w:cs="Helvetica"/>
                <w:color w:val="000000"/>
                <w:sz w:val="18"/>
                <w:szCs w:val="18"/>
              </w:rPr>
              <w:t xml:space="preserve"> = 4</w:t>
            </w:r>
            <w:r w:rsidR="00947B63">
              <w:rPr>
                <w:rFonts w:ascii="Helvetica" w:eastAsia="Helvetica" w:hAnsi="Helvetica" w:cs="Helvetica"/>
                <w:color w:val="000000"/>
                <w:sz w:val="18"/>
                <w:szCs w:val="18"/>
              </w:rPr>
              <w:t>76</w:t>
            </w:r>
            <w:r w:rsidR="008D0E2D">
              <w:rPr>
                <w:rFonts w:ascii="Helvetica" w:eastAsia="Helvetica" w:hAnsi="Helvetica" w:cs="Helvetica"/>
                <w:color w:val="000000"/>
                <w:sz w:val="18"/>
                <w:szCs w:val="18"/>
              </w:rPr>
              <w:t xml:space="preserve"> kg</w:t>
            </w:r>
          </w:p>
        </w:tc>
      </w:tr>
    </w:tbl>
    <w:p w14:paraId="06775F05" w14:textId="1AE97F60" w:rsidR="008D0E2D" w:rsidRDefault="008D0E2D" w:rsidP="008D0E2D">
      <w:r>
        <w:t xml:space="preserve">The Prom Westside has a catch average of 31 t since 1992 and a peak catch of 62 t in 2007 that likely reflected catch displacement following the virus first reaching the western end of the Central Zone (Figure 24). In all other years, catches have generally ranged from 20-40 t, except for the low catch (8 t) in 2019 that likely resulted from an increase in size limit to 120 mm across the SMU. The split size limit (115/120 mm) was re-instated in </w:t>
      </w:r>
      <w:proofErr w:type="gramStart"/>
      <w:r>
        <w:t>2020</w:t>
      </w:r>
      <w:proofErr w:type="gramEnd"/>
      <w:r>
        <w:t xml:space="preserve"> and catches have increased.</w:t>
      </w:r>
    </w:p>
    <w:p w14:paraId="2C84FCF6" w14:textId="55BD10F7" w:rsidR="008D0E2D" w:rsidRDefault="008D0E2D" w:rsidP="008D0E2D">
      <w:r>
        <w:t xml:space="preserve">Standardised CPUE </w:t>
      </w:r>
      <w:r w:rsidR="00AF21D9">
        <w:t xml:space="preserve">generally declined from 2003 to 2014, was stable until 2018 and has generally increased over the last </w:t>
      </w:r>
      <w:r w:rsidR="008E6717">
        <w:t>5</w:t>
      </w:r>
      <w:r w:rsidR="00AF21D9">
        <w:t xml:space="preserve"> years </w:t>
      </w:r>
      <w:r>
        <w:t xml:space="preserve">(Figure 24). </w:t>
      </w:r>
    </w:p>
    <w:p w14:paraId="04E94169" w14:textId="3382EEF0" w:rsidR="008D0E2D" w:rsidRDefault="00AF21D9" w:rsidP="008D0E2D">
      <w:pPr>
        <w:jc w:val="center"/>
      </w:pPr>
      <w:r>
        <w:rPr>
          <w:noProof/>
        </w:rPr>
        <w:lastRenderedPageBreak/>
        <w:drawing>
          <wp:inline distT="0" distB="0" distL="0" distR="0" wp14:anchorId="4115489A" wp14:editId="688F067F">
            <wp:extent cx="5727700" cy="3579495"/>
            <wp:effectExtent l="0" t="0" r="0" b="0"/>
            <wp:docPr id="158" name="Picture" descr="Figure 29: Prom Westside SMU catch, and CPUE (nominal and standardised) from 1992/93 – 2022/23. Catch = bars, nominal CPUE = grey series (+/- SE), standardised series = black series. Numbers in bars indicate changes to LMLs. MPs = introduction of Marine Parks."/>
            <wp:cNvGraphicFramePr/>
            <a:graphic xmlns:a="http://schemas.openxmlformats.org/drawingml/2006/main">
              <a:graphicData uri="http://schemas.openxmlformats.org/drawingml/2006/picture">
                <pic:pic xmlns:pic="http://schemas.openxmlformats.org/drawingml/2006/picture">
                  <pic:nvPicPr>
                    <pic:cNvPr id="158" name="Picture" descr="Figure 29: Prom Westside SMU catch, and CPUE (nominal and standardised) from 1992/93 – 2022/23. Catch = bars, nominal CPUE = grey series (+/- SE), standardised series = black series. Numbers in bars indicate changes to LMLs. MPs = introduction of Marine Parks."/>
                    <pic:cNvPicPr/>
                  </pic:nvPicPr>
                  <pic:blipFill>
                    <a:blip r:embed="rId46"/>
                    <a:stretch>
                      <a:fillRect/>
                    </a:stretch>
                  </pic:blipFill>
                  <pic:spPr bwMode="auto">
                    <a:xfrm>
                      <a:off x="0" y="0"/>
                      <a:ext cx="5727700" cy="3579495"/>
                    </a:xfrm>
                    <a:prstGeom prst="rect">
                      <a:avLst/>
                    </a:prstGeom>
                    <a:noFill/>
                    <a:ln w="9525">
                      <a:noFill/>
                      <a:headEnd/>
                      <a:tailEnd/>
                    </a:ln>
                  </pic:spPr>
                </pic:pic>
              </a:graphicData>
            </a:graphic>
          </wp:inline>
        </w:drawing>
      </w:r>
    </w:p>
    <w:p w14:paraId="037F1D09" w14:textId="4B2B19D0" w:rsidR="008D0E2D" w:rsidRDefault="008D0E2D" w:rsidP="008D0E2D">
      <w:pPr>
        <w:pStyle w:val="Caption"/>
      </w:pPr>
      <w:bookmarkStart w:id="241" w:name="_Toc192777289"/>
      <w:r>
        <w:t xml:space="preserve">Figure 24: Prom Westside SMU catch, and CPUE (nominal and standardised) from 1992/1993 – </w:t>
      </w:r>
      <w:r w:rsidR="00D2115A">
        <w:t xml:space="preserve">2023/24. </w:t>
      </w:r>
      <w:r w:rsidR="00495804" w:rsidRPr="00495804">
        <w:t>Nominal annual = grey series (+/- SE), standardised annual = solid black, standardised quarterly = dashed black</w:t>
      </w:r>
      <w:r>
        <w:t>. Numbers indicate changes to LMLs. MPs = introduction of Marine Parks.</w:t>
      </w:r>
      <w:bookmarkEnd w:id="241"/>
    </w:p>
    <w:p w14:paraId="3E89851D" w14:textId="0C5CF250" w:rsidR="008D0E2D" w:rsidRDefault="009B5E24" w:rsidP="008D0E2D">
      <w:r>
        <w:t>Standardised m</w:t>
      </w:r>
      <w:r w:rsidR="008D0E2D">
        <w:t xml:space="preserve">ean daily catch </w:t>
      </w:r>
      <w:r>
        <w:t xml:space="preserve">slowly declined from 2003 to 2014, was stable until around 2019 and has increased thereafter </w:t>
      </w:r>
      <w:r w:rsidR="008D0E2D">
        <w:t xml:space="preserve">(Figure 25). </w:t>
      </w:r>
      <w:r>
        <w:t>Nominal mean daily catch was 476 kg/day in 2023/24.</w:t>
      </w:r>
    </w:p>
    <w:p w14:paraId="3CC46EC5" w14:textId="54D2325F" w:rsidR="008D0E2D" w:rsidRDefault="00AF21D9" w:rsidP="008D0E2D">
      <w:pPr>
        <w:jc w:val="center"/>
      </w:pPr>
      <w:r>
        <w:rPr>
          <w:noProof/>
        </w:rPr>
        <w:drawing>
          <wp:inline distT="0" distB="0" distL="0" distR="0" wp14:anchorId="1EE33B42" wp14:editId="0D9BE51C">
            <wp:extent cx="5494020" cy="3312795"/>
            <wp:effectExtent l="0" t="0" r="0" b="1905"/>
            <wp:docPr id="155" name="Picture" descr="A graph with lines and dots&#10;&#10;Description automatically generated"/>
            <wp:cNvGraphicFramePr/>
            <a:graphic xmlns:a="http://schemas.openxmlformats.org/drawingml/2006/main">
              <a:graphicData uri="http://schemas.openxmlformats.org/drawingml/2006/picture">
                <pic:pic xmlns:pic="http://schemas.openxmlformats.org/drawingml/2006/picture">
                  <pic:nvPicPr>
                    <pic:cNvPr id="155" name="Picture" descr="A graph with lines and dots&#10;&#10;Description automatically generated"/>
                    <pic:cNvPicPr/>
                  </pic:nvPicPr>
                  <pic:blipFill>
                    <a:blip r:embed="rId47"/>
                    <a:stretch>
                      <a:fillRect/>
                    </a:stretch>
                  </pic:blipFill>
                  <pic:spPr bwMode="auto">
                    <a:xfrm>
                      <a:off x="0" y="0"/>
                      <a:ext cx="5494020" cy="3312795"/>
                    </a:xfrm>
                    <a:prstGeom prst="rect">
                      <a:avLst/>
                    </a:prstGeom>
                    <a:noFill/>
                    <a:ln w="9525">
                      <a:noFill/>
                      <a:headEnd/>
                      <a:tailEnd/>
                    </a:ln>
                  </pic:spPr>
                </pic:pic>
              </a:graphicData>
            </a:graphic>
          </wp:inline>
        </w:drawing>
      </w:r>
    </w:p>
    <w:p w14:paraId="56DA4F1C" w14:textId="43D13A16" w:rsidR="008D0E2D" w:rsidRDefault="008D0E2D" w:rsidP="008D0E2D">
      <w:pPr>
        <w:pStyle w:val="Caption"/>
      </w:pPr>
      <w:bookmarkStart w:id="242" w:name="_Toc192777290"/>
      <w:r>
        <w:t>Figure 25: Total catch and mean daily catch for the Prom Westside SMU from 2003 to 2023</w:t>
      </w:r>
      <w:r w:rsidR="00495804">
        <w:t xml:space="preserve">. </w:t>
      </w:r>
      <w:r w:rsidR="00495804" w:rsidRPr="00495804">
        <w:t>Nominal annual = grey series (+/- SE), standardised annual = solid black, standardised quarterly = dashed black</w:t>
      </w:r>
      <w:r>
        <w:t>.</w:t>
      </w:r>
      <w:bookmarkEnd w:id="242"/>
      <w:r>
        <w:t xml:space="preserve"> </w:t>
      </w:r>
    </w:p>
    <w:p w14:paraId="565D0A95" w14:textId="77777777" w:rsidR="00AC6D9A" w:rsidRDefault="00AC6D9A">
      <w:pPr>
        <w:spacing w:before="0" w:after="0"/>
        <w:rPr>
          <w:i/>
          <w:sz w:val="18"/>
        </w:rPr>
      </w:pPr>
      <w:r>
        <w:br w:type="page"/>
      </w:r>
    </w:p>
    <w:p w14:paraId="1019D352" w14:textId="39720A29" w:rsidR="008D0E2D" w:rsidRDefault="008D0E2D" w:rsidP="008D0E2D">
      <w:pPr>
        <w:pStyle w:val="TableCaption"/>
      </w:pPr>
      <w:bookmarkStart w:id="243" w:name="_Toc192762285"/>
      <w:r>
        <w:lastRenderedPageBreak/>
        <w:t xml:space="preserve">Table 17: Catches (kg) by </w:t>
      </w:r>
      <w:proofErr w:type="spellStart"/>
      <w:r>
        <w:t>reefcode</w:t>
      </w:r>
      <w:proofErr w:type="spellEnd"/>
      <w:r>
        <w:t xml:space="preserve"> for the Prom Westside SMU from 2018/19 to 2023/24 and the </w:t>
      </w:r>
      <w:r w:rsidR="008E6717">
        <w:t>5</w:t>
      </w:r>
      <w:r>
        <w:t>-year average catch from 2018/19 to 2022/23.</w:t>
      </w:r>
      <w:bookmarkEnd w:id="243"/>
    </w:p>
    <w:p w14:paraId="49CCA4B7" w14:textId="77777777" w:rsidR="008D0E2D" w:rsidRDefault="008D0E2D" w:rsidP="008D0E2D">
      <w:pPr>
        <w:jc w:val="center"/>
      </w:pPr>
      <w:r w:rsidRPr="00BE07ED">
        <w:rPr>
          <w:noProof/>
        </w:rPr>
        <w:drawing>
          <wp:inline distT="0" distB="0" distL="0" distR="0" wp14:anchorId="728705BF" wp14:editId="40F45C95">
            <wp:extent cx="4015740" cy="1910715"/>
            <wp:effectExtent l="0" t="0" r="3810" b="0"/>
            <wp:docPr id="849908815" name="Picture 1" descr="A table with numbe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08815" name="Picture 1" descr="A table with numbers on it&#10;&#10;Description automatically generated"/>
                    <pic:cNvPicPr/>
                  </pic:nvPicPr>
                  <pic:blipFill>
                    <a:blip r:embed="rId48"/>
                    <a:stretch>
                      <a:fillRect/>
                    </a:stretch>
                  </pic:blipFill>
                  <pic:spPr>
                    <a:xfrm>
                      <a:off x="0" y="0"/>
                      <a:ext cx="4069287" cy="1936193"/>
                    </a:xfrm>
                    <a:prstGeom prst="rect">
                      <a:avLst/>
                    </a:prstGeom>
                  </pic:spPr>
                </pic:pic>
              </a:graphicData>
            </a:graphic>
          </wp:inline>
        </w:drawing>
      </w:r>
    </w:p>
    <w:p w14:paraId="4AD7D599" w14:textId="02F471E4" w:rsidR="008D0E2D" w:rsidRDefault="008D0E2D" w:rsidP="008D0E2D">
      <w:r>
        <w:t xml:space="preserve">The Prom Westside SMU comprises ten </w:t>
      </w:r>
      <w:proofErr w:type="spellStart"/>
      <w:r>
        <w:t>reefcodes</w:t>
      </w:r>
      <w:proofErr w:type="spellEnd"/>
      <w:r>
        <w:t xml:space="preserve">, with two </w:t>
      </w:r>
      <w:proofErr w:type="spellStart"/>
      <w:r>
        <w:t>reefcodes</w:t>
      </w:r>
      <w:proofErr w:type="spellEnd"/>
      <w:r>
        <w:t xml:space="preserve"> (17.02, 17.10) producing more than half of the SMU catch (Table 17). In 202</w:t>
      </w:r>
      <w:r w:rsidR="00153F64">
        <w:t>3</w:t>
      </w:r>
      <w:r>
        <w:t>/2</w:t>
      </w:r>
      <w:r w:rsidR="00153F64">
        <w:t>4</w:t>
      </w:r>
      <w:r>
        <w:t xml:space="preserve"> most </w:t>
      </w:r>
      <w:proofErr w:type="spellStart"/>
      <w:r>
        <w:t>reefcode</w:t>
      </w:r>
      <w:proofErr w:type="spellEnd"/>
      <w:r>
        <w:t xml:space="preserve"> catches were </w:t>
      </w:r>
      <w:r w:rsidR="00153F64">
        <w:t xml:space="preserve">close to </w:t>
      </w:r>
      <w:r w:rsidR="00AC6D9A">
        <w:t>the</w:t>
      </w:r>
      <w:r w:rsidR="00153F64">
        <w:t xml:space="preserve"> previous </w:t>
      </w:r>
      <w:proofErr w:type="gramStart"/>
      <w:r w:rsidR="008E6717">
        <w:t>5</w:t>
      </w:r>
      <w:r w:rsidR="00153F64">
        <w:t xml:space="preserve"> year</w:t>
      </w:r>
      <w:proofErr w:type="gramEnd"/>
      <w:r w:rsidR="00153F64">
        <w:t xml:space="preserve"> average</w:t>
      </w:r>
      <w:r>
        <w:t xml:space="preserve">. </w:t>
      </w:r>
    </w:p>
    <w:p w14:paraId="552A359C" w14:textId="77777777" w:rsidR="008D0E2D" w:rsidRDefault="008D0E2D" w:rsidP="008D0E2D">
      <w:r>
        <w:rPr>
          <w:i/>
          <w:iCs/>
        </w:rPr>
        <w:t>FIS recruit abundance (Two Top 15 sites)</w:t>
      </w:r>
    </w:p>
    <w:p w14:paraId="4F577225" w14:textId="50DEC40F" w:rsidR="008D0E2D" w:rsidRDefault="008D0E2D" w:rsidP="008D0E2D">
      <w:r>
        <w:t xml:space="preserve">Trends between all sites and Top 15 sites were similar for recruit abundance (Figure 26). Abundance generally declined from 2003 to 2009 and increased </w:t>
      </w:r>
      <w:proofErr w:type="gramStart"/>
      <w:r>
        <w:t>thereafter,</w:t>
      </w:r>
      <w:proofErr w:type="gramEnd"/>
      <w:r>
        <w:t xml:space="preserve"> however it was low in a historical context in 2023. </w:t>
      </w:r>
    </w:p>
    <w:p w14:paraId="68C2D26D" w14:textId="77777777" w:rsidR="008D0E2D" w:rsidRDefault="008D0E2D" w:rsidP="008D0E2D">
      <w:pPr>
        <w:rPr>
          <w:i/>
          <w:iCs/>
        </w:rPr>
      </w:pPr>
      <w:r>
        <w:rPr>
          <w:i/>
          <w:iCs/>
        </w:rPr>
        <w:t>FIS recruit abundance (Two Top 15 sites)</w:t>
      </w:r>
    </w:p>
    <w:p w14:paraId="150F8966" w14:textId="5D5C1215" w:rsidR="008D0E2D" w:rsidRDefault="008D0E2D" w:rsidP="008D0E2D">
      <w:r>
        <w:t xml:space="preserve">Pre-recruit abundance has been relatively stable over time but was also low in a historical context in 2023 (Figure 27). </w:t>
      </w:r>
    </w:p>
    <w:p w14:paraId="1016D3D1" w14:textId="55BF5445" w:rsidR="008D0E2D" w:rsidRDefault="00AF21D9" w:rsidP="008D0E2D">
      <w:r>
        <w:rPr>
          <w:noProof/>
        </w:rPr>
        <w:drawing>
          <wp:inline distT="0" distB="0" distL="0" distR="0" wp14:anchorId="2810B6A1" wp14:editId="06BC837A">
            <wp:extent cx="5727700" cy="3579495"/>
            <wp:effectExtent l="0" t="0" r="0" b="0"/>
            <wp:docPr id="1783008737" name="Picture" descr="A graph with lines and dots&#10;&#10;Description automatically generated"/>
            <wp:cNvGraphicFramePr/>
            <a:graphic xmlns:a="http://schemas.openxmlformats.org/drawingml/2006/main">
              <a:graphicData uri="http://schemas.openxmlformats.org/drawingml/2006/picture">
                <pic:pic xmlns:pic="http://schemas.openxmlformats.org/drawingml/2006/picture">
                  <pic:nvPicPr>
                    <pic:cNvPr id="1783008737" name="Picture" descr="A graph with lines and dots&#10;&#10;Description automatically generated"/>
                    <pic:cNvPicPr/>
                  </pic:nvPicPr>
                  <pic:blipFill>
                    <a:blip r:embed="rId47"/>
                    <a:stretch>
                      <a:fillRect/>
                    </a:stretch>
                  </pic:blipFill>
                  <pic:spPr bwMode="auto">
                    <a:xfrm>
                      <a:off x="0" y="0"/>
                      <a:ext cx="5727700" cy="3579495"/>
                    </a:xfrm>
                    <a:prstGeom prst="rect">
                      <a:avLst/>
                    </a:prstGeom>
                    <a:noFill/>
                    <a:ln w="9525">
                      <a:noFill/>
                      <a:headEnd/>
                      <a:tailEnd/>
                    </a:ln>
                  </pic:spPr>
                </pic:pic>
              </a:graphicData>
            </a:graphic>
          </wp:inline>
        </w:drawing>
      </w:r>
    </w:p>
    <w:p w14:paraId="56C8B086" w14:textId="2502C73F" w:rsidR="008D0E2D" w:rsidRDefault="008D0E2D" w:rsidP="008D0E2D">
      <w:pPr>
        <w:pStyle w:val="Caption"/>
      </w:pPr>
      <w:bookmarkStart w:id="244" w:name="_Toc192777291"/>
      <w:r>
        <w:t>Figure 26: Recruit abundance (grey dashed, nominal all sites 1992 – 2021; black, Top 15 standardised (solid) 2003 – 2023) including catch from 1992/1993 – 2022/23 for the Prom Westside SMU. MPs = introduction of Marine Parks; numbers reflect size limit changes.</w:t>
      </w:r>
      <w:bookmarkEnd w:id="244"/>
    </w:p>
    <w:p w14:paraId="6C28D5F9" w14:textId="1E1EDA00" w:rsidR="008D0E2D" w:rsidRDefault="00AF21D9" w:rsidP="008D0E2D">
      <w:r>
        <w:rPr>
          <w:noProof/>
        </w:rPr>
        <w:lastRenderedPageBreak/>
        <w:drawing>
          <wp:inline distT="0" distB="0" distL="0" distR="0" wp14:anchorId="209DEF38" wp14:editId="65EEFA2E">
            <wp:extent cx="5727700" cy="3579495"/>
            <wp:effectExtent l="0" t="0" r="0" b="0"/>
            <wp:docPr id="164" name="Picture" descr="Figure 31: Pre-recruit abundance and catch from 1992/93 – 2022/23 for the Prom Westside SMU. Grey dashed series = nominal abundance across all FIS sites (+/-SE). Black series = nominal (dotted line, open data point in 2023; +/-SE) and standardised (solid line, solid data point in 2023) abundance at the two Top 15 sites located within the Prom Westside SMU."/>
            <wp:cNvGraphicFramePr/>
            <a:graphic xmlns:a="http://schemas.openxmlformats.org/drawingml/2006/main">
              <a:graphicData uri="http://schemas.openxmlformats.org/drawingml/2006/picture">
                <pic:pic xmlns:pic="http://schemas.openxmlformats.org/drawingml/2006/picture">
                  <pic:nvPicPr>
                    <pic:cNvPr id="164" name="Picture" descr="Figure 31: Pre-recruit abundance and catch from 1992/93 – 2022/23 for the Prom Westside SMU. Grey dashed series = nominal abundance across all FIS sites (+/-SE). Black series = nominal (dotted line, open data point in 2023; +/-SE) and standardised (solid line, solid data point in 2023) abundance at the two Top 15 sites located within the Prom Westside SMU."/>
                    <pic:cNvPicPr/>
                  </pic:nvPicPr>
                  <pic:blipFill>
                    <a:blip r:embed="rId49"/>
                    <a:stretch>
                      <a:fillRect/>
                    </a:stretch>
                  </pic:blipFill>
                  <pic:spPr bwMode="auto">
                    <a:xfrm>
                      <a:off x="0" y="0"/>
                      <a:ext cx="5727700" cy="3579495"/>
                    </a:xfrm>
                    <a:prstGeom prst="rect">
                      <a:avLst/>
                    </a:prstGeom>
                    <a:noFill/>
                    <a:ln w="9525">
                      <a:noFill/>
                      <a:headEnd/>
                      <a:tailEnd/>
                    </a:ln>
                  </pic:spPr>
                </pic:pic>
              </a:graphicData>
            </a:graphic>
          </wp:inline>
        </w:drawing>
      </w:r>
    </w:p>
    <w:p w14:paraId="75A5B4BA" w14:textId="62D78003" w:rsidR="008D0E2D" w:rsidRDefault="008D0E2D" w:rsidP="008D0E2D">
      <w:pPr>
        <w:pStyle w:val="Caption"/>
      </w:pPr>
      <w:bookmarkStart w:id="245" w:name="_Toc192777292"/>
      <w:r>
        <w:t>Figure 27: Pre-recruit abundance (grey dashed, nominal all sites 1992 – 2021; black, Top 15 standardised (solid) 2003 – 2023) including catch from 1992/1993 – 2022/23 for the Prom Westside SMU. MPs = introduction of Marine Parks; numbers reflect size limit changes.</w:t>
      </w:r>
      <w:bookmarkEnd w:id="245"/>
    </w:p>
    <w:p w14:paraId="71134CC3" w14:textId="77777777" w:rsidR="008D0E2D" w:rsidRDefault="008D0E2D" w:rsidP="008D0E2D"/>
    <w:p w14:paraId="0C74C529" w14:textId="2F026AFE" w:rsidR="008D0E2D" w:rsidRDefault="008D0E2D" w:rsidP="008D0E2D">
      <w:pPr>
        <w:rPr>
          <w:i/>
          <w:iCs/>
        </w:rPr>
      </w:pPr>
      <w:r>
        <w:rPr>
          <w:i/>
          <w:iCs/>
        </w:rPr>
        <w:t>Length frequency data – FIS</w:t>
      </w:r>
    </w:p>
    <w:p w14:paraId="76BC7428" w14:textId="586B3942" w:rsidR="008D0E2D" w:rsidRDefault="008D0E2D" w:rsidP="008D0E2D">
      <w:r>
        <w:t xml:space="preserve">The size structure at Prom Westside FIS sites has been relatively stable over time, with few trends evident (Appendix </w:t>
      </w:r>
      <w:r w:rsidR="00DE1163">
        <w:t>1</w:t>
      </w:r>
      <w:r>
        <w:t xml:space="preserve">). </w:t>
      </w:r>
    </w:p>
    <w:p w14:paraId="36C12090" w14:textId="77777777" w:rsidR="008D0E2D" w:rsidRDefault="008D0E2D" w:rsidP="008D0E2D">
      <w:pPr>
        <w:rPr>
          <w:i/>
          <w:iCs/>
        </w:rPr>
      </w:pPr>
      <w:r>
        <w:rPr>
          <w:i/>
          <w:iCs/>
        </w:rPr>
        <w:t>Length frequency data – commercial</w:t>
      </w:r>
    </w:p>
    <w:p w14:paraId="7070BA32" w14:textId="19BA02B3" w:rsidR="00DE1163" w:rsidRDefault="00EC5BF2" w:rsidP="008D0E2D">
      <w:r>
        <w:t>While t</w:t>
      </w:r>
      <w:r w:rsidR="008D0E2D">
        <w:t xml:space="preserve">he standardised average length of abalone in the commercial catch at Prom Westside has </w:t>
      </w:r>
      <w:r>
        <w:t xml:space="preserve">shown some variability, the average size has increased from 124 mm in 2016/17 to 127 mm in 2023/24 </w:t>
      </w:r>
      <w:r w:rsidR="008D0E2D">
        <w:t xml:space="preserve">(Appendix </w:t>
      </w:r>
      <w:r>
        <w:t>3</w:t>
      </w:r>
      <w:r w:rsidR="008D0E2D">
        <w:t xml:space="preserve">). Average size across the SMU is confounded by multiple size limits (115 and 120 mm), with an increase in size observed for </w:t>
      </w:r>
      <w:r>
        <w:t xml:space="preserve">2019/20 </w:t>
      </w:r>
      <w:r w:rsidR="008D0E2D">
        <w:t xml:space="preserve">when the LML was temporarily increased to 120 mm across the SMU. </w:t>
      </w:r>
      <w:r>
        <w:t>The r</w:t>
      </w:r>
      <w:r w:rsidR="008D0E2D">
        <w:t xml:space="preserve">aw data </w:t>
      </w:r>
      <w:r>
        <w:t>at Prom West are variable over time and do not show the same increasing trends</w:t>
      </w:r>
      <w:r w:rsidR="008D0E2D">
        <w:t>.</w:t>
      </w:r>
      <w:r>
        <w:t xml:space="preserve">  The increase in average length has led to a &gt;5% increase in average weight and a reduction in the number of abalone harvested for a given TACC.</w:t>
      </w:r>
    </w:p>
    <w:p w14:paraId="026D5F66" w14:textId="77777777" w:rsidR="008D0E2D" w:rsidRDefault="008D0E2D" w:rsidP="008D0E2D">
      <w:r>
        <w:rPr>
          <w:i/>
          <w:iCs/>
        </w:rPr>
        <w:t>Summary</w:t>
      </w:r>
    </w:p>
    <w:p w14:paraId="38F1872D" w14:textId="2ED3EC67" w:rsidR="008D0E2D" w:rsidRDefault="008D0E2D" w:rsidP="008D0E2D">
      <w:r>
        <w:t>A peak catch of 62 t was harvested from the Prom Westside SMU in 2007, likely the result of catch displacement following the virus first reaching the western end of the Central Zone. In all other years, catches generally ranged from 20-40 t per quota year between 1995 and 2018 until 2019 when the 8.1 t caught was the lowest recorded</w:t>
      </w:r>
      <w:bookmarkStart w:id="246" w:name="_Hlk64451323"/>
      <w:r>
        <w:t xml:space="preserve">, likely influenced by the increase in LML. Catches have subsequently returned to prior levels. </w:t>
      </w:r>
      <w:bookmarkEnd w:id="246"/>
      <w:r>
        <w:t>Standardised CPUE declined from 2003 to 201</w:t>
      </w:r>
      <w:r w:rsidR="00AC6D9A">
        <w:t>4</w:t>
      </w:r>
      <w:r>
        <w:t xml:space="preserve"> but has increased in the last </w:t>
      </w:r>
      <w:r w:rsidR="008E6717">
        <w:t>5</w:t>
      </w:r>
      <w:r>
        <w:t xml:space="preserve"> years. </w:t>
      </w:r>
      <w:r w:rsidR="00AC6D9A">
        <w:t>Standardised m</w:t>
      </w:r>
      <w:r>
        <w:t xml:space="preserve">ean daily catch has </w:t>
      </w:r>
      <w:r w:rsidR="00AC6D9A">
        <w:t xml:space="preserve">slowly </w:t>
      </w:r>
      <w:r>
        <w:t xml:space="preserve">increased </w:t>
      </w:r>
      <w:r w:rsidR="00AC6D9A">
        <w:t xml:space="preserve">over the last </w:t>
      </w:r>
      <w:r w:rsidR="00AC25C3">
        <w:t>6</w:t>
      </w:r>
      <w:r w:rsidR="00AC6D9A">
        <w:t xml:space="preserve"> years</w:t>
      </w:r>
      <w:r>
        <w:t xml:space="preserve">. </w:t>
      </w:r>
      <w:r w:rsidR="00AC6D9A">
        <w:t xml:space="preserve">During 2023/24, the distribution of catches was very close to their previous </w:t>
      </w:r>
      <w:r w:rsidR="008E6717">
        <w:t>5</w:t>
      </w:r>
      <w:r w:rsidR="00AC6D9A">
        <w:t xml:space="preserve">-year averages at all </w:t>
      </w:r>
      <w:proofErr w:type="spellStart"/>
      <w:r w:rsidR="00AC6D9A">
        <w:t>reefcodes</w:t>
      </w:r>
      <w:proofErr w:type="spellEnd"/>
      <w:r w:rsidR="00AC6D9A">
        <w:t xml:space="preserve">. </w:t>
      </w:r>
    </w:p>
    <w:p w14:paraId="24DB88E4" w14:textId="77777777" w:rsidR="008D0E2D" w:rsidRDefault="008D0E2D" w:rsidP="008D0E2D">
      <w:r>
        <w:t xml:space="preserve">The abundance of recruit and pre-recruit sized abalone at the two Top 15 FIS sites had shown increasing trends since around 2010, however both measures declined substantially in 2023. </w:t>
      </w:r>
    </w:p>
    <w:p w14:paraId="151F5E82" w14:textId="26BCAD4E" w:rsidR="008D0E2D" w:rsidRDefault="008D0E2D" w:rsidP="008D0E2D">
      <w:r>
        <w:lastRenderedPageBreak/>
        <w:t xml:space="preserve">The standardised average length of the commercial catch has </w:t>
      </w:r>
      <w:r w:rsidR="00AC6D9A">
        <w:t>increased from around 124 mm in 2016/17 to 127 mm in 2023/24</w:t>
      </w:r>
      <w:r>
        <w:t>.</w:t>
      </w:r>
    </w:p>
    <w:p w14:paraId="6F79663C" w14:textId="549AF001" w:rsidR="008D0E2D" w:rsidRDefault="008D0E2D" w:rsidP="008D0E2D">
      <w:r>
        <w:t>The total catch in the Prom Westside SMU of 2</w:t>
      </w:r>
      <w:r w:rsidR="00AC6D9A">
        <w:t>3.1</w:t>
      </w:r>
      <w:r>
        <w:t xml:space="preserve"> t was </w:t>
      </w:r>
      <w:r w:rsidR="00AC6D9A">
        <w:t>2.1</w:t>
      </w:r>
      <w:r>
        <w:t xml:space="preserve"> t above the OT (21.0 t). Mean CPUE (</w:t>
      </w:r>
      <w:r w:rsidR="00AC6D9A">
        <w:t>66.3</w:t>
      </w:r>
      <w:r>
        <w:t xml:space="preserve"> kg/h) was above the Threshold (</w:t>
      </w:r>
      <w:r w:rsidR="00AC6D9A">
        <w:t>6</w:t>
      </w:r>
      <w:r>
        <w:t xml:space="preserve">0 kg/h) Reference Point. The Primary </w:t>
      </w:r>
      <w:r w:rsidR="00AC6D9A">
        <w:t xml:space="preserve">and Secondary </w:t>
      </w:r>
      <w:r>
        <w:t>Categor</w:t>
      </w:r>
      <w:r w:rsidR="00AC6D9A">
        <w:t>ies</w:t>
      </w:r>
      <w:r>
        <w:t xml:space="preserve"> w</w:t>
      </w:r>
      <w:r w:rsidR="00AC6D9A">
        <w:t>ere</w:t>
      </w:r>
      <w:r>
        <w:t xml:space="preserve"> </w:t>
      </w:r>
      <w:r w:rsidR="00AC6D9A">
        <w:t>Stable</w:t>
      </w:r>
      <w:r>
        <w:t>, resulting in a</w:t>
      </w:r>
      <w:r w:rsidR="00AC6D9A">
        <w:t xml:space="preserve"> Stable </w:t>
      </w:r>
      <w:r>
        <w:t>Final Category. The OT in 202</w:t>
      </w:r>
      <w:r w:rsidR="00AC6D9A">
        <w:t>4</w:t>
      </w:r>
      <w:r>
        <w:t>/2</w:t>
      </w:r>
      <w:r w:rsidR="00AC6D9A">
        <w:t>5</w:t>
      </w:r>
      <w:r>
        <w:t xml:space="preserve"> was maintained at 21.0 t, suggesting an OT between 2</w:t>
      </w:r>
      <w:r w:rsidR="00AC6D9A">
        <w:t>0</w:t>
      </w:r>
      <w:r>
        <w:t>.0 and 2</w:t>
      </w:r>
      <w:r w:rsidR="00AC6D9A">
        <w:t>2.1</w:t>
      </w:r>
      <w:r>
        <w:t xml:space="preserve"> t. </w:t>
      </w:r>
    </w:p>
    <w:p w14:paraId="7A550039" w14:textId="5B78B8E3" w:rsidR="000C05D9" w:rsidRDefault="008D0E2D" w:rsidP="008D0E2D">
      <w:pPr>
        <w:rPr>
          <w:b/>
          <w:bCs/>
        </w:rPr>
      </w:pPr>
      <w:r>
        <w:rPr>
          <w:b/>
          <w:bCs/>
        </w:rPr>
        <w:t xml:space="preserve">Acknowledging that there was a low catch in 2019, the </w:t>
      </w:r>
      <w:r w:rsidR="00AC6D9A">
        <w:rPr>
          <w:b/>
          <w:bCs/>
        </w:rPr>
        <w:t xml:space="preserve">four </w:t>
      </w:r>
      <w:r>
        <w:rPr>
          <w:b/>
          <w:bCs/>
        </w:rPr>
        <w:t xml:space="preserve">subsequent years catches have </w:t>
      </w:r>
      <w:r w:rsidR="00AC6D9A">
        <w:rPr>
          <w:b/>
          <w:bCs/>
        </w:rPr>
        <w:t xml:space="preserve">all been </w:t>
      </w:r>
      <w:r>
        <w:rPr>
          <w:b/>
          <w:bCs/>
        </w:rPr>
        <w:t xml:space="preserve">above the OT. </w:t>
      </w:r>
      <w:r w:rsidR="000C05D9">
        <w:rPr>
          <w:b/>
          <w:bCs/>
        </w:rPr>
        <w:t xml:space="preserve">Nevertheless, </w:t>
      </w:r>
      <w:r>
        <w:rPr>
          <w:b/>
          <w:bCs/>
        </w:rPr>
        <w:t xml:space="preserve">CPUE </w:t>
      </w:r>
      <w:r w:rsidR="000C05D9">
        <w:rPr>
          <w:b/>
          <w:bCs/>
        </w:rPr>
        <w:t xml:space="preserve">and mean daily catch </w:t>
      </w:r>
      <w:r>
        <w:rPr>
          <w:b/>
          <w:bCs/>
        </w:rPr>
        <w:t xml:space="preserve">indicators </w:t>
      </w:r>
      <w:r w:rsidR="000C05D9">
        <w:rPr>
          <w:b/>
          <w:bCs/>
        </w:rPr>
        <w:t xml:space="preserve">remain </w:t>
      </w:r>
      <w:r>
        <w:rPr>
          <w:b/>
          <w:bCs/>
        </w:rPr>
        <w:t xml:space="preserve">positive, </w:t>
      </w:r>
      <w:r w:rsidR="000C05D9">
        <w:rPr>
          <w:b/>
          <w:bCs/>
        </w:rPr>
        <w:t xml:space="preserve">and the distribution of catches was stable across all SMUs. Whilst </w:t>
      </w:r>
      <w:r>
        <w:rPr>
          <w:b/>
          <w:bCs/>
        </w:rPr>
        <w:t>recruit and pre-recruit abundance at Top 15 FIS sites declined substantially in 2023</w:t>
      </w:r>
      <w:r w:rsidR="000C05D9">
        <w:rPr>
          <w:b/>
          <w:bCs/>
        </w:rPr>
        <w:t>, this was from limited sites and no FIS was done in 2024</w:t>
      </w:r>
      <w:r>
        <w:rPr>
          <w:b/>
          <w:bCs/>
        </w:rPr>
        <w:t xml:space="preserve">. Given catches at the Prom Westside SMU have been historically variable, stabilising catches at the </w:t>
      </w:r>
      <w:r w:rsidR="000C05D9">
        <w:rPr>
          <w:b/>
          <w:bCs/>
        </w:rPr>
        <w:t xml:space="preserve">current </w:t>
      </w:r>
      <w:r>
        <w:rPr>
          <w:b/>
          <w:bCs/>
        </w:rPr>
        <w:t xml:space="preserve">OT may improve the stock indicators as it has for other important SMUs. On this basis, maintaining </w:t>
      </w:r>
      <w:r w:rsidR="000C05D9">
        <w:rPr>
          <w:b/>
          <w:bCs/>
        </w:rPr>
        <w:t xml:space="preserve">the </w:t>
      </w:r>
      <w:r w:rsidR="00BF48B3">
        <w:rPr>
          <w:b/>
          <w:bCs/>
        </w:rPr>
        <w:t>Draft Harvest Strategy</w:t>
      </w:r>
      <w:r w:rsidR="000C05D9">
        <w:rPr>
          <w:b/>
          <w:bCs/>
        </w:rPr>
        <w:t xml:space="preserve"> outcome of “Stable” </w:t>
      </w:r>
      <w:r>
        <w:rPr>
          <w:b/>
          <w:bCs/>
        </w:rPr>
        <w:t xml:space="preserve">appears to be an appropriate strategy. </w:t>
      </w:r>
    </w:p>
    <w:p w14:paraId="1F53F0CD" w14:textId="29F68837" w:rsidR="008D0E2D" w:rsidRDefault="008D0E2D" w:rsidP="008D0E2D">
      <w:pPr>
        <w:rPr>
          <w:b/>
          <w:bCs/>
        </w:rPr>
      </w:pPr>
    </w:p>
    <w:p w14:paraId="6E0E12D6" w14:textId="77777777" w:rsidR="00FB0A3F" w:rsidRDefault="00000000">
      <w:pPr>
        <w:pStyle w:val="Heading3"/>
        <w:numPr>
          <w:ilvl w:val="2"/>
          <w:numId w:val="9"/>
        </w:numPr>
        <w:ind w:left="720" w:hanging="720"/>
      </w:pPr>
      <w:bookmarkStart w:id="247" w:name="_Toc128750546"/>
      <w:bookmarkStart w:id="248" w:name="_Toc128736834"/>
      <w:bookmarkStart w:id="249" w:name="_Toc98430385"/>
      <w:bookmarkStart w:id="250" w:name="_Toc127443359"/>
      <w:bookmarkStart w:id="251" w:name="_Toc127443515"/>
      <w:bookmarkStart w:id="252" w:name="_Toc98418847"/>
      <w:bookmarkStart w:id="253" w:name="_Toc98419259"/>
      <w:bookmarkStart w:id="254" w:name="_Toc98418970"/>
      <w:bookmarkStart w:id="255" w:name="_Toc98423742"/>
      <w:bookmarkStart w:id="256" w:name="_Toc98418784"/>
      <w:bookmarkStart w:id="257" w:name="_Toc98418718"/>
      <w:bookmarkStart w:id="258" w:name="_Toc98418587"/>
      <w:bookmarkStart w:id="259" w:name="_Toc98408343"/>
      <w:bookmarkStart w:id="260" w:name="_Toc192777235"/>
      <w:bookmarkEnd w:id="157"/>
      <w:bookmarkEnd w:id="158"/>
      <w:bookmarkEnd w:id="247"/>
      <w:bookmarkEnd w:id="248"/>
      <w:bookmarkEnd w:id="249"/>
      <w:bookmarkEnd w:id="250"/>
      <w:bookmarkEnd w:id="251"/>
      <w:bookmarkEnd w:id="252"/>
      <w:bookmarkEnd w:id="253"/>
      <w:bookmarkEnd w:id="254"/>
      <w:bookmarkEnd w:id="255"/>
      <w:bookmarkEnd w:id="256"/>
      <w:bookmarkEnd w:id="257"/>
      <w:bookmarkEnd w:id="258"/>
      <w:r>
        <w:t>Flinders</w:t>
      </w:r>
      <w:bookmarkEnd w:id="259"/>
      <w:r>
        <w:t xml:space="preserve"> (Medium SMU)</w:t>
      </w:r>
      <w:bookmarkEnd w:id="260"/>
    </w:p>
    <w:p w14:paraId="2CF5841E" w14:textId="0F38536A" w:rsidR="00FB0A3F" w:rsidRDefault="00000000">
      <w:r>
        <w:t>The Flinders SMU contributed 2</w:t>
      </w:r>
      <w:r w:rsidR="008D0E2D">
        <w:t>2.2</w:t>
      </w:r>
      <w:r>
        <w:t xml:space="preserve"> t in 202</w:t>
      </w:r>
      <w:r w:rsidR="008D0E2D">
        <w:t>3</w:t>
      </w:r>
      <w:r>
        <w:t>/2</w:t>
      </w:r>
      <w:r w:rsidR="008D0E2D">
        <w:t>4</w:t>
      </w:r>
      <w:r>
        <w:t xml:space="preserve"> representing 10.</w:t>
      </w:r>
      <w:r w:rsidR="008D0E2D">
        <w:t>0</w:t>
      </w:r>
      <w:r>
        <w:t>% of the total catch (Table 1</w:t>
      </w:r>
      <w:r w:rsidR="001A6F5B">
        <w:t>8</w:t>
      </w:r>
      <w:r>
        <w:t xml:space="preserve">) and TACC (Table </w:t>
      </w:r>
      <w:r w:rsidR="008D0E2D">
        <w:t>3</w:t>
      </w:r>
      <w:r>
        <w:t xml:space="preserve">). </w:t>
      </w:r>
      <w:r w:rsidR="008D0E2D">
        <w:t xml:space="preserve">The catch was 1.7 t above the OT. </w:t>
      </w:r>
      <w:r w:rsidR="00192026">
        <w:rPr>
          <w:rFonts w:ascii="Helvetica" w:eastAsia="Helvetica" w:hAnsi="Helvetica" w:cs="Helvetica"/>
          <w:color w:val="000000"/>
          <w:sz w:val="18"/>
          <w:szCs w:val="18"/>
        </w:rPr>
        <w:t>Standardised</w:t>
      </w:r>
      <w:r w:rsidR="00192026">
        <w:t xml:space="preserve"> </w:t>
      </w:r>
      <w:r>
        <w:t xml:space="preserve">CPUE has </w:t>
      </w:r>
      <w:r w:rsidR="00192026">
        <w:t>14</w:t>
      </w:r>
      <w:r>
        <w:t>%</w:t>
      </w:r>
      <w:r w:rsidR="00192026">
        <w:t xml:space="preserve"> in the long term but increased by 3% in the short term and by 22% in the last four years</w:t>
      </w:r>
      <w:r>
        <w:t xml:space="preserve">. </w:t>
      </w:r>
    </w:p>
    <w:p w14:paraId="61DA4DC9" w14:textId="26D43100" w:rsidR="00FB0A3F" w:rsidRDefault="00000000">
      <w:pPr>
        <w:pStyle w:val="TableCaption"/>
      </w:pPr>
      <w:bookmarkStart w:id="261" w:name="_Toc192762286"/>
      <w:r>
        <w:t>Table 1</w:t>
      </w:r>
      <w:r w:rsidR="001A6F5B">
        <w:t>8</w:t>
      </w:r>
      <w:r>
        <w:t>: Summary of Catch, Optimal targets and CPUE performance indicators for the Flinders SMU. The LML and mean daily catch are also shown.</w:t>
      </w:r>
      <w:bookmarkEnd w:id="261"/>
      <w:r>
        <w:t xml:space="preserve"> </w:t>
      </w:r>
    </w:p>
    <w:tbl>
      <w:tblPr>
        <w:tblW w:w="9062" w:type="dxa"/>
        <w:jc w:val="center"/>
        <w:tblLayout w:type="fixed"/>
        <w:tblLook w:val="04A0" w:firstRow="1" w:lastRow="0" w:firstColumn="1" w:lastColumn="0" w:noHBand="0" w:noVBand="1"/>
      </w:tblPr>
      <w:tblGrid>
        <w:gridCol w:w="703"/>
        <w:gridCol w:w="572"/>
        <w:gridCol w:w="724"/>
        <w:gridCol w:w="846"/>
        <w:gridCol w:w="831"/>
        <w:gridCol w:w="14"/>
        <w:gridCol w:w="1790"/>
        <w:gridCol w:w="1791"/>
        <w:gridCol w:w="1791"/>
      </w:tblGrid>
      <w:tr w:rsidR="00FB0A3F" w14:paraId="1557C622" w14:textId="77777777">
        <w:trPr>
          <w:cantSplit/>
          <w:trHeight w:val="540"/>
          <w:tblHeader/>
          <w:jc w:val="center"/>
        </w:trPr>
        <w:tc>
          <w:tcPr>
            <w:tcW w:w="3690" w:type="dxa"/>
            <w:gridSpan w:val="6"/>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0EE6FE86" w14:textId="77777777" w:rsidR="00FB0A3F" w:rsidRDefault="00000000">
            <w:pPr>
              <w:spacing w:before="100" w:after="100"/>
              <w:ind w:left="100" w:right="100"/>
              <w:jc w:val="center"/>
            </w:pPr>
            <w:r>
              <w:rPr>
                <w:rFonts w:ascii="Helvetica" w:eastAsia="Helvetica" w:hAnsi="Helvetica" w:cs="Helvetica"/>
                <w:color w:val="000000"/>
                <w:sz w:val="18"/>
                <w:szCs w:val="18"/>
              </w:rPr>
              <w:t>Catch</w:t>
            </w:r>
          </w:p>
        </w:tc>
        <w:tc>
          <w:tcPr>
            <w:tcW w:w="5372" w:type="dxa"/>
            <w:gridSpan w:val="3"/>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4EBF20BD" w14:textId="20F49248" w:rsidR="00FB0A3F" w:rsidRDefault="00192026">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Standardised CPUE Performance Indicators (% change)</w:t>
            </w:r>
          </w:p>
        </w:tc>
      </w:tr>
      <w:tr w:rsidR="00FB0A3F" w14:paraId="782A33B0" w14:textId="77777777">
        <w:trPr>
          <w:cantSplit/>
          <w:trHeight w:val="507"/>
          <w:tblHeader/>
          <w:jc w:val="center"/>
        </w:trPr>
        <w:tc>
          <w:tcPr>
            <w:tcW w:w="1275" w:type="dxa"/>
            <w:gridSpan w:val="2"/>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6358C72A" w14:textId="4B19BC99" w:rsidR="00FB0A3F" w:rsidRDefault="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2023/24</w:t>
            </w:r>
          </w:p>
        </w:tc>
        <w:tc>
          <w:tcPr>
            <w:tcW w:w="241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FDD74AA" w14:textId="77777777" w:rsidR="00FB0A3F" w:rsidRDefault="00000000">
            <w:pPr>
              <w:spacing w:before="100" w:after="100"/>
              <w:ind w:left="100" w:right="100"/>
              <w:jc w:val="center"/>
            </w:pPr>
            <w:r>
              <w:rPr>
                <w:rFonts w:ascii="Helvetica" w:eastAsia="Helvetica" w:hAnsi="Helvetica" w:cs="Helvetica"/>
                <w:color w:val="000000"/>
                <w:sz w:val="18"/>
                <w:szCs w:val="18"/>
              </w:rPr>
              <w:t>OT + carryover* (t)</w:t>
            </w: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DD198DD" w14:textId="77777777" w:rsidR="00FB0A3F" w:rsidRDefault="00000000">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Long-term</w:t>
            </w:r>
          </w:p>
        </w:tc>
        <w:tc>
          <w:tcPr>
            <w:tcW w:w="179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CE240D4" w14:textId="77777777" w:rsidR="00FB0A3F" w:rsidRDefault="00000000">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Short-term</w:t>
            </w:r>
          </w:p>
        </w:tc>
        <w:tc>
          <w:tcPr>
            <w:tcW w:w="179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EDE1076" w14:textId="77777777" w:rsidR="00FB0A3F" w:rsidRDefault="00000000">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Last 4 years</w:t>
            </w:r>
          </w:p>
        </w:tc>
      </w:tr>
      <w:tr w:rsidR="00FF2F21" w14:paraId="6B15B121" w14:textId="77777777">
        <w:trPr>
          <w:cantSplit/>
          <w:trHeight w:val="218"/>
          <w:tblHeader/>
          <w:jc w:val="center"/>
        </w:trPr>
        <w:tc>
          <w:tcPr>
            <w:tcW w:w="703"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60DE951" w14:textId="77777777" w:rsidR="00FF2F21" w:rsidRDefault="00FF2F21" w:rsidP="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(t)</w:t>
            </w:r>
          </w:p>
        </w:tc>
        <w:tc>
          <w:tcPr>
            <w:tcW w:w="572"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EBC7DFF" w14:textId="77777777" w:rsidR="00FF2F21" w:rsidRDefault="00FF2F21" w:rsidP="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w:t>
            </w: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03A9AF9" w14:textId="6521C380" w:rsidR="00FF2F21" w:rsidRDefault="00FF2F21" w:rsidP="00FF2F21">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22/23</w:t>
            </w:r>
          </w:p>
        </w:tc>
        <w:tc>
          <w:tcPr>
            <w:tcW w:w="84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357F52F" w14:textId="0CE3AA8D" w:rsidR="00FF2F21" w:rsidRDefault="00FF2F21" w:rsidP="00FF2F21">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23/24</w:t>
            </w:r>
          </w:p>
        </w:tc>
        <w:tc>
          <w:tcPr>
            <w:tcW w:w="845"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4065E4CB" w14:textId="0548E169" w:rsidR="00FF2F21" w:rsidRDefault="00FF2F21" w:rsidP="00FF2F21">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24/25</w:t>
            </w: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0070402" w14:textId="4AE69891" w:rsidR="00FF2F21" w:rsidRDefault="00FF2F21" w:rsidP="00FF2F21">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2003/04 – 2023/24</w:t>
            </w:r>
          </w:p>
        </w:tc>
        <w:tc>
          <w:tcPr>
            <w:tcW w:w="179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8318669" w14:textId="0D4F9CBE" w:rsidR="00FF2F21" w:rsidRDefault="00FF2F21" w:rsidP="00FF2F21">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2009/10 – 2023/24</w:t>
            </w:r>
          </w:p>
        </w:tc>
        <w:tc>
          <w:tcPr>
            <w:tcW w:w="179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EFE4123" w14:textId="32B21F07" w:rsidR="00FF2F21" w:rsidRDefault="00FF2F21" w:rsidP="00FF2F21">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2020/21 – 2023/24</w:t>
            </w:r>
          </w:p>
        </w:tc>
      </w:tr>
      <w:tr w:rsidR="00FF2F21" w14:paraId="0272FF76" w14:textId="77777777">
        <w:trPr>
          <w:cantSplit/>
          <w:trHeight w:val="123"/>
          <w:jc w:val="center"/>
        </w:trPr>
        <w:tc>
          <w:tcPr>
            <w:tcW w:w="703"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3A3941E4" w14:textId="38823B97" w:rsidR="00FF2F21" w:rsidRDefault="00FF2F21" w:rsidP="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2</w:t>
            </w:r>
            <w:r w:rsidR="008D0E2D">
              <w:rPr>
                <w:rFonts w:ascii="Helvetica" w:eastAsia="Helvetica" w:hAnsi="Helvetica" w:cs="Helvetica"/>
                <w:color w:val="000000"/>
                <w:sz w:val="18"/>
                <w:szCs w:val="18"/>
              </w:rPr>
              <w:t>2.2</w:t>
            </w:r>
          </w:p>
        </w:tc>
        <w:tc>
          <w:tcPr>
            <w:tcW w:w="572"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41A187E4" w14:textId="3A9BA2F5" w:rsidR="00FF2F21" w:rsidRDefault="00FF2F21" w:rsidP="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10.</w:t>
            </w:r>
            <w:r w:rsidR="008D0E2D">
              <w:rPr>
                <w:rFonts w:ascii="Helvetica" w:eastAsia="Helvetica" w:hAnsi="Helvetica" w:cs="Helvetica"/>
                <w:color w:val="000000"/>
                <w:sz w:val="18"/>
                <w:szCs w:val="18"/>
              </w:rPr>
              <w:t>0</w:t>
            </w:r>
          </w:p>
        </w:tc>
        <w:tc>
          <w:tcPr>
            <w:tcW w:w="724"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CE71B47" w14:textId="51C0AB83" w:rsidR="00FF2F21" w:rsidRDefault="00FF2F21" w:rsidP="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24.2</w:t>
            </w:r>
          </w:p>
        </w:tc>
        <w:tc>
          <w:tcPr>
            <w:tcW w:w="846" w:type="dxa"/>
            <w:tcBorders>
              <w:left w:val="single" w:sz="8" w:space="0" w:color="000000"/>
              <w:bottom w:val="single" w:sz="8" w:space="0" w:color="000000"/>
              <w:right w:val="single" w:sz="8" w:space="0" w:color="000000"/>
            </w:tcBorders>
            <w:shd w:val="clear" w:color="auto" w:fill="auto"/>
          </w:tcPr>
          <w:p w14:paraId="790E70BF" w14:textId="6780B434" w:rsidR="00FF2F21" w:rsidRDefault="00FF2F21" w:rsidP="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20.5</w:t>
            </w:r>
          </w:p>
        </w:tc>
        <w:tc>
          <w:tcPr>
            <w:tcW w:w="845" w:type="dxa"/>
            <w:gridSpan w:val="2"/>
            <w:tcBorders>
              <w:left w:val="single" w:sz="8" w:space="0" w:color="000000"/>
              <w:bottom w:val="single" w:sz="8" w:space="0" w:color="000000"/>
              <w:right w:val="single" w:sz="8" w:space="0" w:color="000000"/>
            </w:tcBorders>
            <w:shd w:val="clear" w:color="auto" w:fill="auto"/>
          </w:tcPr>
          <w:p w14:paraId="3A083644" w14:textId="79F6D211" w:rsidR="00FF2F21" w:rsidRDefault="009C295D" w:rsidP="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20.5</w:t>
            </w: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8169150" w14:textId="7B42BCA6" w:rsidR="00FF2F21" w:rsidRPr="00192026" w:rsidRDefault="00FF2F21" w:rsidP="00FF2F21">
            <w:pPr>
              <w:spacing w:before="100" w:after="100"/>
              <w:ind w:left="100" w:right="100"/>
              <w:jc w:val="center"/>
              <w:rPr>
                <w:rFonts w:ascii="Helvetica" w:eastAsia="Helvetica" w:hAnsi="Helvetica" w:cs="Helvetica"/>
                <w:color w:val="000000" w:themeColor="text1"/>
                <w:sz w:val="18"/>
                <w:szCs w:val="18"/>
              </w:rPr>
            </w:pPr>
            <w:r w:rsidRPr="00192026">
              <w:rPr>
                <w:rFonts w:ascii="Helvetica" w:eastAsia="Arial" w:hAnsi="Helvetica" w:cs="Helvetica"/>
                <w:color w:val="000000" w:themeColor="text1"/>
                <w:sz w:val="18"/>
                <w:szCs w:val="18"/>
              </w:rPr>
              <w:t>-</w:t>
            </w:r>
            <w:r w:rsidR="00192026">
              <w:rPr>
                <w:rFonts w:ascii="Helvetica" w:eastAsia="Arial" w:hAnsi="Helvetica" w:cs="Helvetica"/>
                <w:color w:val="000000" w:themeColor="text1"/>
                <w:sz w:val="18"/>
                <w:szCs w:val="18"/>
              </w:rPr>
              <w:t>14</w:t>
            </w:r>
          </w:p>
        </w:tc>
        <w:tc>
          <w:tcPr>
            <w:tcW w:w="179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4D19642" w14:textId="1346549A" w:rsidR="00FF2F21" w:rsidRPr="00192026" w:rsidRDefault="00192026" w:rsidP="00FF2F21">
            <w:pPr>
              <w:spacing w:before="100" w:after="100"/>
              <w:ind w:left="100" w:right="100"/>
              <w:jc w:val="center"/>
              <w:rPr>
                <w:rFonts w:ascii="Helvetica" w:eastAsia="Helvetica" w:hAnsi="Helvetica" w:cs="Helvetica"/>
                <w:color w:val="000000" w:themeColor="text1"/>
                <w:sz w:val="18"/>
                <w:szCs w:val="18"/>
              </w:rPr>
            </w:pPr>
            <w:r>
              <w:rPr>
                <w:rFonts w:ascii="Helvetica" w:eastAsia="Arial" w:hAnsi="Helvetica" w:cs="Helvetica"/>
                <w:color w:val="000000" w:themeColor="text1"/>
                <w:sz w:val="18"/>
                <w:szCs w:val="18"/>
              </w:rPr>
              <w:t>3</w:t>
            </w:r>
          </w:p>
        </w:tc>
        <w:tc>
          <w:tcPr>
            <w:tcW w:w="1791" w:type="dxa"/>
            <w:tcBorders>
              <w:top w:val="single" w:sz="8" w:space="0" w:color="000000"/>
              <w:left w:val="single" w:sz="8" w:space="0" w:color="000000"/>
              <w:bottom w:val="single" w:sz="8" w:space="0" w:color="000000"/>
              <w:right w:val="single" w:sz="8" w:space="0" w:color="000000"/>
            </w:tcBorders>
            <w:shd w:val="clear" w:color="auto" w:fill="FFFFFF"/>
          </w:tcPr>
          <w:p w14:paraId="377E46E8" w14:textId="7FF0CAC4" w:rsidR="00FF2F21" w:rsidRPr="00192026" w:rsidRDefault="00192026" w:rsidP="00FF2F21">
            <w:pPr>
              <w:spacing w:before="100" w:after="100"/>
              <w:ind w:left="100" w:right="100"/>
              <w:jc w:val="center"/>
              <w:rPr>
                <w:rFonts w:ascii="Helvetica" w:eastAsia="Helvetica" w:hAnsi="Helvetica" w:cs="Helvetica"/>
                <w:color w:val="000000" w:themeColor="text1"/>
                <w:sz w:val="18"/>
                <w:szCs w:val="18"/>
              </w:rPr>
            </w:pPr>
            <w:r>
              <w:rPr>
                <w:rFonts w:ascii="Helvetica" w:eastAsia="Arial" w:hAnsi="Helvetica" w:cs="Helvetica"/>
                <w:color w:val="000000" w:themeColor="text1"/>
                <w:sz w:val="18"/>
                <w:szCs w:val="18"/>
              </w:rPr>
              <w:t>2</w:t>
            </w:r>
            <w:r w:rsidR="00FF2F21" w:rsidRPr="00192026">
              <w:rPr>
                <w:rFonts w:ascii="Helvetica" w:eastAsia="Arial" w:hAnsi="Helvetica" w:cs="Helvetica"/>
                <w:color w:val="000000" w:themeColor="text1"/>
                <w:sz w:val="18"/>
                <w:szCs w:val="18"/>
              </w:rPr>
              <w:t>2</w:t>
            </w:r>
          </w:p>
        </w:tc>
      </w:tr>
      <w:tr w:rsidR="00FB0A3F" w14:paraId="0810D4F2" w14:textId="77777777" w:rsidTr="00947B63">
        <w:trPr>
          <w:cantSplit/>
          <w:jc w:val="center"/>
        </w:trPr>
        <w:tc>
          <w:tcPr>
            <w:tcW w:w="3676" w:type="dxa"/>
            <w:gridSpan w:val="5"/>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10BF08CB" w14:textId="3C2BA8B3" w:rsidR="00FB0A3F" w:rsidRDefault="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LML 2023/24 = 114 mm</w:t>
            </w:r>
          </w:p>
        </w:tc>
        <w:tc>
          <w:tcPr>
            <w:tcW w:w="5386" w:type="dxa"/>
            <w:gridSpan w:val="4"/>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0BC10CB3" w14:textId="16A5F17E" w:rsidR="00FB0A3F" w:rsidRDefault="0001483C">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 xml:space="preserve">Mean daily catch 2023/24 (nominal) = </w:t>
            </w:r>
            <w:r w:rsidR="00947B63">
              <w:rPr>
                <w:rFonts w:ascii="Helvetica" w:eastAsia="Helvetica" w:hAnsi="Helvetica" w:cs="Helvetica"/>
                <w:color w:val="000000"/>
                <w:sz w:val="18"/>
                <w:szCs w:val="18"/>
              </w:rPr>
              <w:t>388</w:t>
            </w:r>
            <w:r>
              <w:rPr>
                <w:rFonts w:ascii="Helvetica" w:eastAsia="Helvetica" w:hAnsi="Helvetica" w:cs="Helvetica"/>
                <w:color w:val="000000"/>
                <w:sz w:val="18"/>
                <w:szCs w:val="18"/>
              </w:rPr>
              <w:t xml:space="preserve"> kg</w:t>
            </w:r>
          </w:p>
        </w:tc>
      </w:tr>
    </w:tbl>
    <w:p w14:paraId="08C5F7F2" w14:textId="278A3CE3" w:rsidR="00FB0A3F" w:rsidRDefault="00000000">
      <w:r>
        <w:t>The Flinders SMU has been the most important historical contributor to the Central Zone TACC, with an average of 1</w:t>
      </w:r>
      <w:r w:rsidR="00FF022C">
        <w:t>09</w:t>
      </w:r>
      <w:r>
        <w:t xml:space="preserve"> t since 1992 and a peak of 231 t taken during 1993 (Figure 2</w:t>
      </w:r>
      <w:r w:rsidR="008D0E2D">
        <w:t>8</w:t>
      </w:r>
      <w:r>
        <w:t xml:space="preserve">). Catches remained above 150 t up until and including 2008, when a size limit increase was implemented. A catch of 88 t was harvested in both 2008 and </w:t>
      </w:r>
      <w:proofErr w:type="gramStart"/>
      <w:r>
        <w:t>2009</w:t>
      </w:r>
      <w:proofErr w:type="gramEnd"/>
      <w:r>
        <w:t xml:space="preserve"> and catches have ranged from 20-44 t per year since.</w:t>
      </w:r>
    </w:p>
    <w:p w14:paraId="2DC5C2F3" w14:textId="0CC09324" w:rsidR="00FB0A3F" w:rsidRDefault="00000000">
      <w:r>
        <w:t xml:space="preserve">Standardised CPUE </w:t>
      </w:r>
      <w:r w:rsidR="00AF21D9">
        <w:t xml:space="preserve">generally declined from </w:t>
      </w:r>
      <w:r>
        <w:t>2003</w:t>
      </w:r>
      <w:r w:rsidR="00AF21D9">
        <w:t xml:space="preserve"> to </w:t>
      </w:r>
      <w:r>
        <w:t>2013</w:t>
      </w:r>
      <w:r w:rsidR="00AF21D9">
        <w:t>, was variable until 20</w:t>
      </w:r>
      <w:r w:rsidR="000C05D9">
        <w:t>17</w:t>
      </w:r>
      <w:r w:rsidR="00AF21D9">
        <w:t xml:space="preserve"> and has </w:t>
      </w:r>
      <w:r w:rsidR="000C05D9">
        <w:t xml:space="preserve">steadily </w:t>
      </w:r>
      <w:r w:rsidR="00AF21D9">
        <w:t xml:space="preserve">increased </w:t>
      </w:r>
      <w:r w:rsidR="000C05D9">
        <w:t xml:space="preserve">for the last six years </w:t>
      </w:r>
      <w:r w:rsidR="00AF21D9">
        <w:t>(Figure 28)</w:t>
      </w:r>
      <w:r>
        <w:t xml:space="preserve">. </w:t>
      </w:r>
    </w:p>
    <w:p w14:paraId="16D4BB6C" w14:textId="3F664EB7" w:rsidR="00FB0A3F" w:rsidRDefault="00AF21D9">
      <w:pPr>
        <w:jc w:val="center"/>
      </w:pPr>
      <w:r>
        <w:rPr>
          <w:noProof/>
        </w:rPr>
        <w:lastRenderedPageBreak/>
        <w:drawing>
          <wp:inline distT="0" distB="0" distL="0" distR="0" wp14:anchorId="52E68F6E" wp14:editId="72195DB4">
            <wp:extent cx="5727700" cy="3579495"/>
            <wp:effectExtent l="0" t="0" r="0" b="0"/>
            <wp:docPr id="128" name="Picture" descr="Figure 23: Flinders SMU catch, and CPUE (nominal and standardised) from 1992/93 – 2022/23. Catch = bars, nominal CPUE = grey series (+/- SE), standardised series = black. Numbers in bars indicate changes to LMLs. MPs = introduction of Marine Parks."/>
            <wp:cNvGraphicFramePr/>
            <a:graphic xmlns:a="http://schemas.openxmlformats.org/drawingml/2006/main">
              <a:graphicData uri="http://schemas.openxmlformats.org/drawingml/2006/picture">
                <pic:pic xmlns:pic="http://schemas.openxmlformats.org/drawingml/2006/picture">
                  <pic:nvPicPr>
                    <pic:cNvPr id="128" name="Picture" descr="Figure 23: Flinders SMU catch, and CPUE (nominal and standardised) from 1992/93 – 2022/23. Catch = bars, nominal CPUE = grey series (+/- SE), standardised series = black. Numbers in bars indicate changes to LMLs. MPs = introduction of Marine Parks."/>
                    <pic:cNvPicPr/>
                  </pic:nvPicPr>
                  <pic:blipFill>
                    <a:blip r:embed="rId50"/>
                    <a:stretch>
                      <a:fillRect/>
                    </a:stretch>
                  </pic:blipFill>
                  <pic:spPr bwMode="auto">
                    <a:xfrm>
                      <a:off x="0" y="0"/>
                      <a:ext cx="5727700" cy="3579495"/>
                    </a:xfrm>
                    <a:prstGeom prst="rect">
                      <a:avLst/>
                    </a:prstGeom>
                    <a:noFill/>
                    <a:ln w="9525">
                      <a:noFill/>
                      <a:headEnd/>
                      <a:tailEnd/>
                    </a:ln>
                  </pic:spPr>
                </pic:pic>
              </a:graphicData>
            </a:graphic>
          </wp:inline>
        </w:drawing>
      </w:r>
    </w:p>
    <w:p w14:paraId="7A26DB39" w14:textId="116281F8" w:rsidR="00FB0A3F" w:rsidRDefault="00000000">
      <w:pPr>
        <w:pStyle w:val="Caption"/>
      </w:pPr>
      <w:bookmarkStart w:id="262" w:name="_Toc192777293"/>
      <w:r>
        <w:t>Figure 2</w:t>
      </w:r>
      <w:r w:rsidR="008D0E2D">
        <w:t>8</w:t>
      </w:r>
      <w:r>
        <w:t xml:space="preserve">: Flinders SMU catch, and CPUE (nominal and standardised) from 1992/1993 – </w:t>
      </w:r>
      <w:r w:rsidR="00D2115A">
        <w:t xml:space="preserve">2023/24. </w:t>
      </w:r>
      <w:r w:rsidR="00495804" w:rsidRPr="00495804">
        <w:t>Nominal annual = grey series (+/- SE), standardised annual = solid black, standardised quarterly = dashed black</w:t>
      </w:r>
      <w:r>
        <w:t>. Numbers indicate changes to LMLs. MPs = introduction of Marine Parks.</w:t>
      </w:r>
      <w:bookmarkEnd w:id="262"/>
    </w:p>
    <w:p w14:paraId="3FB5145D" w14:textId="268FBEF2" w:rsidR="00FB0A3F" w:rsidRDefault="009B5E24">
      <w:r>
        <w:t>Standardised mean daily catch decreased from 2003 to 2013 and has been relatively stable thereafter (Figure 2</w:t>
      </w:r>
      <w:r w:rsidR="008D0E2D">
        <w:t>9</w:t>
      </w:r>
      <w:r>
        <w:t>). Nominal mean daily catch was 388 kg/day in 2023/24.</w:t>
      </w:r>
    </w:p>
    <w:p w14:paraId="20DB1AF7" w14:textId="397DA39E" w:rsidR="00FB0A3F" w:rsidRDefault="00AF21D9" w:rsidP="008D0E2D">
      <w:pPr>
        <w:jc w:val="center"/>
      </w:pPr>
      <w:r>
        <w:rPr>
          <w:noProof/>
        </w:rPr>
        <w:drawing>
          <wp:inline distT="0" distB="0" distL="0" distR="0" wp14:anchorId="23FAAD4E" wp14:editId="6AB81357">
            <wp:extent cx="5727700" cy="3579495"/>
            <wp:effectExtent l="0" t="0" r="0" b="0"/>
            <wp:docPr id="125" name="Picture" descr="A graph with lines and numbers&#10;&#10;Description automatically generated"/>
            <wp:cNvGraphicFramePr/>
            <a:graphic xmlns:a="http://schemas.openxmlformats.org/drawingml/2006/main">
              <a:graphicData uri="http://schemas.openxmlformats.org/drawingml/2006/picture">
                <pic:pic xmlns:pic="http://schemas.openxmlformats.org/drawingml/2006/picture">
                  <pic:nvPicPr>
                    <pic:cNvPr id="125" name="Picture" descr="A graph with lines and numbers&#10;&#10;Description automatically generated"/>
                    <pic:cNvPicPr/>
                  </pic:nvPicPr>
                  <pic:blipFill>
                    <a:blip r:embed="rId51"/>
                    <a:stretch>
                      <a:fillRect/>
                    </a:stretch>
                  </pic:blipFill>
                  <pic:spPr bwMode="auto">
                    <a:xfrm>
                      <a:off x="0" y="0"/>
                      <a:ext cx="5727700" cy="3579495"/>
                    </a:xfrm>
                    <a:prstGeom prst="rect">
                      <a:avLst/>
                    </a:prstGeom>
                    <a:noFill/>
                    <a:ln w="9525">
                      <a:noFill/>
                      <a:headEnd/>
                      <a:tailEnd/>
                    </a:ln>
                  </pic:spPr>
                </pic:pic>
              </a:graphicData>
            </a:graphic>
          </wp:inline>
        </w:drawing>
      </w:r>
    </w:p>
    <w:p w14:paraId="10A62DC8" w14:textId="4C39DE73" w:rsidR="00FB0A3F" w:rsidRDefault="00000000">
      <w:pPr>
        <w:pStyle w:val="Caption"/>
      </w:pPr>
      <w:bookmarkStart w:id="263" w:name="_Toc192777294"/>
      <w:r>
        <w:t>Figure 2</w:t>
      </w:r>
      <w:r w:rsidR="008D0E2D">
        <w:t>9</w:t>
      </w:r>
      <w:r>
        <w:t xml:space="preserve">: Total catch and mean daily catch for the Flinders </w:t>
      </w:r>
      <w:r w:rsidR="008D0E2D">
        <w:t>SMU from 2003 to 2023</w:t>
      </w:r>
      <w:r w:rsidR="00495804">
        <w:t xml:space="preserve">. </w:t>
      </w:r>
      <w:r w:rsidR="00495804" w:rsidRPr="00495804">
        <w:t>Nominal annual = grey series (+/- SE), standardised annual = solid black, standardised quarterly = dashed black</w:t>
      </w:r>
      <w:r>
        <w:t>.</w:t>
      </w:r>
      <w:bookmarkEnd w:id="263"/>
      <w:r>
        <w:t xml:space="preserve"> </w:t>
      </w:r>
    </w:p>
    <w:p w14:paraId="52370009" w14:textId="0CA5D920" w:rsidR="00FB0A3F" w:rsidRDefault="00000000">
      <w:pPr>
        <w:pStyle w:val="TableCaption"/>
      </w:pPr>
      <w:bookmarkStart w:id="264" w:name="_Toc192762287"/>
      <w:r>
        <w:lastRenderedPageBreak/>
        <w:t>Table 1</w:t>
      </w:r>
      <w:r w:rsidR="001A6F5B">
        <w:t>9</w:t>
      </w:r>
      <w:r>
        <w:t xml:space="preserve">: Catches (kg) by </w:t>
      </w:r>
      <w:proofErr w:type="spellStart"/>
      <w:r>
        <w:t>reefcode</w:t>
      </w:r>
      <w:proofErr w:type="spellEnd"/>
      <w:r>
        <w:t xml:space="preserve"> for the Flinders SMU </w:t>
      </w:r>
      <w:r w:rsidR="003E07DE">
        <w:t xml:space="preserve">from 2018/19 to 2023/24 and the </w:t>
      </w:r>
      <w:r w:rsidR="008E6717">
        <w:t>5</w:t>
      </w:r>
      <w:r w:rsidR="003E07DE">
        <w:t>-year average catch from 2018/19 to 2022/23</w:t>
      </w:r>
      <w:r>
        <w:t>.</w:t>
      </w:r>
      <w:bookmarkEnd w:id="264"/>
    </w:p>
    <w:p w14:paraId="230943D2" w14:textId="021E75E4" w:rsidR="00FB0A3F" w:rsidRDefault="00515968">
      <w:pPr>
        <w:jc w:val="center"/>
      </w:pPr>
      <w:r>
        <w:rPr>
          <w:noProof/>
        </w:rPr>
        <w:drawing>
          <wp:inline distT="0" distB="0" distL="0" distR="0" wp14:anchorId="659D4DFE" wp14:editId="5EC602E2">
            <wp:extent cx="5727700" cy="3579495"/>
            <wp:effectExtent l="0" t="0" r="0" b="0"/>
            <wp:docPr id="131" name="Picture" descr="Figure 24: Recruit abundance and catch from 1992/93 – 2022/23 for the Flinders SMU. Grey dashed series = nominal abundance across all FIS sites (+/-SE). Black series = nominal (dotted line, open data point in 2023; +/-SE) and standardised (solid line, solid data point in 2023) abundance at the two Top 15 sites located within the Flinders SMU."/>
            <wp:cNvGraphicFramePr/>
            <a:graphic xmlns:a="http://schemas.openxmlformats.org/drawingml/2006/main">
              <a:graphicData uri="http://schemas.openxmlformats.org/drawingml/2006/picture">
                <pic:pic xmlns:pic="http://schemas.openxmlformats.org/drawingml/2006/picture">
                  <pic:nvPicPr>
                    <pic:cNvPr id="131" name="Picture" descr="Figure 24: Recruit abundance and catch from 1992/93 – 2022/23 for the Flinders SMU. Grey dashed series = nominal abundance across all FIS sites (+/-SE). Black series = nominal (dotted line, open data point in 2023; +/-SE) and standardised (solid line, solid data point in 2023) abundance at the two Top 15 sites located within the Flinders SMU."/>
                    <pic:cNvPicPr/>
                  </pic:nvPicPr>
                  <pic:blipFill>
                    <a:blip r:embed="rId52"/>
                    <a:stretch>
                      <a:fillRect/>
                    </a:stretch>
                  </pic:blipFill>
                  <pic:spPr bwMode="auto">
                    <a:xfrm>
                      <a:off x="0" y="0"/>
                      <a:ext cx="5727700" cy="3579495"/>
                    </a:xfrm>
                    <a:prstGeom prst="rect">
                      <a:avLst/>
                    </a:prstGeom>
                    <a:noFill/>
                    <a:ln w="9525">
                      <a:noFill/>
                      <a:headEnd/>
                      <a:tailEnd/>
                    </a:ln>
                  </pic:spPr>
                </pic:pic>
              </a:graphicData>
            </a:graphic>
          </wp:inline>
        </w:drawing>
      </w:r>
      <w:r w:rsidR="00BE07ED" w:rsidRPr="00BE07ED">
        <w:rPr>
          <w:noProof/>
        </w:rPr>
        <w:drawing>
          <wp:inline distT="0" distB="0" distL="0" distR="0" wp14:anchorId="3B141B9F" wp14:editId="663EF21C">
            <wp:extent cx="4282440" cy="1784350"/>
            <wp:effectExtent l="0" t="0" r="3810" b="6350"/>
            <wp:docPr id="1714689665" name="Picture 1" descr="A table with numb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89665" name="Picture 1" descr="A table with numbers and numbers&#10;&#10;Description automatically generated"/>
                    <pic:cNvPicPr/>
                  </pic:nvPicPr>
                  <pic:blipFill>
                    <a:blip r:embed="rId53"/>
                    <a:stretch>
                      <a:fillRect/>
                    </a:stretch>
                  </pic:blipFill>
                  <pic:spPr>
                    <a:xfrm>
                      <a:off x="0" y="0"/>
                      <a:ext cx="4282819" cy="1784508"/>
                    </a:xfrm>
                    <a:prstGeom prst="rect">
                      <a:avLst/>
                    </a:prstGeom>
                  </pic:spPr>
                </pic:pic>
              </a:graphicData>
            </a:graphic>
          </wp:inline>
        </w:drawing>
      </w:r>
    </w:p>
    <w:p w14:paraId="357B8E01" w14:textId="65B30E0C" w:rsidR="00FB0A3F" w:rsidRDefault="00000000">
      <w:r>
        <w:t xml:space="preserve">The Flinders SMU comprises </w:t>
      </w:r>
      <w:r w:rsidR="00AC25C3">
        <w:t>8</w:t>
      </w:r>
      <w:r>
        <w:t xml:space="preserve"> </w:t>
      </w:r>
      <w:proofErr w:type="spellStart"/>
      <w:r>
        <w:t>reefcodes</w:t>
      </w:r>
      <w:proofErr w:type="spellEnd"/>
      <w:r>
        <w:t>, with 12.06 the key contributor since 2017/18 (Table 1</w:t>
      </w:r>
      <w:r w:rsidR="001A6F5B">
        <w:t>9</w:t>
      </w:r>
      <w:r>
        <w:t xml:space="preserve">). </w:t>
      </w:r>
      <w:bookmarkStart w:id="265" w:name="flinders"/>
      <w:bookmarkStart w:id="266" w:name="medium-spatial-management-units"/>
      <w:r>
        <w:t>Catches were generally within the recent historic range at most SMUs except for 13.0</w:t>
      </w:r>
      <w:r w:rsidR="008C4911">
        <w:t>4</w:t>
      </w:r>
      <w:r>
        <w:t xml:space="preserve"> where the </w:t>
      </w:r>
      <w:r w:rsidR="008C4911">
        <w:t xml:space="preserve">lowest </w:t>
      </w:r>
      <w:r>
        <w:t xml:space="preserve">catch was harvested in the last </w:t>
      </w:r>
      <w:r w:rsidR="00AC25C3">
        <w:t>6</w:t>
      </w:r>
      <w:r>
        <w:t xml:space="preserve"> years. </w:t>
      </w:r>
    </w:p>
    <w:p w14:paraId="60039779" w14:textId="77777777" w:rsidR="00FB0A3F" w:rsidRDefault="00000000">
      <w:r>
        <w:rPr>
          <w:i/>
          <w:iCs/>
        </w:rPr>
        <w:t>FIS recruit abundance (Two Top 15 sites)</w:t>
      </w:r>
    </w:p>
    <w:p w14:paraId="04D6F85E" w14:textId="08A34145" w:rsidR="00FB0A3F" w:rsidRDefault="00000000">
      <w:r>
        <w:t xml:space="preserve">The abundance of recruit sized abalone on has declined over time at all sites and Top 15 sites and in 2022/23 remains at low historical levels (Figure </w:t>
      </w:r>
      <w:r w:rsidR="008D0E2D">
        <w:t>30</w:t>
      </w:r>
      <w:r>
        <w:t xml:space="preserve">). </w:t>
      </w:r>
    </w:p>
    <w:p w14:paraId="4602E7D8" w14:textId="77777777" w:rsidR="00FB0A3F" w:rsidRDefault="00000000">
      <w:pPr>
        <w:rPr>
          <w:i/>
          <w:iCs/>
        </w:rPr>
      </w:pPr>
      <w:r>
        <w:rPr>
          <w:i/>
          <w:iCs/>
        </w:rPr>
        <w:t>FIS recruit abundance (Two Top 15 sites)</w:t>
      </w:r>
    </w:p>
    <w:p w14:paraId="78851E0F" w14:textId="53B206FE" w:rsidR="00FB0A3F" w:rsidRDefault="00000000">
      <w:r>
        <w:t xml:space="preserve">The abundance of pre-recruit sized abalone also declined over time at all sites and Top 15 sites, however there was a large increase in pre-recruit abundance at </w:t>
      </w:r>
      <w:proofErr w:type="gramStart"/>
      <w:r>
        <w:t>Top  15</w:t>
      </w:r>
      <w:proofErr w:type="gramEnd"/>
      <w:r>
        <w:t xml:space="preserve"> sites in 2023 with abundance levels similar to 2016 (Figure </w:t>
      </w:r>
      <w:r w:rsidR="008D0E2D">
        <w:t>31</w:t>
      </w:r>
      <w:r>
        <w:t xml:space="preserve">). </w:t>
      </w:r>
    </w:p>
    <w:p w14:paraId="25DF286D" w14:textId="4FFEF463" w:rsidR="00FB0A3F" w:rsidRDefault="00FB0A3F"/>
    <w:p w14:paraId="7D1EA48D" w14:textId="1636EF9C" w:rsidR="00FB0A3F" w:rsidRDefault="00000000">
      <w:pPr>
        <w:pStyle w:val="Caption"/>
      </w:pPr>
      <w:bookmarkStart w:id="267" w:name="_Toc192777295"/>
      <w:r>
        <w:t xml:space="preserve">Figure </w:t>
      </w:r>
      <w:r w:rsidR="008D0E2D">
        <w:t>30</w:t>
      </w:r>
      <w:r>
        <w:t>: Recruit abundance (grey dashed, nominal all sites 1992 – 2021; black, Top 15 standardised (solid) 2003 – 2023) including catch from 1992/1993 – 2022/23 for the Flinders SMU. MPs = introduction of Marine Parks; numbers reflect size limit changes.</w:t>
      </w:r>
      <w:bookmarkEnd w:id="267"/>
    </w:p>
    <w:p w14:paraId="74777FE2" w14:textId="77777777" w:rsidR="00AF21D9" w:rsidRDefault="00AF21D9"/>
    <w:p w14:paraId="3FA00784" w14:textId="7782EAD2" w:rsidR="00FB0A3F" w:rsidRDefault="00AF21D9">
      <w:r>
        <w:rPr>
          <w:noProof/>
        </w:rPr>
        <w:drawing>
          <wp:inline distT="0" distB="0" distL="0" distR="0" wp14:anchorId="04498185" wp14:editId="12FA8F81">
            <wp:extent cx="5727700" cy="3579495"/>
            <wp:effectExtent l="0" t="0" r="0" b="0"/>
            <wp:docPr id="134" name="Picture" descr="Figure 25: Pre-recruit abundance and catch from 1992/93 – 2022/23 for the Flinders SMU. Grey dashed series = nominal abundance across all FIS sites (+/-SE). Black series = nominal (dotted line, open data point in 2023; +/-SE) and standardised (solid line, solid data point in 2023) abundance at the two Top 15 sites located within the Flinders SMU."/>
            <wp:cNvGraphicFramePr/>
            <a:graphic xmlns:a="http://schemas.openxmlformats.org/drawingml/2006/main">
              <a:graphicData uri="http://schemas.openxmlformats.org/drawingml/2006/picture">
                <pic:pic xmlns:pic="http://schemas.openxmlformats.org/drawingml/2006/picture">
                  <pic:nvPicPr>
                    <pic:cNvPr id="134" name="Picture" descr="Figure 25: Pre-recruit abundance and catch from 1992/93 – 2022/23 for the Flinders SMU. Grey dashed series = nominal abundance across all FIS sites (+/-SE). Black series = nominal (dotted line, open data point in 2023; +/-SE) and standardised (solid line, solid data point in 2023) abundance at the two Top 15 sites located within the Flinders SMU."/>
                    <pic:cNvPicPr/>
                  </pic:nvPicPr>
                  <pic:blipFill>
                    <a:blip r:embed="rId54"/>
                    <a:stretch>
                      <a:fillRect/>
                    </a:stretch>
                  </pic:blipFill>
                  <pic:spPr bwMode="auto">
                    <a:xfrm>
                      <a:off x="0" y="0"/>
                      <a:ext cx="5727700" cy="3579495"/>
                    </a:xfrm>
                    <a:prstGeom prst="rect">
                      <a:avLst/>
                    </a:prstGeom>
                    <a:noFill/>
                    <a:ln w="9525">
                      <a:noFill/>
                      <a:headEnd/>
                      <a:tailEnd/>
                    </a:ln>
                  </pic:spPr>
                </pic:pic>
              </a:graphicData>
            </a:graphic>
          </wp:inline>
        </w:drawing>
      </w:r>
    </w:p>
    <w:p w14:paraId="794D1D6E" w14:textId="6E0D8477" w:rsidR="00FB0A3F" w:rsidRDefault="00000000">
      <w:pPr>
        <w:pStyle w:val="Caption"/>
      </w:pPr>
      <w:bookmarkStart w:id="268" w:name="_Toc192777296"/>
      <w:r>
        <w:t xml:space="preserve">Figure </w:t>
      </w:r>
      <w:r w:rsidR="008D0E2D">
        <w:t>31</w:t>
      </w:r>
      <w:r>
        <w:t>: Pre-recruit abundance (grey dashed, nominal all sites 1992 – 2021; black, Top 15 standardised (solid) 2003 – 2023) including catch from 1992/1993 – 2022/23 for the Flinders SMU. MPs = introduction of Marine Parks; numbers reflect size limit changes.</w:t>
      </w:r>
      <w:bookmarkEnd w:id="268"/>
    </w:p>
    <w:p w14:paraId="1E6EF3EF" w14:textId="77777777" w:rsidR="00FB0A3F" w:rsidRDefault="00FB0A3F"/>
    <w:p w14:paraId="2190CBC0" w14:textId="77777777" w:rsidR="00FB0A3F" w:rsidRDefault="00000000">
      <w:pPr>
        <w:rPr>
          <w:i/>
          <w:iCs/>
        </w:rPr>
      </w:pPr>
      <w:r>
        <w:rPr>
          <w:i/>
          <w:iCs/>
        </w:rPr>
        <w:t>Length frequency data – FIS</w:t>
      </w:r>
    </w:p>
    <w:p w14:paraId="4AE559DE" w14:textId="4680DB6A" w:rsidR="00FB0A3F" w:rsidRDefault="00000000">
      <w:r>
        <w:t xml:space="preserve">While the abundance of abalone has declined substantially over time, there are few clear trends evident in the size structure data from FIS (Appendix </w:t>
      </w:r>
      <w:r w:rsidR="00EC5BF2">
        <w:t>1</w:t>
      </w:r>
      <w:r>
        <w:t>). The increase in pre-recruit abundance observed at the two Top 15 sites in 2022/23 occurred across a range of pre-recruit size categories.</w:t>
      </w:r>
    </w:p>
    <w:p w14:paraId="5BB580AC" w14:textId="77777777" w:rsidR="00FB0A3F" w:rsidRDefault="00000000">
      <w:pPr>
        <w:rPr>
          <w:i/>
          <w:iCs/>
        </w:rPr>
      </w:pPr>
      <w:r>
        <w:rPr>
          <w:i/>
          <w:iCs/>
        </w:rPr>
        <w:t>Length frequency data – commercial</w:t>
      </w:r>
    </w:p>
    <w:p w14:paraId="62C1F888" w14:textId="4B7392D6" w:rsidR="00EC5BF2" w:rsidRDefault="00000000">
      <w:r>
        <w:t xml:space="preserve">From 2016/17 to 2019/20, the standardised average length of abalone in the commercial catch increased from around 115 to 118 mm, which was 5 and 8 mm, respectively, above the LML at that time (Appendix </w:t>
      </w:r>
      <w:r w:rsidR="00EC5BF2">
        <w:t>3</w:t>
      </w:r>
      <w:r>
        <w:t xml:space="preserve">, Appendix </w:t>
      </w:r>
      <w:r w:rsidR="00EC5BF2">
        <w:t>4</w:t>
      </w:r>
      <w:r>
        <w:t>). The LML increased to 112 mm on 1 April 2020 and to 114 mm on 1 April 2021</w:t>
      </w:r>
      <w:r w:rsidR="00EC5BF2">
        <w:t xml:space="preserve">. </w:t>
      </w:r>
      <w:r>
        <w:t xml:space="preserve">Standardised average </w:t>
      </w:r>
      <w:r w:rsidR="00EC5BF2">
        <w:t xml:space="preserve">length has </w:t>
      </w:r>
      <w:r>
        <w:t xml:space="preserve">increased </w:t>
      </w:r>
      <w:r w:rsidR="00EC5BF2">
        <w:t xml:space="preserve">annually since 2019/20 and </w:t>
      </w:r>
      <w:r w:rsidR="004E26E8">
        <w:t>is currently around 127 mm in 2024/25, which is 13 mm above the LML</w:t>
      </w:r>
      <w:r>
        <w:t xml:space="preserve">. Results of </w:t>
      </w:r>
      <w:r w:rsidR="004E26E8">
        <w:t xml:space="preserve">the </w:t>
      </w:r>
      <w:r>
        <w:t xml:space="preserve">analysis to account for LML increases in Appendix 4 demonstrate an increase in size over and above the LML increase. Raw data show </w:t>
      </w:r>
      <w:r w:rsidR="004E26E8">
        <w:t xml:space="preserve">similar </w:t>
      </w:r>
      <w:r>
        <w:t>trends to standardised data over time.</w:t>
      </w:r>
      <w:r w:rsidR="004E26E8">
        <w:t xml:space="preserve"> Increases in length lead to increases in weight and a reduction in the number of abalone harvested for a given TACC, with estimates of weight increase greater than 10% for the Flinders SMU.</w:t>
      </w:r>
    </w:p>
    <w:p w14:paraId="393B4FC7" w14:textId="77777777" w:rsidR="00FB0A3F" w:rsidRDefault="00000000">
      <w:r>
        <w:rPr>
          <w:i/>
          <w:iCs/>
        </w:rPr>
        <w:t>Summary</w:t>
      </w:r>
    </w:p>
    <w:p w14:paraId="337048BB" w14:textId="21F20E91" w:rsidR="00FB0A3F" w:rsidRDefault="00000000">
      <w:r>
        <w:t>The Flinders SMU has been the most important historical contributor to the Central Zone TACC, with an average catch of 1</w:t>
      </w:r>
      <w:r w:rsidR="000C05D9">
        <w:t>09</w:t>
      </w:r>
      <w:r>
        <w:t xml:space="preserve"> t (since 1992) and a peak of 231 t (1993). Catches remained above 150</w:t>
      </w:r>
      <w:r w:rsidR="00AC25C3">
        <w:t xml:space="preserve"> </w:t>
      </w:r>
      <w:r>
        <w:t xml:space="preserve">t up until 2007 but declined thereafter ranging from 20-44 t per year since 2010. Standardised CPUE declined substantially from 2003 to 2013 but has increased </w:t>
      </w:r>
      <w:r w:rsidR="000C05D9">
        <w:t xml:space="preserve">steadily </w:t>
      </w:r>
      <w:r>
        <w:t xml:space="preserve">in the last </w:t>
      </w:r>
      <w:r w:rsidR="00AC25C3">
        <w:t>6</w:t>
      </w:r>
      <w:r w:rsidR="000C05D9">
        <w:t xml:space="preserve"> </w:t>
      </w:r>
      <w:r>
        <w:t xml:space="preserve">years. </w:t>
      </w:r>
      <w:r w:rsidR="000C05D9">
        <w:t>Standardised m</w:t>
      </w:r>
      <w:r>
        <w:t xml:space="preserve">ean daily catch has </w:t>
      </w:r>
      <w:r w:rsidR="000C05D9">
        <w:t xml:space="preserve">been stable </w:t>
      </w:r>
      <w:r>
        <w:t xml:space="preserve">during this period. The distribution of catch among </w:t>
      </w:r>
      <w:proofErr w:type="spellStart"/>
      <w:r>
        <w:t>reefcodes</w:t>
      </w:r>
      <w:proofErr w:type="spellEnd"/>
      <w:r>
        <w:t xml:space="preserve"> has generally been stable in recent years</w:t>
      </w:r>
      <w:r w:rsidR="000C05D9">
        <w:t xml:space="preserve">, although in 2023/24 the lowest catch was harvested in the last </w:t>
      </w:r>
      <w:r w:rsidR="00AC25C3">
        <w:t>6</w:t>
      </w:r>
      <w:r w:rsidR="000C05D9">
        <w:t xml:space="preserve"> years from 13.04</w:t>
      </w:r>
      <w:r>
        <w:t>.</w:t>
      </w:r>
    </w:p>
    <w:p w14:paraId="75A2F3B0" w14:textId="77777777" w:rsidR="00FB0A3F" w:rsidRDefault="00000000">
      <w:r>
        <w:lastRenderedPageBreak/>
        <w:t xml:space="preserve">The abundance of recruit sized abalone at the two Top 15 FIS sites has declined substantially since 2003 and remains low in a historic context. Pre-recruit abundance declined at a similar rate, however in 2023 pre-recruit abundance increased substantially to around the levels observed in 2016. </w:t>
      </w:r>
    </w:p>
    <w:p w14:paraId="076BAB44" w14:textId="451554B2" w:rsidR="00FB0A3F" w:rsidRDefault="00000000">
      <w:r>
        <w:t xml:space="preserve">The standardised average length of the commercial catch has increased from around 115 in 2016/17 to </w:t>
      </w:r>
      <w:r w:rsidR="00452D1C">
        <w:t>127 mm in 2024/25</w:t>
      </w:r>
      <w:r>
        <w:t xml:space="preserve">, </w:t>
      </w:r>
      <w:r w:rsidR="00452D1C">
        <w:t>which is 13 mm above the LML</w:t>
      </w:r>
      <w:r>
        <w:t xml:space="preserve">. </w:t>
      </w:r>
    </w:p>
    <w:p w14:paraId="054B4B51" w14:textId="1EE5ADED" w:rsidR="00452D1C" w:rsidRDefault="00000000">
      <w:r>
        <w:t>The total catch in the Flinders SMU of 2</w:t>
      </w:r>
      <w:r w:rsidR="00452D1C">
        <w:t>2.2</w:t>
      </w:r>
      <w:r>
        <w:t xml:space="preserve"> t was </w:t>
      </w:r>
      <w:r w:rsidR="00452D1C">
        <w:t>1.7</w:t>
      </w:r>
      <w:r>
        <w:t xml:space="preserve"> t above the OT with carryover (</w:t>
      </w:r>
      <w:r w:rsidR="00452D1C">
        <w:t>20.5</w:t>
      </w:r>
      <w:r>
        <w:t xml:space="preserve"> t). Mean CPUE (</w:t>
      </w:r>
      <w:r w:rsidR="00452D1C">
        <w:t>69.9</w:t>
      </w:r>
      <w:r>
        <w:t xml:space="preserve"> kg/h) was above the Threshold (70 kg/h) Reference Point</w:t>
      </w:r>
      <w:r w:rsidR="00452D1C" w:rsidRPr="00452D1C">
        <w:t xml:space="preserve"> </w:t>
      </w:r>
      <w:r w:rsidR="00452D1C">
        <w:t>for the third consecutive year. The Primary and Secondary Indicators were Increasing, resulting in an Increasing Final Category. As a result, increases in catch of up to 25% above the current OT could be considered. The OT was 20.5 t for 2024/25, suggesting an OT from 20.5 t to 25.6 t for 2025/26.</w:t>
      </w:r>
    </w:p>
    <w:p w14:paraId="3CC2DBDE" w14:textId="627944C0" w:rsidR="00FB0A3F" w:rsidRDefault="00000000">
      <w:pPr>
        <w:rPr>
          <w:b/>
          <w:bCs/>
        </w:rPr>
      </w:pPr>
      <w:bookmarkStart w:id="269" w:name="_Hlk192775126"/>
      <w:r>
        <w:rPr>
          <w:b/>
          <w:bCs/>
        </w:rPr>
        <w:t xml:space="preserve">The once productive deeper water reefs of the Flinders SMU have declined substantially, and the fishery currently relies primarily on inshore shallow reefs. While most indicators remain poor relative to the long-term, the short-term outlook is more positive. CPUE </w:t>
      </w:r>
      <w:r w:rsidR="00452D1C">
        <w:rPr>
          <w:b/>
          <w:bCs/>
        </w:rPr>
        <w:t xml:space="preserve">has </w:t>
      </w:r>
      <w:r>
        <w:rPr>
          <w:b/>
          <w:bCs/>
        </w:rPr>
        <w:t xml:space="preserve">increased in the last </w:t>
      </w:r>
      <w:r w:rsidR="008E6717">
        <w:rPr>
          <w:b/>
          <w:bCs/>
        </w:rPr>
        <w:t>5</w:t>
      </w:r>
      <w:r>
        <w:rPr>
          <w:b/>
          <w:bCs/>
        </w:rPr>
        <w:t xml:space="preserve"> years, </w:t>
      </w:r>
      <w:r w:rsidR="00452D1C">
        <w:rPr>
          <w:b/>
          <w:bCs/>
        </w:rPr>
        <w:t>while mean daily catch has remained stable. T</w:t>
      </w:r>
      <w:r>
        <w:rPr>
          <w:b/>
          <w:bCs/>
        </w:rPr>
        <w:t>he average length of the commercial catch</w:t>
      </w:r>
      <w:r w:rsidR="00452D1C">
        <w:rPr>
          <w:b/>
          <w:bCs/>
        </w:rPr>
        <w:t xml:space="preserve"> has also increased </w:t>
      </w:r>
      <w:proofErr w:type="gramStart"/>
      <w:r w:rsidR="00452D1C">
        <w:rPr>
          <w:b/>
          <w:bCs/>
        </w:rPr>
        <w:t>substantially</w:t>
      </w:r>
      <w:proofErr w:type="gramEnd"/>
      <w:r w:rsidR="00452D1C">
        <w:rPr>
          <w:b/>
          <w:bCs/>
        </w:rPr>
        <w:t xml:space="preserve"> and all of these measures remain positive despite a combined 4 mm LML increase since 2020</w:t>
      </w:r>
      <w:r>
        <w:rPr>
          <w:b/>
          <w:bCs/>
        </w:rPr>
        <w:t xml:space="preserve">. While there are only </w:t>
      </w:r>
      <w:r w:rsidR="00AC25C3">
        <w:rPr>
          <w:b/>
          <w:bCs/>
        </w:rPr>
        <w:t>2</w:t>
      </w:r>
      <w:r>
        <w:rPr>
          <w:b/>
          <w:bCs/>
        </w:rPr>
        <w:t xml:space="preserve"> Top 15 FIS sites, these </w:t>
      </w:r>
      <w:r w:rsidR="00452D1C">
        <w:rPr>
          <w:b/>
          <w:bCs/>
        </w:rPr>
        <w:t xml:space="preserve">showed a </w:t>
      </w:r>
      <w:r>
        <w:rPr>
          <w:b/>
          <w:bCs/>
        </w:rPr>
        <w:t>large increase in pre-recruit abundance</w:t>
      </w:r>
      <w:r w:rsidR="00452D1C">
        <w:rPr>
          <w:b/>
          <w:bCs/>
        </w:rPr>
        <w:t xml:space="preserve"> in 2023</w:t>
      </w:r>
      <w:r>
        <w:rPr>
          <w:b/>
          <w:bCs/>
        </w:rPr>
        <w:t xml:space="preserve">, consistent with the nearby Phillip Island and Back Beaches SMUs. In 2023/24, the OT was reduced to 20.5 </w:t>
      </w:r>
      <w:proofErr w:type="gramStart"/>
      <w:r>
        <w:rPr>
          <w:b/>
          <w:bCs/>
        </w:rPr>
        <w:t>t</w:t>
      </w:r>
      <w:proofErr w:type="gramEnd"/>
      <w:r w:rsidR="00D62DA1">
        <w:rPr>
          <w:b/>
          <w:bCs/>
        </w:rPr>
        <w:t xml:space="preserve"> and this was maintained for 2024/25</w:t>
      </w:r>
      <w:r>
        <w:rPr>
          <w:b/>
          <w:bCs/>
        </w:rPr>
        <w:t xml:space="preserve">. While the Draft Harvest Strategy suggests that an increase in OT can be considered, given the importance of the Flinders SMU historically, strong consideration should be given to maintaining the </w:t>
      </w:r>
      <w:r w:rsidR="00D9781F">
        <w:rPr>
          <w:b/>
          <w:bCs/>
        </w:rPr>
        <w:t>current</w:t>
      </w:r>
      <w:r>
        <w:rPr>
          <w:b/>
          <w:bCs/>
        </w:rPr>
        <w:t xml:space="preserve"> OT to further build on the positive indicators from recent years. </w:t>
      </w:r>
    </w:p>
    <w:bookmarkEnd w:id="269"/>
    <w:p w14:paraId="1A79AE3D" w14:textId="57DE6911" w:rsidR="00FB0A3F" w:rsidRDefault="00FB0A3F"/>
    <w:p w14:paraId="526A6A27" w14:textId="77777777" w:rsidR="00FB0A3F" w:rsidRDefault="00000000">
      <w:pPr>
        <w:pStyle w:val="Heading3"/>
        <w:numPr>
          <w:ilvl w:val="2"/>
          <w:numId w:val="9"/>
        </w:numPr>
        <w:ind w:left="505" w:hanging="505"/>
      </w:pPr>
      <w:bookmarkStart w:id="270" w:name="_Toc127443519"/>
      <w:bookmarkStart w:id="271" w:name="_Toc128736838"/>
      <w:bookmarkStart w:id="272" w:name="_Toc128750550"/>
      <w:bookmarkStart w:id="273" w:name="_Toc98418592"/>
      <w:bookmarkStart w:id="274" w:name="_Toc98418975"/>
      <w:bookmarkStart w:id="275" w:name="_Toc98418723"/>
      <w:bookmarkStart w:id="276" w:name="_Toc127443364"/>
      <w:bookmarkStart w:id="277" w:name="_Toc98430390"/>
      <w:bookmarkStart w:id="278" w:name="_Toc98418789"/>
      <w:bookmarkStart w:id="279" w:name="_Toc98418852"/>
      <w:bookmarkStart w:id="280" w:name="_Toc98419264"/>
      <w:bookmarkStart w:id="281" w:name="_Toc98423747"/>
      <w:bookmarkStart w:id="282" w:name="_Toc98408347"/>
      <w:bookmarkStart w:id="283" w:name="kilcunda"/>
      <w:bookmarkStart w:id="284" w:name="small-spatial-management-units"/>
      <w:bookmarkEnd w:id="265"/>
      <w:bookmarkEnd w:id="266"/>
      <w:bookmarkEnd w:id="270"/>
      <w:bookmarkEnd w:id="271"/>
      <w:bookmarkEnd w:id="272"/>
      <w:bookmarkEnd w:id="273"/>
      <w:bookmarkEnd w:id="274"/>
      <w:bookmarkEnd w:id="275"/>
      <w:bookmarkEnd w:id="276"/>
      <w:bookmarkEnd w:id="277"/>
      <w:bookmarkEnd w:id="278"/>
      <w:bookmarkEnd w:id="279"/>
      <w:bookmarkEnd w:id="280"/>
      <w:bookmarkEnd w:id="281"/>
      <w:r>
        <w:t xml:space="preserve">    </w:t>
      </w:r>
      <w:bookmarkStart w:id="285" w:name="_Toc192777236"/>
      <w:proofErr w:type="spellStart"/>
      <w:r>
        <w:t>Kilcunda</w:t>
      </w:r>
      <w:bookmarkEnd w:id="282"/>
      <w:proofErr w:type="spellEnd"/>
      <w:r>
        <w:t xml:space="preserve"> (Small SMU)</w:t>
      </w:r>
      <w:bookmarkEnd w:id="285"/>
    </w:p>
    <w:p w14:paraId="57774D1B" w14:textId="3C210FB3" w:rsidR="00FB0A3F" w:rsidRDefault="00000000">
      <w:r>
        <w:t>The Kilcunda SMU contributed 1</w:t>
      </w:r>
      <w:r w:rsidR="008D0E2D">
        <w:t>1.6</w:t>
      </w:r>
      <w:r>
        <w:t xml:space="preserve"> t in 202</w:t>
      </w:r>
      <w:r w:rsidR="008D0E2D">
        <w:t>3</w:t>
      </w:r>
      <w:r>
        <w:t>/2</w:t>
      </w:r>
      <w:r w:rsidR="008D0E2D">
        <w:t>4</w:t>
      </w:r>
      <w:r>
        <w:t xml:space="preserve"> representing 5.</w:t>
      </w:r>
      <w:r w:rsidR="008D0E2D">
        <w:t>2</w:t>
      </w:r>
      <w:r>
        <w:t xml:space="preserve">% of the total catch (Table </w:t>
      </w:r>
      <w:r w:rsidR="001A6F5B">
        <w:t>20</w:t>
      </w:r>
      <w:r>
        <w:t xml:space="preserve">) and TACC (Table </w:t>
      </w:r>
      <w:r w:rsidR="008D0E2D">
        <w:t>3</w:t>
      </w:r>
      <w:r>
        <w:t xml:space="preserve">). </w:t>
      </w:r>
      <w:r w:rsidR="008D0E2D">
        <w:t xml:space="preserve">The catch was 1.3 t above the OT which included carryover (1 t). </w:t>
      </w:r>
      <w:r w:rsidR="00192026">
        <w:rPr>
          <w:rFonts w:ascii="Helvetica" w:eastAsia="Helvetica" w:hAnsi="Helvetica" w:cs="Helvetica"/>
          <w:color w:val="000000"/>
          <w:sz w:val="18"/>
          <w:szCs w:val="18"/>
        </w:rPr>
        <w:t>Standardised</w:t>
      </w:r>
      <w:r w:rsidR="00192026">
        <w:t xml:space="preserve"> </w:t>
      </w:r>
      <w:r>
        <w:t>CPUE has declined by 2</w:t>
      </w:r>
      <w:r w:rsidR="00192026">
        <w:t>6</w:t>
      </w:r>
      <w:r>
        <w:t xml:space="preserve">% </w:t>
      </w:r>
      <w:r w:rsidR="00192026">
        <w:t xml:space="preserve">in the long term and 12% in the short term but increased by 8% in the last </w:t>
      </w:r>
      <w:r w:rsidR="00AC25C3">
        <w:t>4</w:t>
      </w:r>
      <w:r w:rsidR="00192026">
        <w:t xml:space="preserve"> years</w:t>
      </w:r>
      <w:r>
        <w:t>.</w:t>
      </w:r>
    </w:p>
    <w:p w14:paraId="16D5F714" w14:textId="5216E995" w:rsidR="00FB0A3F" w:rsidRDefault="00000000">
      <w:pPr>
        <w:pStyle w:val="TableCaption"/>
      </w:pPr>
      <w:bookmarkStart w:id="286" w:name="_Toc192762288"/>
      <w:r>
        <w:t xml:space="preserve">Table </w:t>
      </w:r>
      <w:r w:rsidR="001A6F5B">
        <w:t>20</w:t>
      </w:r>
      <w:r>
        <w:t>: Summary of Catch, Optimal targets and CPUE performance indicators for the Kilcunda SMU. The LML and mean daily catch are also shown.</w:t>
      </w:r>
      <w:bookmarkEnd w:id="286"/>
      <w:r>
        <w:t xml:space="preserve"> </w:t>
      </w:r>
    </w:p>
    <w:tbl>
      <w:tblPr>
        <w:tblW w:w="9062" w:type="dxa"/>
        <w:jc w:val="center"/>
        <w:tblLayout w:type="fixed"/>
        <w:tblLook w:val="04A0" w:firstRow="1" w:lastRow="0" w:firstColumn="1" w:lastColumn="0" w:noHBand="0" w:noVBand="1"/>
      </w:tblPr>
      <w:tblGrid>
        <w:gridCol w:w="703"/>
        <w:gridCol w:w="572"/>
        <w:gridCol w:w="724"/>
        <w:gridCol w:w="846"/>
        <w:gridCol w:w="831"/>
        <w:gridCol w:w="14"/>
        <w:gridCol w:w="1790"/>
        <w:gridCol w:w="1791"/>
        <w:gridCol w:w="1791"/>
      </w:tblGrid>
      <w:tr w:rsidR="00FB0A3F" w14:paraId="5C4C66F1" w14:textId="77777777">
        <w:trPr>
          <w:cantSplit/>
          <w:trHeight w:val="540"/>
          <w:tblHeader/>
          <w:jc w:val="center"/>
        </w:trPr>
        <w:tc>
          <w:tcPr>
            <w:tcW w:w="3690" w:type="dxa"/>
            <w:gridSpan w:val="6"/>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29746DD1" w14:textId="77777777" w:rsidR="00FB0A3F" w:rsidRDefault="00000000">
            <w:pPr>
              <w:spacing w:before="100" w:after="100"/>
              <w:ind w:left="100" w:right="100"/>
              <w:jc w:val="center"/>
            </w:pPr>
            <w:r>
              <w:rPr>
                <w:rFonts w:ascii="Helvetica" w:eastAsia="Helvetica" w:hAnsi="Helvetica" w:cs="Helvetica"/>
                <w:color w:val="000000"/>
                <w:sz w:val="18"/>
                <w:szCs w:val="18"/>
              </w:rPr>
              <w:t>Catch</w:t>
            </w:r>
          </w:p>
        </w:tc>
        <w:tc>
          <w:tcPr>
            <w:tcW w:w="5372" w:type="dxa"/>
            <w:gridSpan w:val="3"/>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72A5C390" w14:textId="412CEC80" w:rsidR="00FB0A3F" w:rsidRDefault="00192026">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Standardised CPUE Performance Indicators (% change)</w:t>
            </w:r>
          </w:p>
        </w:tc>
      </w:tr>
      <w:tr w:rsidR="00FB0A3F" w14:paraId="15AC24F0" w14:textId="77777777">
        <w:trPr>
          <w:cantSplit/>
          <w:trHeight w:val="507"/>
          <w:tblHeader/>
          <w:jc w:val="center"/>
        </w:trPr>
        <w:tc>
          <w:tcPr>
            <w:tcW w:w="1275" w:type="dxa"/>
            <w:gridSpan w:val="2"/>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7A1620A9" w14:textId="58DFB0E1" w:rsidR="00FB0A3F" w:rsidRDefault="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2023/24</w:t>
            </w:r>
          </w:p>
        </w:tc>
        <w:tc>
          <w:tcPr>
            <w:tcW w:w="241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DEFEFED" w14:textId="77777777" w:rsidR="00FB0A3F" w:rsidRDefault="00000000">
            <w:pPr>
              <w:spacing w:before="100" w:after="100"/>
              <w:ind w:left="100" w:right="100"/>
              <w:jc w:val="center"/>
            </w:pPr>
            <w:r>
              <w:rPr>
                <w:rFonts w:ascii="Helvetica" w:eastAsia="Helvetica" w:hAnsi="Helvetica" w:cs="Helvetica"/>
                <w:color w:val="000000"/>
                <w:sz w:val="18"/>
                <w:szCs w:val="18"/>
              </w:rPr>
              <w:t>OT + carryover* (t)</w:t>
            </w: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8D42CBE" w14:textId="77777777" w:rsidR="00FB0A3F" w:rsidRDefault="00000000">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Long-term</w:t>
            </w:r>
          </w:p>
        </w:tc>
        <w:tc>
          <w:tcPr>
            <w:tcW w:w="179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EC5401A" w14:textId="77777777" w:rsidR="00FB0A3F" w:rsidRDefault="00000000">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Short-term</w:t>
            </w:r>
          </w:p>
        </w:tc>
        <w:tc>
          <w:tcPr>
            <w:tcW w:w="179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038FF6F" w14:textId="77777777" w:rsidR="00FB0A3F" w:rsidRDefault="00000000">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Last 4 years</w:t>
            </w:r>
          </w:p>
        </w:tc>
      </w:tr>
      <w:tr w:rsidR="00FF2F21" w14:paraId="40A7B6E2" w14:textId="77777777">
        <w:trPr>
          <w:cantSplit/>
          <w:trHeight w:val="218"/>
          <w:tblHeader/>
          <w:jc w:val="center"/>
        </w:trPr>
        <w:tc>
          <w:tcPr>
            <w:tcW w:w="703"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811B5FA" w14:textId="77777777" w:rsidR="00FF2F21" w:rsidRDefault="00FF2F21" w:rsidP="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(t)</w:t>
            </w:r>
          </w:p>
        </w:tc>
        <w:tc>
          <w:tcPr>
            <w:tcW w:w="572"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A7EE06F" w14:textId="77777777" w:rsidR="00FF2F21" w:rsidRDefault="00FF2F21" w:rsidP="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w:t>
            </w: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074C708" w14:textId="630D58BC" w:rsidR="00FF2F21" w:rsidRDefault="00FF2F21" w:rsidP="00FF2F21">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22/23</w:t>
            </w:r>
          </w:p>
        </w:tc>
        <w:tc>
          <w:tcPr>
            <w:tcW w:w="84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B046D65" w14:textId="5C0C5FCF" w:rsidR="00FF2F21" w:rsidRDefault="00FF2F21" w:rsidP="00FF2F21">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23/24</w:t>
            </w:r>
          </w:p>
        </w:tc>
        <w:tc>
          <w:tcPr>
            <w:tcW w:w="845"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73E5C6AE" w14:textId="49B7BFDA" w:rsidR="00FF2F21" w:rsidRDefault="00FF2F21" w:rsidP="00FF2F21">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24/25</w:t>
            </w: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103FF51" w14:textId="3875EBC2" w:rsidR="00FF2F21" w:rsidRDefault="00FF2F21" w:rsidP="00FF2F21">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2003/04 – 2023/24</w:t>
            </w:r>
          </w:p>
        </w:tc>
        <w:tc>
          <w:tcPr>
            <w:tcW w:w="179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16694E1" w14:textId="6AD7AF71" w:rsidR="00FF2F21" w:rsidRDefault="00FF2F21" w:rsidP="00FF2F21">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2009/10 – 2023/24</w:t>
            </w:r>
          </w:p>
        </w:tc>
        <w:tc>
          <w:tcPr>
            <w:tcW w:w="179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76A3608" w14:textId="11EE438F" w:rsidR="00FF2F21" w:rsidRDefault="00FF2F21" w:rsidP="00FF2F21">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2020/21 – 2023/24</w:t>
            </w:r>
          </w:p>
        </w:tc>
      </w:tr>
      <w:tr w:rsidR="00FF2F21" w14:paraId="034766C2" w14:textId="77777777">
        <w:trPr>
          <w:cantSplit/>
          <w:trHeight w:val="123"/>
          <w:jc w:val="center"/>
        </w:trPr>
        <w:tc>
          <w:tcPr>
            <w:tcW w:w="703"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7D1FDE2E" w14:textId="6FC0E4FF" w:rsidR="00FF2F21" w:rsidRDefault="00FF2F21" w:rsidP="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1</w:t>
            </w:r>
            <w:r w:rsidR="008D0E2D">
              <w:rPr>
                <w:rFonts w:ascii="Helvetica" w:eastAsia="Helvetica" w:hAnsi="Helvetica" w:cs="Helvetica"/>
                <w:color w:val="000000"/>
                <w:sz w:val="18"/>
                <w:szCs w:val="18"/>
              </w:rPr>
              <w:t>1.6</w:t>
            </w:r>
          </w:p>
        </w:tc>
        <w:tc>
          <w:tcPr>
            <w:tcW w:w="572"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4A9B81FF" w14:textId="1CEAF887" w:rsidR="00FF2F21" w:rsidRDefault="00FF2F21" w:rsidP="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5.</w:t>
            </w:r>
            <w:r w:rsidR="008D0E2D">
              <w:rPr>
                <w:rFonts w:ascii="Helvetica" w:eastAsia="Helvetica" w:hAnsi="Helvetica" w:cs="Helvetica"/>
                <w:color w:val="000000"/>
                <w:sz w:val="18"/>
                <w:szCs w:val="18"/>
              </w:rPr>
              <w:t>2</w:t>
            </w:r>
          </w:p>
        </w:tc>
        <w:tc>
          <w:tcPr>
            <w:tcW w:w="724"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AD6F412" w14:textId="44135090" w:rsidR="00FF2F21" w:rsidRDefault="00FF2F21" w:rsidP="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11.8*</w:t>
            </w:r>
          </w:p>
        </w:tc>
        <w:tc>
          <w:tcPr>
            <w:tcW w:w="846" w:type="dxa"/>
            <w:tcBorders>
              <w:left w:val="single" w:sz="8" w:space="0" w:color="000000"/>
              <w:bottom w:val="single" w:sz="8" w:space="0" w:color="000000"/>
              <w:right w:val="single" w:sz="8" w:space="0" w:color="000000"/>
            </w:tcBorders>
            <w:shd w:val="clear" w:color="auto" w:fill="auto"/>
          </w:tcPr>
          <w:p w14:paraId="335E279D" w14:textId="340680B3" w:rsidR="00FF2F21" w:rsidRDefault="00FF2F21" w:rsidP="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10.3*</w:t>
            </w:r>
          </w:p>
        </w:tc>
        <w:tc>
          <w:tcPr>
            <w:tcW w:w="845" w:type="dxa"/>
            <w:gridSpan w:val="2"/>
            <w:tcBorders>
              <w:left w:val="single" w:sz="8" w:space="0" w:color="000000"/>
              <w:bottom w:val="single" w:sz="8" w:space="0" w:color="000000"/>
              <w:right w:val="single" w:sz="8" w:space="0" w:color="000000"/>
            </w:tcBorders>
            <w:shd w:val="clear" w:color="auto" w:fill="auto"/>
          </w:tcPr>
          <w:p w14:paraId="3E227A0B" w14:textId="5A3E75E6" w:rsidR="00FF2F21" w:rsidRDefault="009C295D" w:rsidP="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9.3</w:t>
            </w: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BB0C0D3" w14:textId="5A4E8ABE" w:rsidR="00FF2F21" w:rsidRPr="00192026" w:rsidRDefault="00FF2F21" w:rsidP="00FF2F21">
            <w:pPr>
              <w:spacing w:before="100" w:after="100"/>
              <w:ind w:left="100" w:right="100"/>
              <w:jc w:val="center"/>
              <w:rPr>
                <w:rFonts w:ascii="Helvetica" w:eastAsia="Helvetica" w:hAnsi="Helvetica" w:cs="Helvetica"/>
                <w:color w:val="000000" w:themeColor="text1"/>
                <w:sz w:val="18"/>
                <w:szCs w:val="18"/>
              </w:rPr>
            </w:pPr>
            <w:r w:rsidRPr="00192026">
              <w:rPr>
                <w:rFonts w:ascii="Helvetica" w:eastAsia="Arial" w:hAnsi="Helvetica" w:cs="Helvetica"/>
                <w:color w:val="000000" w:themeColor="text1"/>
                <w:sz w:val="18"/>
                <w:szCs w:val="18"/>
              </w:rPr>
              <w:t>-2</w:t>
            </w:r>
            <w:r w:rsidR="00192026">
              <w:rPr>
                <w:rFonts w:ascii="Helvetica" w:eastAsia="Arial" w:hAnsi="Helvetica" w:cs="Helvetica"/>
                <w:color w:val="000000" w:themeColor="text1"/>
                <w:sz w:val="18"/>
                <w:szCs w:val="18"/>
              </w:rPr>
              <w:t>6</w:t>
            </w:r>
          </w:p>
        </w:tc>
        <w:tc>
          <w:tcPr>
            <w:tcW w:w="179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6E24DC5" w14:textId="297C2F50" w:rsidR="00FF2F21" w:rsidRPr="00192026" w:rsidRDefault="00FF2F21" w:rsidP="00FF2F21">
            <w:pPr>
              <w:spacing w:before="100" w:after="100"/>
              <w:ind w:left="100" w:right="100"/>
              <w:jc w:val="center"/>
              <w:rPr>
                <w:rFonts w:ascii="Helvetica" w:eastAsia="Helvetica" w:hAnsi="Helvetica" w:cs="Helvetica"/>
                <w:color w:val="000000" w:themeColor="text1"/>
                <w:sz w:val="18"/>
                <w:szCs w:val="18"/>
              </w:rPr>
            </w:pPr>
            <w:r w:rsidRPr="00192026">
              <w:rPr>
                <w:rFonts w:ascii="Helvetica" w:eastAsia="Arial" w:hAnsi="Helvetica" w:cs="Helvetica"/>
                <w:color w:val="000000" w:themeColor="text1"/>
                <w:sz w:val="18"/>
                <w:szCs w:val="18"/>
              </w:rPr>
              <w:t>-</w:t>
            </w:r>
            <w:r w:rsidR="00192026">
              <w:rPr>
                <w:rFonts w:ascii="Helvetica" w:eastAsia="Arial" w:hAnsi="Helvetica" w:cs="Helvetica"/>
                <w:color w:val="000000" w:themeColor="text1"/>
                <w:sz w:val="18"/>
                <w:szCs w:val="18"/>
              </w:rPr>
              <w:t>12</w:t>
            </w:r>
          </w:p>
        </w:tc>
        <w:tc>
          <w:tcPr>
            <w:tcW w:w="1791" w:type="dxa"/>
            <w:tcBorders>
              <w:top w:val="single" w:sz="8" w:space="0" w:color="000000"/>
              <w:left w:val="single" w:sz="8" w:space="0" w:color="000000"/>
              <w:bottom w:val="single" w:sz="8" w:space="0" w:color="000000"/>
              <w:right w:val="single" w:sz="8" w:space="0" w:color="000000"/>
            </w:tcBorders>
            <w:shd w:val="clear" w:color="auto" w:fill="FFFFFF"/>
          </w:tcPr>
          <w:p w14:paraId="42CE66B8" w14:textId="77777777" w:rsidR="00FF2F21" w:rsidRPr="00192026" w:rsidRDefault="00FF2F21" w:rsidP="00FF2F21">
            <w:pPr>
              <w:spacing w:before="100" w:after="100"/>
              <w:ind w:left="100" w:right="100"/>
              <w:jc w:val="center"/>
              <w:rPr>
                <w:rFonts w:ascii="Helvetica" w:eastAsia="Helvetica" w:hAnsi="Helvetica" w:cs="Helvetica"/>
                <w:color w:val="000000" w:themeColor="text1"/>
                <w:sz w:val="18"/>
                <w:szCs w:val="18"/>
              </w:rPr>
            </w:pPr>
            <w:r w:rsidRPr="00192026">
              <w:rPr>
                <w:rFonts w:ascii="Helvetica" w:eastAsia="Arial" w:hAnsi="Helvetica" w:cs="Helvetica"/>
                <w:color w:val="000000" w:themeColor="text1"/>
                <w:sz w:val="18"/>
                <w:szCs w:val="18"/>
              </w:rPr>
              <w:t>8</w:t>
            </w:r>
          </w:p>
        </w:tc>
      </w:tr>
      <w:tr w:rsidR="00FB0A3F" w14:paraId="235D1A16" w14:textId="77777777" w:rsidTr="00947B63">
        <w:trPr>
          <w:cantSplit/>
          <w:jc w:val="center"/>
        </w:trPr>
        <w:tc>
          <w:tcPr>
            <w:tcW w:w="3676" w:type="dxa"/>
            <w:gridSpan w:val="5"/>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653DBFA5" w14:textId="1F247940" w:rsidR="00FB0A3F" w:rsidRDefault="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LML 2023/24 = 110/115 mm</w:t>
            </w:r>
          </w:p>
        </w:tc>
        <w:tc>
          <w:tcPr>
            <w:tcW w:w="5386" w:type="dxa"/>
            <w:gridSpan w:val="4"/>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0CEE0C5E" w14:textId="7E048E0B" w:rsidR="00FB0A3F" w:rsidRDefault="0001483C">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Mean daily catch 2023/24 (nominal) = 3</w:t>
            </w:r>
            <w:r w:rsidR="00947B63">
              <w:rPr>
                <w:rFonts w:ascii="Helvetica" w:eastAsia="Helvetica" w:hAnsi="Helvetica" w:cs="Helvetica"/>
                <w:color w:val="000000"/>
                <w:sz w:val="18"/>
                <w:szCs w:val="18"/>
              </w:rPr>
              <w:t>34</w:t>
            </w:r>
            <w:r>
              <w:rPr>
                <w:rFonts w:ascii="Helvetica" w:eastAsia="Helvetica" w:hAnsi="Helvetica" w:cs="Helvetica"/>
                <w:color w:val="000000"/>
                <w:sz w:val="18"/>
                <w:szCs w:val="18"/>
              </w:rPr>
              <w:t xml:space="preserve"> kg</w:t>
            </w:r>
          </w:p>
        </w:tc>
      </w:tr>
    </w:tbl>
    <w:p w14:paraId="45BE90B7" w14:textId="77777777" w:rsidR="00FB0A3F" w:rsidRDefault="00000000">
      <w:r>
        <w:t>The Kilcunda SMU has an average catch of 19 t since 1992 with a peak catch of 46 t taken during 2001 (Figure 32). Catch history appears to have two distinct periods, with catches ranging from 20-46 t from 1992 to 2003 (average 30 t), then from 2004 to 2022 catches ranged from 4-19 t (average 12 t). Current catches are around the average level harvested since 2003.</w:t>
      </w:r>
    </w:p>
    <w:p w14:paraId="3AC28456" w14:textId="0419B5A9" w:rsidR="00FB0A3F" w:rsidRDefault="00AF21D9">
      <w:r>
        <w:t xml:space="preserve">Standardised CPUE generally declined slowly from 2003 to 2015, was stable until 2019 and has increased thereafter (Figure 32). </w:t>
      </w:r>
    </w:p>
    <w:p w14:paraId="535BB880" w14:textId="136DC145" w:rsidR="00FB0A3F" w:rsidRDefault="00AF21D9">
      <w:pPr>
        <w:jc w:val="center"/>
      </w:pPr>
      <w:r>
        <w:rPr>
          <w:noProof/>
        </w:rPr>
        <w:lastRenderedPageBreak/>
        <w:drawing>
          <wp:inline distT="0" distB="0" distL="0" distR="0" wp14:anchorId="749C2C2F" wp14:editId="26580927">
            <wp:extent cx="5727700" cy="3579495"/>
            <wp:effectExtent l="0" t="0" r="0" b="0"/>
            <wp:docPr id="151" name="Picture" descr="Figure 28: Kilcunda SMU catch, and CPUE (nominal and standardised) from 1992/93 – 2022/23. Catch = bars, nominal CPUE = grey series (+/- SE), standardised series = black. Numbers in bars indicate changes to LMLs. MPs = introduction of Marine Parks."/>
            <wp:cNvGraphicFramePr/>
            <a:graphic xmlns:a="http://schemas.openxmlformats.org/drawingml/2006/main">
              <a:graphicData uri="http://schemas.openxmlformats.org/drawingml/2006/picture">
                <pic:pic xmlns:pic="http://schemas.openxmlformats.org/drawingml/2006/picture">
                  <pic:nvPicPr>
                    <pic:cNvPr id="151" name="Picture" descr="Figure 28: Kilcunda SMU catch, and CPUE (nominal and standardised) from 1992/93 – 2022/23. Catch = bars, nominal CPUE = grey series (+/- SE), standardised series = black. Numbers in bars indicate changes to LMLs. MPs = introduction of Marine Parks."/>
                    <pic:cNvPicPr/>
                  </pic:nvPicPr>
                  <pic:blipFill>
                    <a:blip r:embed="rId55"/>
                    <a:stretch>
                      <a:fillRect/>
                    </a:stretch>
                  </pic:blipFill>
                  <pic:spPr bwMode="auto">
                    <a:xfrm>
                      <a:off x="0" y="0"/>
                      <a:ext cx="5727700" cy="3579495"/>
                    </a:xfrm>
                    <a:prstGeom prst="rect">
                      <a:avLst/>
                    </a:prstGeom>
                    <a:noFill/>
                    <a:ln w="9525">
                      <a:noFill/>
                      <a:headEnd/>
                      <a:tailEnd/>
                    </a:ln>
                  </pic:spPr>
                </pic:pic>
              </a:graphicData>
            </a:graphic>
          </wp:inline>
        </w:drawing>
      </w:r>
    </w:p>
    <w:p w14:paraId="00C1D780" w14:textId="60DB9294" w:rsidR="00FB0A3F" w:rsidRDefault="00000000">
      <w:pPr>
        <w:pStyle w:val="Caption"/>
      </w:pPr>
      <w:bookmarkStart w:id="287" w:name="_Toc192777297"/>
      <w:r w:rsidRPr="00495804">
        <w:t xml:space="preserve">Figure 32: Kilcunda SMU catch, and CPUE (nominal and standardised) from 1992/1993 – </w:t>
      </w:r>
      <w:r w:rsidR="00D2115A" w:rsidRPr="00495804">
        <w:t xml:space="preserve">2023/24. </w:t>
      </w:r>
      <w:r w:rsidR="00495804" w:rsidRPr="00495804">
        <w:t>Nominal annual = grey series (+/- SE), standardised annual = solid black, standardised quarterly = dashed black</w:t>
      </w:r>
      <w:r w:rsidRPr="00495804">
        <w:t>. Numbers indicate changes to LMLs. MPs = introduction of Marine Parks.</w:t>
      </w:r>
      <w:bookmarkEnd w:id="287"/>
    </w:p>
    <w:p w14:paraId="27750A8A" w14:textId="217A659E" w:rsidR="00FB0A3F" w:rsidRDefault="009B5E24">
      <w:r>
        <w:t>Standardised mean daily catch generally declined from 2003 to 2013 and has marginally increased thereafter (Figure 33). Nominal mean daily catch was 334 kg/day in 2023/24.</w:t>
      </w:r>
    </w:p>
    <w:p w14:paraId="50221D16" w14:textId="03ED5CFD" w:rsidR="00FB0A3F" w:rsidRDefault="00AF21D9" w:rsidP="008D0E2D">
      <w:pPr>
        <w:jc w:val="center"/>
      </w:pPr>
      <w:r>
        <w:rPr>
          <w:noProof/>
        </w:rPr>
        <w:drawing>
          <wp:inline distT="0" distB="0" distL="0" distR="0" wp14:anchorId="441500C5" wp14:editId="0B06DDDF">
            <wp:extent cx="5727700" cy="3579495"/>
            <wp:effectExtent l="0" t="0" r="0" b="0"/>
            <wp:docPr id="148" name="Picture" descr="A graph of a graph with lines and numb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48" name="Picture" descr="A graph of a graph with lines and numbers&#10;&#10;Description automatically generated with medium confidence"/>
                    <pic:cNvPicPr/>
                  </pic:nvPicPr>
                  <pic:blipFill>
                    <a:blip r:embed="rId56"/>
                    <a:stretch>
                      <a:fillRect/>
                    </a:stretch>
                  </pic:blipFill>
                  <pic:spPr bwMode="auto">
                    <a:xfrm>
                      <a:off x="0" y="0"/>
                      <a:ext cx="5727700" cy="3579495"/>
                    </a:xfrm>
                    <a:prstGeom prst="rect">
                      <a:avLst/>
                    </a:prstGeom>
                    <a:noFill/>
                    <a:ln w="9525">
                      <a:noFill/>
                      <a:headEnd/>
                      <a:tailEnd/>
                    </a:ln>
                  </pic:spPr>
                </pic:pic>
              </a:graphicData>
            </a:graphic>
          </wp:inline>
        </w:drawing>
      </w:r>
    </w:p>
    <w:p w14:paraId="47C2A8E0" w14:textId="234F297E" w:rsidR="00FB0A3F" w:rsidRDefault="00000000">
      <w:pPr>
        <w:pStyle w:val="Caption"/>
      </w:pPr>
      <w:r>
        <w:t xml:space="preserve"> </w:t>
      </w:r>
      <w:bookmarkStart w:id="288" w:name="_Toc192777298"/>
      <w:r>
        <w:t xml:space="preserve">Figure 33: Total catch and mean daily catch for the Kilcunda </w:t>
      </w:r>
      <w:r w:rsidR="008D0E2D">
        <w:t>SMU from 2003 to 2023</w:t>
      </w:r>
      <w:r>
        <w:t xml:space="preserve">. </w:t>
      </w:r>
      <w:r w:rsidR="00495804" w:rsidRPr="00495804">
        <w:t>Nominal annual = grey series (+/- SE), standardised annual = solid black, standardised quarterly = dashed black</w:t>
      </w:r>
      <w:r w:rsidR="00495804">
        <w:t>.</w:t>
      </w:r>
      <w:bookmarkEnd w:id="288"/>
    </w:p>
    <w:p w14:paraId="11D56D4C" w14:textId="7AC38462" w:rsidR="00FB0A3F" w:rsidRDefault="00000000">
      <w:pPr>
        <w:pStyle w:val="TableCaption"/>
      </w:pPr>
      <w:bookmarkStart w:id="289" w:name="_Toc192762289"/>
      <w:r>
        <w:lastRenderedPageBreak/>
        <w:t xml:space="preserve">Table </w:t>
      </w:r>
      <w:r w:rsidR="001A6F5B">
        <w:t>21</w:t>
      </w:r>
      <w:r>
        <w:t xml:space="preserve">: Catches (kg) by </w:t>
      </w:r>
      <w:proofErr w:type="spellStart"/>
      <w:r>
        <w:t>reefcode</w:t>
      </w:r>
      <w:proofErr w:type="spellEnd"/>
      <w:r>
        <w:t xml:space="preserve"> for the Kilcunda SMU </w:t>
      </w:r>
      <w:r w:rsidR="003E07DE">
        <w:t xml:space="preserve">from 2018/19 to 2023/24 and the </w:t>
      </w:r>
      <w:r w:rsidR="008E6717">
        <w:t>5</w:t>
      </w:r>
      <w:r w:rsidR="003E07DE">
        <w:t>-year average catch from 2018/19 to 2022/23</w:t>
      </w:r>
      <w:r>
        <w:t>.</w:t>
      </w:r>
      <w:bookmarkEnd w:id="289"/>
    </w:p>
    <w:p w14:paraId="43CEC0DF" w14:textId="43FC93A6" w:rsidR="00FB0A3F" w:rsidRDefault="00BE07ED">
      <w:pPr>
        <w:jc w:val="center"/>
      </w:pPr>
      <w:r w:rsidRPr="00BE07ED">
        <w:rPr>
          <w:noProof/>
        </w:rPr>
        <w:drawing>
          <wp:inline distT="0" distB="0" distL="0" distR="0" wp14:anchorId="4BB92617" wp14:editId="59C6D04C">
            <wp:extent cx="4290060" cy="1216792"/>
            <wp:effectExtent l="0" t="0" r="0" b="2540"/>
            <wp:docPr id="1298940829" name="Picture 1"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940829" name="Picture 1" descr="A screenshot of a table&#10;&#10;Description automatically generated"/>
                    <pic:cNvPicPr/>
                  </pic:nvPicPr>
                  <pic:blipFill>
                    <a:blip r:embed="rId57"/>
                    <a:stretch>
                      <a:fillRect/>
                    </a:stretch>
                  </pic:blipFill>
                  <pic:spPr>
                    <a:xfrm>
                      <a:off x="0" y="0"/>
                      <a:ext cx="4310247" cy="1222518"/>
                    </a:xfrm>
                    <a:prstGeom prst="rect">
                      <a:avLst/>
                    </a:prstGeom>
                  </pic:spPr>
                </pic:pic>
              </a:graphicData>
            </a:graphic>
          </wp:inline>
        </w:drawing>
      </w:r>
    </w:p>
    <w:p w14:paraId="6DC9F0B1" w14:textId="45060BCB" w:rsidR="00FB0A3F" w:rsidRDefault="00000000">
      <w:r>
        <w:t xml:space="preserve">Of the </w:t>
      </w:r>
      <w:r w:rsidR="008E6717">
        <w:t>5</w:t>
      </w:r>
      <w:r>
        <w:t xml:space="preserve"> </w:t>
      </w:r>
      <w:proofErr w:type="spellStart"/>
      <w:r>
        <w:t>reefcodes</w:t>
      </w:r>
      <w:proofErr w:type="spellEnd"/>
      <w:r>
        <w:t xml:space="preserve"> in the Kilcunda SMU, </w:t>
      </w:r>
      <w:proofErr w:type="gramStart"/>
      <w:r>
        <w:t>the majority of</w:t>
      </w:r>
      <w:proofErr w:type="gramEnd"/>
      <w:r>
        <w:t xml:space="preserve"> catch has come from 15.01 (Table </w:t>
      </w:r>
      <w:r w:rsidR="001A6F5B">
        <w:t>21</w:t>
      </w:r>
      <w:r>
        <w:t>). In 202</w:t>
      </w:r>
      <w:r w:rsidR="008C4911">
        <w:t>3</w:t>
      </w:r>
      <w:r>
        <w:t>/2</w:t>
      </w:r>
      <w:r w:rsidR="008C4911">
        <w:t>4</w:t>
      </w:r>
      <w:r>
        <w:t xml:space="preserve">, </w:t>
      </w:r>
      <w:r w:rsidR="008C4911">
        <w:t xml:space="preserve">the catches from 15.05 were more than twice as high as any of the previous six years. </w:t>
      </w:r>
      <w:r>
        <w:t xml:space="preserve"> </w:t>
      </w:r>
    </w:p>
    <w:p w14:paraId="7723B3A7" w14:textId="77777777" w:rsidR="00FB0A3F" w:rsidRDefault="00000000">
      <w:pPr>
        <w:rPr>
          <w:i/>
          <w:iCs/>
        </w:rPr>
      </w:pPr>
      <w:r>
        <w:rPr>
          <w:i/>
          <w:iCs/>
        </w:rPr>
        <w:t>Length frequency data – commercial</w:t>
      </w:r>
    </w:p>
    <w:p w14:paraId="2FB00987" w14:textId="7CF6507F" w:rsidR="00FB0A3F" w:rsidRDefault="00000000">
      <w:r>
        <w:t>The standardised average length of abalone in the commercial catch at Kilcunda has been relatively stable over time, ranging from around 12</w:t>
      </w:r>
      <w:r w:rsidR="004E26E8">
        <w:t>3</w:t>
      </w:r>
      <w:r>
        <w:t xml:space="preserve"> to 12</w:t>
      </w:r>
      <w:r w:rsidR="004E26E8">
        <w:t>4</w:t>
      </w:r>
      <w:r>
        <w:t xml:space="preserve"> mm (Appendix </w:t>
      </w:r>
      <w:r w:rsidR="004E26E8">
        <w:t>3</w:t>
      </w:r>
      <w:r>
        <w:t>). Average size across the SMU is confounded by multiple size limits (110 and 115 mm). There was no difference in the average size when the LML was temporarily increased to 115 mm across the SMU on 1 April 2021. Raw data show similar trends to standardised data over time.</w:t>
      </w:r>
    </w:p>
    <w:p w14:paraId="0F6A3D43" w14:textId="77777777" w:rsidR="00FB0A3F" w:rsidRDefault="00000000">
      <w:r>
        <w:rPr>
          <w:i/>
          <w:iCs/>
        </w:rPr>
        <w:t>Summary</w:t>
      </w:r>
    </w:p>
    <w:p w14:paraId="79BCF62C" w14:textId="29E33BE6" w:rsidR="00FB0A3F" w:rsidRDefault="00000000">
      <w:r>
        <w:t>The Kilcunda SMU had a period of high catches from 1992 to 2003 where an average of 30 t per year was maintained, however since 2004 average catches have been less than half of this level (12 t). Whilst standardised CPUE declined from 2003 to 201</w:t>
      </w:r>
      <w:r w:rsidR="00C256DA">
        <w:t>5 before stabilising, it has slowly increased since 2019</w:t>
      </w:r>
      <w:r>
        <w:t xml:space="preserve">. Mean daily catch has been stable </w:t>
      </w:r>
      <w:r w:rsidR="00C256DA">
        <w:t>for over a decade</w:t>
      </w:r>
      <w:r>
        <w:t>. There is no FIS data for the Kilcunda SMU.</w:t>
      </w:r>
    </w:p>
    <w:p w14:paraId="613CF716" w14:textId="674EB799" w:rsidR="00FB0A3F" w:rsidRDefault="00000000">
      <w:r>
        <w:t>The standardised average length of the commercial catch has been relatively stable since 2016/17</w:t>
      </w:r>
      <w:r w:rsidR="00C256DA">
        <w:t xml:space="preserve">, although analysis of these data </w:t>
      </w:r>
      <w:proofErr w:type="gramStart"/>
      <w:r w:rsidR="00C256DA">
        <w:t>are</w:t>
      </w:r>
      <w:proofErr w:type="gramEnd"/>
      <w:r w:rsidR="00C256DA">
        <w:t xml:space="preserve"> confounded by different LMLs within the SMU</w:t>
      </w:r>
      <w:r>
        <w:t>.</w:t>
      </w:r>
    </w:p>
    <w:p w14:paraId="7ADFDFA1" w14:textId="7CAB3C87" w:rsidR="00FB0A3F" w:rsidRDefault="00000000">
      <w:r>
        <w:t>The total catch of 1</w:t>
      </w:r>
      <w:r w:rsidR="00C256DA">
        <w:t>1.6</w:t>
      </w:r>
      <w:r>
        <w:t xml:space="preserve"> t was 1.</w:t>
      </w:r>
      <w:r w:rsidR="00C256DA">
        <w:t>3</w:t>
      </w:r>
      <w:r>
        <w:t xml:space="preserve"> t above the OT with carryover (1</w:t>
      </w:r>
      <w:r w:rsidR="00C256DA">
        <w:t>0.3</w:t>
      </w:r>
      <w:r>
        <w:t xml:space="preserve"> t). Mean CPUE (6</w:t>
      </w:r>
      <w:r w:rsidR="00C256DA">
        <w:t>4.9</w:t>
      </w:r>
      <w:r>
        <w:t xml:space="preserve"> kg/h) was </w:t>
      </w:r>
      <w:r w:rsidR="00C256DA">
        <w:t xml:space="preserve">above </w:t>
      </w:r>
      <w:r>
        <w:t>the Threshold (</w:t>
      </w:r>
      <w:r w:rsidR="00C256DA">
        <w:t>6</w:t>
      </w:r>
      <w:r>
        <w:t xml:space="preserve">0 kg/h). The Primary </w:t>
      </w:r>
      <w:r w:rsidR="00C256DA">
        <w:t xml:space="preserve">and Secondary </w:t>
      </w:r>
      <w:r>
        <w:t>Indicator</w:t>
      </w:r>
      <w:r w:rsidR="00C256DA">
        <w:t xml:space="preserve">s were </w:t>
      </w:r>
      <w:r>
        <w:t xml:space="preserve">Stable, resulting in a </w:t>
      </w:r>
      <w:r w:rsidR="00C256DA">
        <w:t xml:space="preserve">Stable </w:t>
      </w:r>
      <w:r>
        <w:t>Final Category. The 202</w:t>
      </w:r>
      <w:r w:rsidR="00C256DA">
        <w:t>4</w:t>
      </w:r>
      <w:r>
        <w:t>/2</w:t>
      </w:r>
      <w:r w:rsidR="00C256DA">
        <w:t>5</w:t>
      </w:r>
      <w:r>
        <w:t xml:space="preserve"> OT was reduced to </w:t>
      </w:r>
      <w:r w:rsidR="00C256DA">
        <w:t>9</w:t>
      </w:r>
      <w:r>
        <w:t xml:space="preserve">.3 t, with a resulting suggested OT of </w:t>
      </w:r>
      <w:r w:rsidR="00C256DA">
        <w:t xml:space="preserve">8.8 </w:t>
      </w:r>
      <w:r>
        <w:t xml:space="preserve">to </w:t>
      </w:r>
      <w:r w:rsidR="00C256DA">
        <w:t>9</w:t>
      </w:r>
      <w:r>
        <w:t xml:space="preserve">.8 t. </w:t>
      </w:r>
    </w:p>
    <w:p w14:paraId="79931F1E" w14:textId="3C49F1BA" w:rsidR="00FB0A3F" w:rsidRDefault="00000000">
      <w:pPr>
        <w:rPr>
          <w:b/>
          <w:bCs/>
        </w:rPr>
      </w:pPr>
      <w:bookmarkStart w:id="290" w:name="_Hlk192775951"/>
      <w:r>
        <w:rPr>
          <w:b/>
          <w:bCs/>
        </w:rPr>
        <w:t xml:space="preserve">The indicators for CPUE, mean daily catch and average commercial length have all been relatively stable in recent years. </w:t>
      </w:r>
      <w:r w:rsidR="00C256DA">
        <w:rPr>
          <w:b/>
          <w:bCs/>
        </w:rPr>
        <w:t xml:space="preserve">It is noted that the OTs for this SMU have been reduced in recent years </w:t>
      </w:r>
      <w:r w:rsidR="0010413D">
        <w:rPr>
          <w:b/>
          <w:bCs/>
        </w:rPr>
        <w:t>from 11.8 to 9.3 t</w:t>
      </w:r>
      <w:r w:rsidR="00C256DA">
        <w:rPr>
          <w:b/>
          <w:bCs/>
        </w:rPr>
        <w:t xml:space="preserve">. </w:t>
      </w:r>
      <w:r>
        <w:rPr>
          <w:b/>
          <w:bCs/>
        </w:rPr>
        <w:t xml:space="preserve">The Draft Harvest Strategy suggests a </w:t>
      </w:r>
      <w:r w:rsidR="0010413D">
        <w:rPr>
          <w:b/>
          <w:bCs/>
        </w:rPr>
        <w:t xml:space="preserve">stable </w:t>
      </w:r>
      <w:r>
        <w:rPr>
          <w:b/>
          <w:bCs/>
        </w:rPr>
        <w:t>OT</w:t>
      </w:r>
      <w:r w:rsidR="0010413D">
        <w:rPr>
          <w:b/>
          <w:bCs/>
        </w:rPr>
        <w:t xml:space="preserve">, and this appears to be </w:t>
      </w:r>
      <w:r>
        <w:rPr>
          <w:b/>
          <w:bCs/>
        </w:rPr>
        <w:t>an appropriate strategy.</w:t>
      </w:r>
      <w:bookmarkEnd w:id="290"/>
      <w:r>
        <w:rPr>
          <w:b/>
          <w:bCs/>
        </w:rPr>
        <w:t xml:space="preserve"> </w:t>
      </w:r>
    </w:p>
    <w:p w14:paraId="1C1DB704" w14:textId="7BCB3027" w:rsidR="00FB0A3F" w:rsidRDefault="00FB0A3F">
      <w:pPr>
        <w:spacing w:before="0" w:after="160" w:line="259" w:lineRule="auto"/>
        <w:rPr>
          <w:b/>
          <w:bCs/>
        </w:rPr>
      </w:pPr>
    </w:p>
    <w:p w14:paraId="41D4DFC7" w14:textId="77777777" w:rsidR="00D9781F" w:rsidRDefault="00D9781F">
      <w:pPr>
        <w:spacing w:before="0" w:after="0"/>
        <w:rPr>
          <w:rFonts w:asciiTheme="majorHAnsi" w:eastAsiaTheme="majorEastAsia" w:hAnsiTheme="majorHAnsi" w:cstheme="majorBidi"/>
          <w:color w:val="1F4E79" w:themeColor="accent1" w:themeShade="80"/>
          <w:sz w:val="24"/>
          <w:szCs w:val="24"/>
          <w:lang w:val="en-US"/>
        </w:rPr>
      </w:pPr>
      <w:bookmarkStart w:id="291" w:name="_Toc98408346"/>
      <w:r>
        <w:br w:type="page"/>
      </w:r>
    </w:p>
    <w:p w14:paraId="3B02C455" w14:textId="0A719103" w:rsidR="00FB0A3F" w:rsidRDefault="00000000">
      <w:pPr>
        <w:pStyle w:val="Heading3"/>
        <w:numPr>
          <w:ilvl w:val="2"/>
          <w:numId w:val="9"/>
        </w:numPr>
        <w:ind w:left="720" w:hanging="720"/>
      </w:pPr>
      <w:bookmarkStart w:id="292" w:name="_Toc192777237"/>
      <w:r>
        <w:lastRenderedPageBreak/>
        <w:t>Cape Liptrap</w:t>
      </w:r>
      <w:bookmarkEnd w:id="291"/>
      <w:r>
        <w:t xml:space="preserve"> (Small SMU)</w:t>
      </w:r>
      <w:bookmarkEnd w:id="292"/>
    </w:p>
    <w:p w14:paraId="7432CD56" w14:textId="2A24A4F6" w:rsidR="00FB0A3F" w:rsidRDefault="00000000">
      <w:r>
        <w:t xml:space="preserve">The Cape Liptrap SMU catch was </w:t>
      </w:r>
      <w:r w:rsidR="008D0E2D">
        <w:t>8.9</w:t>
      </w:r>
      <w:r>
        <w:t xml:space="preserve"> t in 202</w:t>
      </w:r>
      <w:r w:rsidR="008D0E2D">
        <w:t>3</w:t>
      </w:r>
      <w:r>
        <w:t>/2</w:t>
      </w:r>
      <w:r w:rsidR="008D0E2D">
        <w:t>4</w:t>
      </w:r>
      <w:r>
        <w:t xml:space="preserve"> and represented 4.0% of the total catch (Table 22) and TACC (Table </w:t>
      </w:r>
      <w:r w:rsidR="008D0E2D">
        <w:t>3</w:t>
      </w:r>
      <w:r>
        <w:t xml:space="preserve">). </w:t>
      </w:r>
      <w:r w:rsidR="008D0E2D">
        <w:t xml:space="preserve">The catch was 0.5 t below the OT which included carryover (1 t). </w:t>
      </w:r>
      <w:r w:rsidR="00192026">
        <w:rPr>
          <w:rFonts w:ascii="Helvetica" w:eastAsia="Helvetica" w:hAnsi="Helvetica" w:cs="Helvetica"/>
          <w:color w:val="000000"/>
          <w:sz w:val="18"/>
          <w:szCs w:val="18"/>
        </w:rPr>
        <w:t>Standardised</w:t>
      </w:r>
      <w:r w:rsidR="00192026">
        <w:t xml:space="preserve"> </w:t>
      </w:r>
      <w:r>
        <w:t xml:space="preserve">CPUE has declined by </w:t>
      </w:r>
      <w:r w:rsidR="00192026">
        <w:t>25</w:t>
      </w:r>
      <w:r>
        <w:t xml:space="preserve">% </w:t>
      </w:r>
      <w:r w:rsidR="00192026">
        <w:t xml:space="preserve">in the long term and 17% in the short term but has increased by 15% in the last </w:t>
      </w:r>
      <w:r w:rsidR="00AC25C3">
        <w:t>4</w:t>
      </w:r>
      <w:r w:rsidR="00192026">
        <w:t xml:space="preserve"> years. </w:t>
      </w:r>
    </w:p>
    <w:p w14:paraId="5BFC61FD" w14:textId="7E800EF6" w:rsidR="00FB0A3F" w:rsidRDefault="00000000">
      <w:pPr>
        <w:pStyle w:val="TableCaption"/>
      </w:pPr>
      <w:bookmarkStart w:id="293" w:name="_Toc192762290"/>
      <w:r>
        <w:t>Table 2</w:t>
      </w:r>
      <w:r w:rsidR="001A6F5B">
        <w:t>2</w:t>
      </w:r>
      <w:r>
        <w:t>: Summary of Catch, Optimal targets and CPUE performance indicators for the Cape Liptrap SMU. The LML and mean daily catch are also shown.</w:t>
      </w:r>
      <w:bookmarkEnd w:id="293"/>
      <w:r>
        <w:t xml:space="preserve"> </w:t>
      </w:r>
    </w:p>
    <w:tbl>
      <w:tblPr>
        <w:tblW w:w="9062" w:type="dxa"/>
        <w:jc w:val="center"/>
        <w:tblLayout w:type="fixed"/>
        <w:tblLook w:val="04A0" w:firstRow="1" w:lastRow="0" w:firstColumn="1" w:lastColumn="0" w:noHBand="0" w:noVBand="1"/>
      </w:tblPr>
      <w:tblGrid>
        <w:gridCol w:w="703"/>
        <w:gridCol w:w="572"/>
        <w:gridCol w:w="724"/>
        <w:gridCol w:w="846"/>
        <w:gridCol w:w="845"/>
        <w:gridCol w:w="14"/>
        <w:gridCol w:w="1776"/>
        <w:gridCol w:w="1791"/>
        <w:gridCol w:w="1791"/>
      </w:tblGrid>
      <w:tr w:rsidR="00FB0A3F" w14:paraId="369FB2B9" w14:textId="77777777">
        <w:trPr>
          <w:cantSplit/>
          <w:trHeight w:val="540"/>
          <w:tblHeader/>
          <w:jc w:val="center"/>
        </w:trPr>
        <w:tc>
          <w:tcPr>
            <w:tcW w:w="3690" w:type="dxa"/>
            <w:gridSpan w:val="5"/>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7C480996" w14:textId="77777777" w:rsidR="00FB0A3F" w:rsidRDefault="00000000">
            <w:pPr>
              <w:spacing w:before="100" w:after="100"/>
              <w:ind w:left="100" w:right="100"/>
              <w:jc w:val="center"/>
            </w:pPr>
            <w:r>
              <w:rPr>
                <w:rFonts w:ascii="Helvetica" w:eastAsia="Helvetica" w:hAnsi="Helvetica" w:cs="Helvetica"/>
                <w:color w:val="000000"/>
                <w:sz w:val="18"/>
                <w:szCs w:val="18"/>
              </w:rPr>
              <w:t>Catch</w:t>
            </w:r>
          </w:p>
        </w:tc>
        <w:tc>
          <w:tcPr>
            <w:tcW w:w="5372" w:type="dxa"/>
            <w:gridSpan w:val="4"/>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72A4C829" w14:textId="77777777" w:rsidR="00FB0A3F" w:rsidRDefault="00000000">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CPUE Performance Indicators</w:t>
            </w:r>
          </w:p>
        </w:tc>
      </w:tr>
      <w:tr w:rsidR="00FB0A3F" w14:paraId="5DED6C4C" w14:textId="77777777">
        <w:trPr>
          <w:cantSplit/>
          <w:trHeight w:val="507"/>
          <w:tblHeader/>
          <w:jc w:val="center"/>
        </w:trPr>
        <w:tc>
          <w:tcPr>
            <w:tcW w:w="1275" w:type="dxa"/>
            <w:gridSpan w:val="2"/>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2798375A" w14:textId="2B9CCD5C" w:rsidR="00FB0A3F" w:rsidRDefault="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2023/24</w:t>
            </w:r>
          </w:p>
        </w:tc>
        <w:tc>
          <w:tcPr>
            <w:tcW w:w="241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59050DD" w14:textId="77777777" w:rsidR="00FB0A3F" w:rsidRDefault="00000000">
            <w:pPr>
              <w:spacing w:before="100" w:after="100"/>
              <w:ind w:left="100" w:right="100"/>
              <w:jc w:val="center"/>
            </w:pPr>
            <w:r>
              <w:rPr>
                <w:rFonts w:ascii="Helvetica" w:eastAsia="Helvetica" w:hAnsi="Helvetica" w:cs="Helvetica"/>
                <w:color w:val="000000"/>
                <w:sz w:val="18"/>
                <w:szCs w:val="18"/>
              </w:rPr>
              <w:t>OT + carryover* (t)</w:t>
            </w:r>
          </w:p>
        </w:tc>
        <w:tc>
          <w:tcPr>
            <w:tcW w:w="179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C7AE79B" w14:textId="77777777" w:rsidR="00FB0A3F" w:rsidRDefault="00000000">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Long-term</w:t>
            </w:r>
          </w:p>
        </w:tc>
        <w:tc>
          <w:tcPr>
            <w:tcW w:w="179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213FD6C" w14:textId="77777777" w:rsidR="00FB0A3F" w:rsidRDefault="00000000">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Short-term</w:t>
            </w:r>
          </w:p>
        </w:tc>
        <w:tc>
          <w:tcPr>
            <w:tcW w:w="179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3EE0974" w14:textId="77777777" w:rsidR="00FB0A3F" w:rsidRDefault="00000000">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Last 4 years</w:t>
            </w:r>
          </w:p>
        </w:tc>
      </w:tr>
      <w:tr w:rsidR="00FF2F21" w14:paraId="0F431C7A" w14:textId="77777777">
        <w:trPr>
          <w:cantSplit/>
          <w:trHeight w:val="218"/>
          <w:tblHeader/>
          <w:jc w:val="center"/>
        </w:trPr>
        <w:tc>
          <w:tcPr>
            <w:tcW w:w="703"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860928C" w14:textId="77777777" w:rsidR="00FF2F21" w:rsidRDefault="00FF2F21" w:rsidP="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(t)</w:t>
            </w:r>
          </w:p>
        </w:tc>
        <w:tc>
          <w:tcPr>
            <w:tcW w:w="572"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BE2F720" w14:textId="77777777" w:rsidR="00FF2F21" w:rsidRDefault="00FF2F21" w:rsidP="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w:t>
            </w: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D2F609D" w14:textId="62AC78C8" w:rsidR="00FF2F21" w:rsidRDefault="00FF2F21" w:rsidP="00FF2F21">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22/23</w:t>
            </w:r>
          </w:p>
        </w:tc>
        <w:tc>
          <w:tcPr>
            <w:tcW w:w="84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D9A46A4" w14:textId="2E93D101" w:rsidR="00FF2F21" w:rsidRDefault="00FF2F21" w:rsidP="00FF2F21">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23/24</w:t>
            </w:r>
          </w:p>
        </w:tc>
        <w:tc>
          <w:tcPr>
            <w:tcW w:w="84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294F918" w14:textId="7BE53B31" w:rsidR="00FF2F21" w:rsidRDefault="00FF2F21" w:rsidP="00FF2F21">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24/25</w:t>
            </w:r>
          </w:p>
        </w:tc>
        <w:tc>
          <w:tcPr>
            <w:tcW w:w="179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824B655" w14:textId="6A21498D" w:rsidR="00FF2F21" w:rsidRDefault="00FF2F21" w:rsidP="00FF2F21">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2003/04 – 2023/24</w:t>
            </w:r>
          </w:p>
        </w:tc>
        <w:tc>
          <w:tcPr>
            <w:tcW w:w="179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3739F98" w14:textId="629C15DC" w:rsidR="00FF2F21" w:rsidRDefault="00FF2F21" w:rsidP="00FF2F21">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2009/10 – 2023/24</w:t>
            </w:r>
          </w:p>
        </w:tc>
        <w:tc>
          <w:tcPr>
            <w:tcW w:w="179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5BE43FE" w14:textId="1B38B0A2" w:rsidR="00FF2F21" w:rsidRDefault="00FF2F21" w:rsidP="00FF2F21">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2020/21 – 2023/24</w:t>
            </w:r>
          </w:p>
        </w:tc>
      </w:tr>
      <w:tr w:rsidR="00FF2F21" w14:paraId="712A0644" w14:textId="77777777">
        <w:trPr>
          <w:cantSplit/>
          <w:trHeight w:val="123"/>
          <w:jc w:val="center"/>
        </w:trPr>
        <w:tc>
          <w:tcPr>
            <w:tcW w:w="703"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1CA82673" w14:textId="644365B3" w:rsidR="00FF2F21" w:rsidRDefault="008D0E2D" w:rsidP="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8.9</w:t>
            </w:r>
          </w:p>
        </w:tc>
        <w:tc>
          <w:tcPr>
            <w:tcW w:w="572"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79D7D11B" w14:textId="77777777" w:rsidR="00FF2F21" w:rsidRDefault="00FF2F21" w:rsidP="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4.0</w:t>
            </w:r>
          </w:p>
        </w:tc>
        <w:tc>
          <w:tcPr>
            <w:tcW w:w="724"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77DF603" w14:textId="35028F9D" w:rsidR="00FF2F21" w:rsidRDefault="00FF2F21" w:rsidP="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12.1*</w:t>
            </w:r>
          </w:p>
        </w:tc>
        <w:tc>
          <w:tcPr>
            <w:tcW w:w="846" w:type="dxa"/>
            <w:tcBorders>
              <w:left w:val="single" w:sz="8" w:space="0" w:color="000000"/>
              <w:bottom w:val="single" w:sz="8" w:space="0" w:color="000000"/>
              <w:right w:val="single" w:sz="8" w:space="0" w:color="000000"/>
            </w:tcBorders>
            <w:shd w:val="clear" w:color="auto" w:fill="auto"/>
          </w:tcPr>
          <w:p w14:paraId="6653BF02" w14:textId="3E4C3FCB" w:rsidR="00FF2F21" w:rsidRDefault="00FF2F21" w:rsidP="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9.4*</w:t>
            </w:r>
          </w:p>
        </w:tc>
        <w:tc>
          <w:tcPr>
            <w:tcW w:w="845" w:type="dxa"/>
            <w:tcBorders>
              <w:left w:val="single" w:sz="8" w:space="0" w:color="000000"/>
              <w:bottom w:val="single" w:sz="8" w:space="0" w:color="000000"/>
              <w:right w:val="single" w:sz="8" w:space="0" w:color="000000"/>
            </w:tcBorders>
            <w:shd w:val="clear" w:color="auto" w:fill="auto"/>
          </w:tcPr>
          <w:p w14:paraId="35D39B79" w14:textId="4BE930E6" w:rsidR="00FF2F21" w:rsidRDefault="009C295D" w:rsidP="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9.4</w:t>
            </w:r>
          </w:p>
        </w:tc>
        <w:tc>
          <w:tcPr>
            <w:tcW w:w="179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2005271" w14:textId="7BF6C2F0" w:rsidR="00FF2F21" w:rsidRPr="00192026" w:rsidRDefault="00FF2F21" w:rsidP="00FF2F21">
            <w:pPr>
              <w:spacing w:before="100" w:after="100"/>
              <w:ind w:left="100" w:right="100"/>
              <w:jc w:val="center"/>
              <w:rPr>
                <w:rFonts w:ascii="Helvetica" w:eastAsia="Helvetica" w:hAnsi="Helvetica" w:cs="Helvetica"/>
                <w:color w:val="000000" w:themeColor="text1"/>
                <w:sz w:val="18"/>
                <w:szCs w:val="18"/>
              </w:rPr>
            </w:pPr>
            <w:r w:rsidRPr="00192026">
              <w:rPr>
                <w:rFonts w:ascii="Helvetica" w:eastAsia="Arial" w:hAnsi="Helvetica" w:cs="Helvetica"/>
                <w:color w:val="000000" w:themeColor="text1"/>
                <w:sz w:val="18"/>
                <w:szCs w:val="18"/>
              </w:rPr>
              <w:t>-</w:t>
            </w:r>
            <w:r w:rsidR="00192026">
              <w:rPr>
                <w:rFonts w:ascii="Helvetica" w:eastAsia="Arial" w:hAnsi="Helvetica" w:cs="Helvetica"/>
                <w:color w:val="000000" w:themeColor="text1"/>
                <w:sz w:val="18"/>
                <w:szCs w:val="18"/>
              </w:rPr>
              <w:t>25</w:t>
            </w:r>
          </w:p>
        </w:tc>
        <w:tc>
          <w:tcPr>
            <w:tcW w:w="179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1677897" w14:textId="1BE568F2" w:rsidR="00FF2F21" w:rsidRPr="00192026" w:rsidRDefault="00FF2F21" w:rsidP="00FF2F21">
            <w:pPr>
              <w:spacing w:before="100" w:after="100"/>
              <w:ind w:left="100" w:right="100"/>
              <w:jc w:val="center"/>
              <w:rPr>
                <w:rFonts w:ascii="Helvetica" w:eastAsia="Helvetica" w:hAnsi="Helvetica" w:cs="Helvetica"/>
                <w:color w:val="000000" w:themeColor="text1"/>
                <w:sz w:val="18"/>
                <w:szCs w:val="18"/>
              </w:rPr>
            </w:pPr>
            <w:r w:rsidRPr="00192026">
              <w:rPr>
                <w:rFonts w:ascii="Helvetica" w:eastAsia="Arial" w:hAnsi="Helvetica" w:cs="Helvetica"/>
                <w:color w:val="000000" w:themeColor="text1"/>
                <w:sz w:val="18"/>
                <w:szCs w:val="18"/>
              </w:rPr>
              <w:t>-</w:t>
            </w:r>
            <w:r w:rsidR="00192026">
              <w:rPr>
                <w:rFonts w:ascii="Helvetica" w:eastAsia="Arial" w:hAnsi="Helvetica" w:cs="Helvetica"/>
                <w:color w:val="000000" w:themeColor="text1"/>
                <w:sz w:val="18"/>
                <w:szCs w:val="18"/>
              </w:rPr>
              <w:t>17</w:t>
            </w:r>
          </w:p>
        </w:tc>
        <w:tc>
          <w:tcPr>
            <w:tcW w:w="1791" w:type="dxa"/>
            <w:tcBorders>
              <w:top w:val="single" w:sz="8" w:space="0" w:color="000000"/>
              <w:left w:val="single" w:sz="8" w:space="0" w:color="000000"/>
              <w:bottom w:val="single" w:sz="8" w:space="0" w:color="000000"/>
              <w:right w:val="single" w:sz="8" w:space="0" w:color="000000"/>
            </w:tcBorders>
            <w:shd w:val="clear" w:color="auto" w:fill="FFFFFF"/>
          </w:tcPr>
          <w:p w14:paraId="698A13E4" w14:textId="4E7BF6AF" w:rsidR="00FF2F21" w:rsidRPr="00192026" w:rsidRDefault="00192026" w:rsidP="00FF2F21">
            <w:pPr>
              <w:spacing w:before="100" w:after="100"/>
              <w:ind w:left="100" w:right="100"/>
              <w:jc w:val="center"/>
              <w:rPr>
                <w:rFonts w:ascii="Helvetica" w:eastAsia="Helvetica" w:hAnsi="Helvetica" w:cs="Helvetica"/>
                <w:color w:val="000000" w:themeColor="text1"/>
                <w:sz w:val="18"/>
                <w:szCs w:val="18"/>
              </w:rPr>
            </w:pPr>
            <w:r>
              <w:rPr>
                <w:rFonts w:ascii="Helvetica" w:eastAsia="Helvetica" w:hAnsi="Helvetica" w:cs="Helvetica"/>
                <w:color w:val="000000" w:themeColor="text1"/>
                <w:sz w:val="18"/>
                <w:szCs w:val="18"/>
              </w:rPr>
              <w:t>15</w:t>
            </w:r>
          </w:p>
        </w:tc>
      </w:tr>
      <w:tr w:rsidR="00FB0A3F" w14:paraId="20E385DF" w14:textId="77777777">
        <w:trPr>
          <w:cantSplit/>
          <w:jc w:val="center"/>
        </w:trPr>
        <w:tc>
          <w:tcPr>
            <w:tcW w:w="3704" w:type="dxa"/>
            <w:gridSpan w:val="6"/>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743F42E1" w14:textId="2F2F72CB" w:rsidR="00FB0A3F" w:rsidRDefault="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LML 2023/24 = 110 mm</w:t>
            </w:r>
          </w:p>
        </w:tc>
        <w:tc>
          <w:tcPr>
            <w:tcW w:w="5358" w:type="dxa"/>
            <w:gridSpan w:val="3"/>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39F5AC66" w14:textId="50D2764B" w:rsidR="00FB0A3F" w:rsidRDefault="0001483C">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Mean daily catch 2023/24 (nominal) = 3</w:t>
            </w:r>
            <w:r w:rsidR="00947B63">
              <w:rPr>
                <w:rFonts w:ascii="Helvetica" w:eastAsia="Helvetica" w:hAnsi="Helvetica" w:cs="Helvetica"/>
                <w:color w:val="000000"/>
                <w:sz w:val="18"/>
                <w:szCs w:val="18"/>
              </w:rPr>
              <w:t>66</w:t>
            </w:r>
            <w:r>
              <w:rPr>
                <w:rFonts w:ascii="Helvetica" w:eastAsia="Helvetica" w:hAnsi="Helvetica" w:cs="Helvetica"/>
                <w:color w:val="000000"/>
                <w:sz w:val="18"/>
                <w:szCs w:val="18"/>
              </w:rPr>
              <w:t xml:space="preserve"> kg</w:t>
            </w:r>
          </w:p>
        </w:tc>
      </w:tr>
    </w:tbl>
    <w:p w14:paraId="5393740F" w14:textId="165EF3E4" w:rsidR="00FB0A3F" w:rsidRDefault="00000000">
      <w:r>
        <w:t xml:space="preserve">The Cape Liptrap SMU contributed &lt;20 t of catch prior to 2009 when a peak catch of 41 t was harvested (Figure 34). The 2009 catch coincided with a decrease in size limit, which followed an increase in size limit in 2007 that reduced catches to around 5 t in 2008. Catch in the last 4 years has averaged </w:t>
      </w:r>
      <w:r w:rsidR="008C4911">
        <w:t>around 8</w:t>
      </w:r>
      <w:r>
        <w:t xml:space="preserve"> t which is well below historical levels (average catch 13 t from 2012 to 2018).</w:t>
      </w:r>
    </w:p>
    <w:p w14:paraId="5AD83831" w14:textId="0A554CDE" w:rsidR="00FB0A3F" w:rsidRDefault="00000000">
      <w:r>
        <w:t>Standardised CPUE declined from 2003 to 201</w:t>
      </w:r>
      <w:r w:rsidR="00AF21D9">
        <w:t>6, was stable until 2020 and has increased thereafter (Figure 35)</w:t>
      </w:r>
      <w:r>
        <w:t>.</w:t>
      </w:r>
    </w:p>
    <w:p w14:paraId="33F09A5A" w14:textId="43CCDD26" w:rsidR="00FB0A3F" w:rsidRDefault="00AF21D9">
      <w:pPr>
        <w:jc w:val="center"/>
      </w:pPr>
      <w:r>
        <w:rPr>
          <w:noProof/>
        </w:rPr>
        <w:drawing>
          <wp:inline distT="0" distB="0" distL="0" distR="0" wp14:anchorId="254CE3B5" wp14:editId="11C8559F">
            <wp:extent cx="5727700" cy="3579495"/>
            <wp:effectExtent l="0" t="0" r="0" b="0"/>
            <wp:docPr id="194" name="Picture" descr="Figure 36: Cape Liptrap SMU catch, and CPUE (nominal and standardised) from 1992/93 – 2022/23. Catch = bars, nominal CPUE = grey series (+/- SE), standardised series = black. Numbers in bars indicate changes to LMLs. MPs = introduction of Marine Parks."/>
            <wp:cNvGraphicFramePr/>
            <a:graphic xmlns:a="http://schemas.openxmlformats.org/drawingml/2006/main">
              <a:graphicData uri="http://schemas.openxmlformats.org/drawingml/2006/picture">
                <pic:pic xmlns:pic="http://schemas.openxmlformats.org/drawingml/2006/picture">
                  <pic:nvPicPr>
                    <pic:cNvPr id="194" name="Picture" descr="Figure 36: Cape Liptrap SMU catch, and CPUE (nominal and standardised) from 1992/93 – 2022/23. Catch = bars, nominal CPUE = grey series (+/- SE), standardised series = black. Numbers in bars indicate changes to LMLs. MPs = introduction of Marine Parks."/>
                    <pic:cNvPicPr/>
                  </pic:nvPicPr>
                  <pic:blipFill>
                    <a:blip r:embed="rId58"/>
                    <a:stretch>
                      <a:fillRect/>
                    </a:stretch>
                  </pic:blipFill>
                  <pic:spPr bwMode="auto">
                    <a:xfrm>
                      <a:off x="0" y="0"/>
                      <a:ext cx="5727700" cy="3579495"/>
                    </a:xfrm>
                    <a:prstGeom prst="rect">
                      <a:avLst/>
                    </a:prstGeom>
                    <a:noFill/>
                    <a:ln w="9525">
                      <a:noFill/>
                      <a:headEnd/>
                      <a:tailEnd/>
                    </a:ln>
                  </pic:spPr>
                </pic:pic>
              </a:graphicData>
            </a:graphic>
          </wp:inline>
        </w:drawing>
      </w:r>
    </w:p>
    <w:p w14:paraId="305E2D69" w14:textId="528CFCD8" w:rsidR="00FB0A3F" w:rsidRPr="00495804" w:rsidRDefault="00000000">
      <w:pPr>
        <w:pStyle w:val="Caption"/>
      </w:pPr>
      <w:bookmarkStart w:id="294" w:name="_Toc192777299"/>
      <w:r w:rsidRPr="00495804">
        <w:t xml:space="preserve">Figure 34: Cape Liptrap SMU catch, and CPUE (nominal and standardised) from 1992/1993 – </w:t>
      </w:r>
      <w:r w:rsidR="00D2115A" w:rsidRPr="00495804">
        <w:t xml:space="preserve">2023/24. </w:t>
      </w:r>
      <w:r w:rsidR="00495804" w:rsidRPr="00495804">
        <w:t>Nominal annual = grey series (+/- SE), standardised annual = solid black, standardised quarterly = dashed black</w:t>
      </w:r>
      <w:r w:rsidRPr="00495804">
        <w:t>. Numbers indicate changes to LMLs. MPs = introduction of Marine Parks.</w:t>
      </w:r>
      <w:bookmarkEnd w:id="294"/>
    </w:p>
    <w:p w14:paraId="2800F042" w14:textId="16AC6CAE" w:rsidR="00FB0A3F" w:rsidRDefault="009B5E24" w:rsidP="00495804">
      <w:r w:rsidRPr="00495804">
        <w:t>Standardised mean daily catch generally decreased from 2003 to 201</w:t>
      </w:r>
      <w:r w:rsidR="00AF21D9">
        <w:t>4</w:t>
      </w:r>
      <w:r w:rsidRPr="00495804">
        <w:t xml:space="preserve"> and has been variable thereafter (Figure 35). Nominal mean daily catch was 445 kg/day in 2023/24.</w:t>
      </w:r>
    </w:p>
    <w:p w14:paraId="470DE905" w14:textId="3A8A56A9" w:rsidR="00FB0A3F" w:rsidRDefault="00AF21D9" w:rsidP="008D0E2D">
      <w:pPr>
        <w:jc w:val="center"/>
      </w:pPr>
      <w:r>
        <w:rPr>
          <w:noProof/>
        </w:rPr>
        <w:lastRenderedPageBreak/>
        <w:drawing>
          <wp:inline distT="0" distB="0" distL="0" distR="0" wp14:anchorId="682B705D" wp14:editId="1A399CC0">
            <wp:extent cx="5727700" cy="3579495"/>
            <wp:effectExtent l="0" t="0" r="0" b="0"/>
            <wp:docPr id="191" name="Picture" descr="A graph of a graph with different lin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91" name="Picture" descr="A graph of a graph with different lines&#10;&#10;Description automatically generated with medium confidence"/>
                    <pic:cNvPicPr/>
                  </pic:nvPicPr>
                  <pic:blipFill>
                    <a:blip r:embed="rId59"/>
                    <a:stretch>
                      <a:fillRect/>
                    </a:stretch>
                  </pic:blipFill>
                  <pic:spPr bwMode="auto">
                    <a:xfrm>
                      <a:off x="0" y="0"/>
                      <a:ext cx="5727700" cy="3579495"/>
                    </a:xfrm>
                    <a:prstGeom prst="rect">
                      <a:avLst/>
                    </a:prstGeom>
                    <a:noFill/>
                    <a:ln w="9525">
                      <a:noFill/>
                      <a:headEnd/>
                      <a:tailEnd/>
                    </a:ln>
                  </pic:spPr>
                </pic:pic>
              </a:graphicData>
            </a:graphic>
          </wp:inline>
        </w:drawing>
      </w:r>
    </w:p>
    <w:p w14:paraId="7BB144DF" w14:textId="7F58BBD6" w:rsidR="00FB0A3F" w:rsidRDefault="00000000">
      <w:pPr>
        <w:pStyle w:val="Caption"/>
      </w:pPr>
      <w:bookmarkStart w:id="295" w:name="_Toc192777300"/>
      <w:r w:rsidRPr="00495804">
        <w:t xml:space="preserve">Figure 35: Total catch and mean daily catch for the Cape Liptrap </w:t>
      </w:r>
      <w:r w:rsidR="008D0E2D" w:rsidRPr="00495804">
        <w:t>SMU from 2003 to 2023</w:t>
      </w:r>
      <w:r w:rsidR="00495804">
        <w:t xml:space="preserve">. </w:t>
      </w:r>
      <w:r w:rsidR="00495804" w:rsidRPr="00495804">
        <w:t>Nominal annual = grey series (+/- SE), standardised annual = solid black, standardised quarterly = dashed black</w:t>
      </w:r>
      <w:r w:rsidRPr="00495804">
        <w:t>.</w:t>
      </w:r>
      <w:bookmarkEnd w:id="295"/>
      <w:r>
        <w:t xml:space="preserve"> </w:t>
      </w:r>
    </w:p>
    <w:p w14:paraId="5AAC19F8" w14:textId="44640FBD" w:rsidR="00FB0A3F" w:rsidRDefault="00000000">
      <w:pPr>
        <w:pStyle w:val="TableCaption"/>
      </w:pPr>
      <w:bookmarkStart w:id="296" w:name="_Toc192762291"/>
      <w:r>
        <w:t>Table 2</w:t>
      </w:r>
      <w:r w:rsidR="001A6F5B">
        <w:t>3</w:t>
      </w:r>
      <w:r>
        <w:t xml:space="preserve">: Catches (kg) by </w:t>
      </w:r>
      <w:proofErr w:type="spellStart"/>
      <w:r>
        <w:t>reefcode</w:t>
      </w:r>
      <w:proofErr w:type="spellEnd"/>
      <w:r>
        <w:t xml:space="preserve"> for the Cape Liptrap SMU </w:t>
      </w:r>
      <w:r w:rsidR="003E07DE">
        <w:t xml:space="preserve">from 2018/19 to 2023/24 and the </w:t>
      </w:r>
      <w:r w:rsidR="008E6717">
        <w:t>5</w:t>
      </w:r>
      <w:r w:rsidR="003E07DE">
        <w:t>-year average catch from 2018/19 to 2022/23</w:t>
      </w:r>
      <w:r>
        <w:t>.</w:t>
      </w:r>
      <w:bookmarkEnd w:id="296"/>
    </w:p>
    <w:p w14:paraId="176D1BC8" w14:textId="19B8FD78" w:rsidR="00FB0A3F" w:rsidRDefault="00BE07ED">
      <w:pPr>
        <w:jc w:val="center"/>
      </w:pPr>
      <w:r w:rsidRPr="00BE07ED">
        <w:rPr>
          <w:noProof/>
        </w:rPr>
        <w:drawing>
          <wp:inline distT="0" distB="0" distL="0" distR="0" wp14:anchorId="68E091C6" wp14:editId="73B4344E">
            <wp:extent cx="4191000" cy="1226971"/>
            <wp:effectExtent l="0" t="0" r="0" b="0"/>
            <wp:docPr id="1854001898" name="Picture 1"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001898" name="Picture 1" descr="A screenshot of a table&#10;&#10;Description automatically generated"/>
                    <pic:cNvPicPr/>
                  </pic:nvPicPr>
                  <pic:blipFill>
                    <a:blip r:embed="rId60"/>
                    <a:stretch>
                      <a:fillRect/>
                    </a:stretch>
                  </pic:blipFill>
                  <pic:spPr>
                    <a:xfrm>
                      <a:off x="0" y="0"/>
                      <a:ext cx="4217639" cy="1234770"/>
                    </a:xfrm>
                    <a:prstGeom prst="rect">
                      <a:avLst/>
                    </a:prstGeom>
                  </pic:spPr>
                </pic:pic>
              </a:graphicData>
            </a:graphic>
          </wp:inline>
        </w:drawing>
      </w:r>
    </w:p>
    <w:p w14:paraId="4FCF9595" w14:textId="1578524C" w:rsidR="00FB0A3F" w:rsidRDefault="00000000">
      <w:r>
        <w:t xml:space="preserve">The Cape Liptrap SMU comprises </w:t>
      </w:r>
      <w:r w:rsidR="008E6717">
        <w:t>5</w:t>
      </w:r>
      <w:r>
        <w:t xml:space="preserve"> </w:t>
      </w:r>
      <w:proofErr w:type="spellStart"/>
      <w:r>
        <w:t>reefcodes</w:t>
      </w:r>
      <w:proofErr w:type="spellEnd"/>
      <w:r>
        <w:t xml:space="preserve">, with three </w:t>
      </w:r>
      <w:proofErr w:type="spellStart"/>
      <w:r>
        <w:t>reefcodes</w:t>
      </w:r>
      <w:proofErr w:type="spellEnd"/>
      <w:r>
        <w:t xml:space="preserve"> contributing most of the catch (16.04, 16.03, 16.06) </w:t>
      </w:r>
      <w:r w:rsidR="008C4911">
        <w:t xml:space="preserve">in the previous </w:t>
      </w:r>
      <w:r w:rsidR="008E6717">
        <w:t>5</w:t>
      </w:r>
      <w:r w:rsidR="008C4911">
        <w:t xml:space="preserve"> years </w:t>
      </w:r>
      <w:r>
        <w:t>(Table 23). In 202</w:t>
      </w:r>
      <w:r w:rsidR="008C4911">
        <w:t>3</w:t>
      </w:r>
      <w:r>
        <w:t>/2</w:t>
      </w:r>
      <w:r w:rsidR="008C4911">
        <w:t>4</w:t>
      </w:r>
      <w:r>
        <w:t xml:space="preserve">, </w:t>
      </w:r>
      <w:r w:rsidR="008C4911">
        <w:t xml:space="preserve">the catch distribution was very different to the previous </w:t>
      </w:r>
      <w:proofErr w:type="gramStart"/>
      <w:r w:rsidR="008E6717">
        <w:t>5</w:t>
      </w:r>
      <w:r w:rsidR="008C4911">
        <w:t xml:space="preserve"> year</w:t>
      </w:r>
      <w:proofErr w:type="gramEnd"/>
      <w:r w:rsidR="008C4911">
        <w:t xml:space="preserve"> averages. Catches were well below the average at 16.04 and 16.06 while catches at 16.03 </w:t>
      </w:r>
      <w:r w:rsidR="0011153B">
        <w:t xml:space="preserve">and 16.02 </w:t>
      </w:r>
      <w:r w:rsidR="008C4911">
        <w:t xml:space="preserve">were </w:t>
      </w:r>
      <w:r w:rsidR="0011153B">
        <w:t xml:space="preserve">around </w:t>
      </w:r>
      <w:r w:rsidR="008C4911">
        <w:t xml:space="preserve">twice the highest catch in the previous </w:t>
      </w:r>
      <w:r w:rsidR="008E6717">
        <w:t>5</w:t>
      </w:r>
      <w:r w:rsidR="008C4911">
        <w:t xml:space="preserve"> years. </w:t>
      </w:r>
    </w:p>
    <w:p w14:paraId="69AA4B5F" w14:textId="77777777" w:rsidR="00FB0A3F" w:rsidRDefault="00000000">
      <w:pPr>
        <w:rPr>
          <w:i/>
          <w:iCs/>
        </w:rPr>
      </w:pPr>
      <w:r>
        <w:rPr>
          <w:i/>
          <w:iCs/>
        </w:rPr>
        <w:t>Length frequency data – commercial</w:t>
      </w:r>
    </w:p>
    <w:p w14:paraId="107B11AC" w14:textId="772D6EE9" w:rsidR="004E26E8" w:rsidRDefault="00000000" w:rsidP="004E26E8">
      <w:r>
        <w:t>From 2016/17 to 2019/20, the standardised average length of abalone in the commercial catch was stable around 11</w:t>
      </w:r>
      <w:r w:rsidR="004E26E8">
        <w:t>7</w:t>
      </w:r>
      <w:r>
        <w:t xml:space="preserve"> to 11</w:t>
      </w:r>
      <w:r w:rsidR="004E26E8">
        <w:t>8</w:t>
      </w:r>
      <w:r>
        <w:t xml:space="preserve"> mm, with multiple LMLs (110 and 115 mm) at that time (Appendix </w:t>
      </w:r>
      <w:r w:rsidR="004E26E8">
        <w:t>3</w:t>
      </w:r>
      <w:r>
        <w:t xml:space="preserve">, Appendix </w:t>
      </w:r>
      <w:r w:rsidR="004E26E8">
        <w:t>4</w:t>
      </w:r>
      <w:r>
        <w:t>). The LML increased to 115 mm across the SMU on 1 April 2020</w:t>
      </w:r>
      <w:r w:rsidR="000B7DE2">
        <w:t xml:space="preserve"> and average length </w:t>
      </w:r>
      <w:r>
        <w:t xml:space="preserve">increased </w:t>
      </w:r>
      <w:r w:rsidR="000B7DE2">
        <w:t>to just above 120 mm in 2020/21 and 2021/22. Average length has increased substantially in the last two years and was 129 mm in 2023/24 from a sample size of around 5000 shells</w:t>
      </w:r>
      <w:r>
        <w:t xml:space="preserve">. Raw data show </w:t>
      </w:r>
      <w:r w:rsidR="000B7DE2">
        <w:t xml:space="preserve">similar </w:t>
      </w:r>
      <w:r>
        <w:t>trends to standardised data over time.</w:t>
      </w:r>
      <w:r w:rsidR="000B7DE2">
        <w:t xml:space="preserve"> </w:t>
      </w:r>
      <w:r w:rsidR="004E26E8">
        <w:t xml:space="preserve">Increases in length lead to increases in weight and a reduction in the number of abalone harvested for a given TACC, with estimates of weight increase greater than </w:t>
      </w:r>
      <w:r w:rsidR="000B7DE2">
        <w:t>2</w:t>
      </w:r>
      <w:r w:rsidR="004E26E8">
        <w:t xml:space="preserve">0% for the </w:t>
      </w:r>
      <w:r w:rsidR="000B7DE2">
        <w:t xml:space="preserve">Cape Liptrap </w:t>
      </w:r>
      <w:r w:rsidR="004E26E8">
        <w:t>SMU.</w:t>
      </w:r>
    </w:p>
    <w:p w14:paraId="0B2522E7" w14:textId="77777777" w:rsidR="00D9781F" w:rsidRDefault="00D9781F">
      <w:pPr>
        <w:spacing w:before="0" w:after="0"/>
        <w:rPr>
          <w:i/>
          <w:iCs/>
        </w:rPr>
      </w:pPr>
      <w:r>
        <w:rPr>
          <w:i/>
          <w:iCs/>
        </w:rPr>
        <w:br w:type="page"/>
      </w:r>
    </w:p>
    <w:p w14:paraId="1EADCAD8" w14:textId="1E99BE45" w:rsidR="00FB0A3F" w:rsidRDefault="00000000">
      <w:r>
        <w:rPr>
          <w:i/>
          <w:iCs/>
        </w:rPr>
        <w:lastRenderedPageBreak/>
        <w:t>Summary</w:t>
      </w:r>
    </w:p>
    <w:p w14:paraId="0C4B7CB7" w14:textId="32A0E231" w:rsidR="00FB0A3F" w:rsidRDefault="00000000">
      <w:r>
        <w:t xml:space="preserve">The Cape Liptrap SMU produced consistent, low catches from 1992 to 2008. While the increase in size limit appeared to reduce catch in 2007, the decrease in size limit in 2009 likely increased the available biomass and a catch 3.5 times the long-term average was harvested. </w:t>
      </w:r>
      <w:r w:rsidR="001C22FB">
        <w:t xml:space="preserve">Catches in the last 5 years have been below the historical average. </w:t>
      </w:r>
      <w:r>
        <w:t>Standardised CPUE declined from 2003 to 201</w:t>
      </w:r>
      <w:r w:rsidR="001C22FB">
        <w:t>6, was stable until 2020 and has increased thereafter</w:t>
      </w:r>
      <w:r>
        <w:t xml:space="preserve">. </w:t>
      </w:r>
      <w:r w:rsidR="001C22FB">
        <w:t>Standardised m</w:t>
      </w:r>
      <w:r>
        <w:t xml:space="preserve">ean daily catch </w:t>
      </w:r>
      <w:r w:rsidR="001C22FB">
        <w:t>has varied without trend for the last decade</w:t>
      </w:r>
      <w:r>
        <w:t xml:space="preserve">. </w:t>
      </w:r>
    </w:p>
    <w:p w14:paraId="3A04BE9F" w14:textId="67677631" w:rsidR="0011153B" w:rsidRDefault="0011153B">
      <w:r>
        <w:t xml:space="preserve">The primary uncertainty for the stock regards changes in the distribution of the catch among </w:t>
      </w:r>
      <w:proofErr w:type="spellStart"/>
      <w:r>
        <w:t>reefcodes</w:t>
      </w:r>
      <w:proofErr w:type="spellEnd"/>
      <w:r>
        <w:t xml:space="preserve"> in 2023/24. Catches were well below the average at 16.04 and 16.06 while catches at 16.03 and 16.02 were around twice the highest catch in the previous </w:t>
      </w:r>
      <w:r w:rsidR="008E6717">
        <w:t>5</w:t>
      </w:r>
      <w:r>
        <w:t xml:space="preserve"> years.</w:t>
      </w:r>
    </w:p>
    <w:p w14:paraId="49D2E46C" w14:textId="0F869B69" w:rsidR="001C22FB" w:rsidRDefault="001C22FB">
      <w:r>
        <w:t xml:space="preserve">The standardised average length of the commercial catch increased from 117 mm in 2016/17 to 120 mm in 2021/22, with the LML increased to 115 mm across the entire SMU on 1 April 2020. Average length has increased substantially in the last two years and was 129 mm in 2023/24. </w:t>
      </w:r>
    </w:p>
    <w:p w14:paraId="46FC2D74" w14:textId="4F4CA140" w:rsidR="00FB0A3F" w:rsidRDefault="00000000">
      <w:r>
        <w:t xml:space="preserve">The total catch in the Cape Liptrap SMU of </w:t>
      </w:r>
      <w:r w:rsidR="001C22FB">
        <w:t>8.9</w:t>
      </w:r>
      <w:r>
        <w:t xml:space="preserve"> t was </w:t>
      </w:r>
      <w:r w:rsidR="001C22FB">
        <w:t>0.5</w:t>
      </w:r>
      <w:r>
        <w:t xml:space="preserve"> t below the OT with carryover (</w:t>
      </w:r>
      <w:r w:rsidR="001C22FB">
        <w:t>9.4</w:t>
      </w:r>
      <w:r>
        <w:t xml:space="preserve"> t). Mean CPUE (72.</w:t>
      </w:r>
      <w:r w:rsidR="001C22FB">
        <w:t>8</w:t>
      </w:r>
      <w:r>
        <w:t xml:space="preserve"> kg/h) was above the Threshold (60 kg/h) Reference Point. The Primary </w:t>
      </w:r>
      <w:r w:rsidR="001C22FB">
        <w:t xml:space="preserve">and Secondary </w:t>
      </w:r>
      <w:r>
        <w:t>Categor</w:t>
      </w:r>
      <w:r w:rsidR="001C22FB">
        <w:t>ies</w:t>
      </w:r>
      <w:r>
        <w:t xml:space="preserve"> </w:t>
      </w:r>
      <w:r w:rsidR="001C22FB">
        <w:t xml:space="preserve">were </w:t>
      </w:r>
      <w:r>
        <w:t>Stable, resulting in a Stable Final Category. In 202</w:t>
      </w:r>
      <w:r w:rsidR="001C22FB">
        <w:t>4</w:t>
      </w:r>
      <w:r>
        <w:t>/2</w:t>
      </w:r>
      <w:r w:rsidR="001C22FB">
        <w:t>5</w:t>
      </w:r>
      <w:r>
        <w:t xml:space="preserve">, the OT was </w:t>
      </w:r>
      <w:r w:rsidR="001C22FB">
        <w:t xml:space="preserve">maintained </w:t>
      </w:r>
      <w:r>
        <w:t xml:space="preserve">9.4 t, with a suggested OT </w:t>
      </w:r>
      <w:r w:rsidR="001C22FB">
        <w:t xml:space="preserve">for 2025/26 </w:t>
      </w:r>
      <w:r>
        <w:t>of 8.9 to 9.9 t.</w:t>
      </w:r>
    </w:p>
    <w:p w14:paraId="0B3D803A" w14:textId="77777777" w:rsidR="00D9781F" w:rsidRDefault="001C22FB">
      <w:pPr>
        <w:rPr>
          <w:b/>
          <w:bCs/>
        </w:rPr>
      </w:pPr>
      <w:bookmarkStart w:id="297" w:name="_Hlk192776287"/>
      <w:r>
        <w:rPr>
          <w:b/>
          <w:bCs/>
        </w:rPr>
        <w:t xml:space="preserve">Available indicators of stock status appear to be improving for the Cape Liptrap SMU. Standardised CPUE and the average </w:t>
      </w:r>
      <w:r w:rsidR="005E0F8A">
        <w:rPr>
          <w:b/>
          <w:bCs/>
        </w:rPr>
        <w:t xml:space="preserve">length </w:t>
      </w:r>
      <w:r>
        <w:rPr>
          <w:b/>
          <w:bCs/>
        </w:rPr>
        <w:t>of</w:t>
      </w:r>
      <w:r w:rsidR="005E0F8A">
        <w:rPr>
          <w:b/>
          <w:bCs/>
        </w:rPr>
        <w:t xml:space="preserve"> abalone in</w:t>
      </w:r>
      <w:r>
        <w:rPr>
          <w:b/>
          <w:bCs/>
        </w:rPr>
        <w:t xml:space="preserve"> the commercial catch have both increased in recent years</w:t>
      </w:r>
      <w:r w:rsidR="0011153B">
        <w:rPr>
          <w:b/>
          <w:bCs/>
        </w:rPr>
        <w:t>, while mean daily catch has been stable</w:t>
      </w:r>
      <w:r>
        <w:rPr>
          <w:b/>
          <w:bCs/>
        </w:rPr>
        <w:t xml:space="preserve">. </w:t>
      </w:r>
      <w:r w:rsidR="0011153B">
        <w:rPr>
          <w:b/>
          <w:bCs/>
        </w:rPr>
        <w:t xml:space="preserve">The only concern </w:t>
      </w:r>
      <w:r w:rsidR="0011153B" w:rsidRPr="005F3688">
        <w:rPr>
          <w:b/>
          <w:bCs/>
        </w:rPr>
        <w:t xml:space="preserve">regards the distribution of catches among </w:t>
      </w:r>
      <w:proofErr w:type="spellStart"/>
      <w:r w:rsidR="0011153B" w:rsidRPr="005F3688">
        <w:rPr>
          <w:b/>
          <w:bCs/>
        </w:rPr>
        <w:t>reefcodes</w:t>
      </w:r>
      <w:proofErr w:type="spellEnd"/>
      <w:r w:rsidR="0011153B">
        <w:rPr>
          <w:b/>
          <w:bCs/>
        </w:rPr>
        <w:t xml:space="preserve">. As for the Phillip Island SMU, an improved understanding of the reasons for these shifts in catch distribution is required. </w:t>
      </w:r>
      <w:r>
        <w:rPr>
          <w:b/>
          <w:bCs/>
        </w:rPr>
        <w:t xml:space="preserve">The OT was </w:t>
      </w:r>
      <w:r w:rsidR="0011153B">
        <w:rPr>
          <w:b/>
          <w:bCs/>
        </w:rPr>
        <w:t xml:space="preserve">9.4 t </w:t>
      </w:r>
      <w:r>
        <w:rPr>
          <w:b/>
          <w:bCs/>
        </w:rPr>
        <w:t>in 202</w:t>
      </w:r>
      <w:r w:rsidR="0011153B">
        <w:rPr>
          <w:b/>
          <w:bCs/>
        </w:rPr>
        <w:t>4</w:t>
      </w:r>
      <w:r>
        <w:rPr>
          <w:b/>
          <w:bCs/>
        </w:rPr>
        <w:t>/2</w:t>
      </w:r>
      <w:r w:rsidR="0011153B">
        <w:rPr>
          <w:b/>
          <w:bCs/>
        </w:rPr>
        <w:t>5</w:t>
      </w:r>
      <w:r>
        <w:rPr>
          <w:b/>
          <w:bCs/>
        </w:rPr>
        <w:t xml:space="preserve">, and </w:t>
      </w:r>
      <w:r w:rsidR="0011153B">
        <w:rPr>
          <w:b/>
          <w:bCs/>
        </w:rPr>
        <w:t xml:space="preserve">maintaining a stable OT appears to be </w:t>
      </w:r>
      <w:r>
        <w:rPr>
          <w:b/>
          <w:bCs/>
        </w:rPr>
        <w:t xml:space="preserve">an appropriate strategy </w:t>
      </w:r>
      <w:r w:rsidR="0011153B">
        <w:rPr>
          <w:b/>
          <w:bCs/>
        </w:rPr>
        <w:t xml:space="preserve">for 2025/26, noting </w:t>
      </w:r>
      <w:r w:rsidR="005E0F8A">
        <w:rPr>
          <w:b/>
          <w:bCs/>
        </w:rPr>
        <w:t xml:space="preserve">the </w:t>
      </w:r>
      <w:r w:rsidR="0011153B">
        <w:rPr>
          <w:b/>
          <w:bCs/>
        </w:rPr>
        <w:t>uncertainty due to shifts in catch distribution.</w:t>
      </w:r>
      <w:bookmarkEnd w:id="297"/>
    </w:p>
    <w:p w14:paraId="7092370C" w14:textId="2AB8B67C" w:rsidR="00FB0A3F" w:rsidRPr="00D2115A" w:rsidRDefault="0011153B">
      <w:pPr>
        <w:rPr>
          <w:b/>
          <w:bCs/>
        </w:rPr>
      </w:pPr>
      <w:r>
        <w:rPr>
          <w:b/>
          <w:bCs/>
        </w:rPr>
        <w:t xml:space="preserve"> </w:t>
      </w:r>
    </w:p>
    <w:p w14:paraId="7F949818" w14:textId="77777777" w:rsidR="00FB0A3F" w:rsidRDefault="00000000">
      <w:pPr>
        <w:pStyle w:val="Heading3"/>
        <w:numPr>
          <w:ilvl w:val="2"/>
          <w:numId w:val="9"/>
        </w:numPr>
        <w:ind w:left="720" w:hanging="720"/>
      </w:pPr>
      <w:bookmarkStart w:id="298" w:name="_Toc98408348"/>
      <w:bookmarkStart w:id="299" w:name="_Toc192777238"/>
      <w:bookmarkStart w:id="300" w:name="prom-eastside"/>
      <w:bookmarkEnd w:id="283"/>
      <w:r>
        <w:t>Prom Eastside</w:t>
      </w:r>
      <w:bookmarkEnd w:id="298"/>
      <w:r>
        <w:t xml:space="preserve"> (Small SMU)</w:t>
      </w:r>
      <w:bookmarkEnd w:id="299"/>
    </w:p>
    <w:p w14:paraId="029BCCF4" w14:textId="5B2D18B0" w:rsidR="00FB0A3F" w:rsidRDefault="00000000">
      <w:r>
        <w:t xml:space="preserve">The Prom </w:t>
      </w:r>
      <w:proofErr w:type="spellStart"/>
      <w:r>
        <w:t>Eastside</w:t>
      </w:r>
      <w:proofErr w:type="spellEnd"/>
      <w:r>
        <w:t xml:space="preserve"> SMU contributed </w:t>
      </w:r>
      <w:r w:rsidR="008D0E2D">
        <w:t>3.8</w:t>
      </w:r>
      <w:r>
        <w:t xml:space="preserve"> t in 202</w:t>
      </w:r>
      <w:r w:rsidR="008D0E2D">
        <w:t>3</w:t>
      </w:r>
      <w:r>
        <w:t>/2</w:t>
      </w:r>
      <w:r w:rsidR="008D0E2D">
        <w:t>4</w:t>
      </w:r>
      <w:r>
        <w:t xml:space="preserve"> representing 1.</w:t>
      </w:r>
      <w:r w:rsidR="008D0E2D">
        <w:t>7</w:t>
      </w:r>
      <w:r>
        <w:t>% of the total catch (Table 2</w:t>
      </w:r>
      <w:r w:rsidR="001A6F5B">
        <w:t>4</w:t>
      </w:r>
      <w:r>
        <w:t xml:space="preserve">) and TACC (Table </w:t>
      </w:r>
      <w:r w:rsidR="008D0E2D">
        <w:t>3</w:t>
      </w:r>
      <w:r>
        <w:t xml:space="preserve">). </w:t>
      </w:r>
      <w:r w:rsidR="008D0E2D">
        <w:t xml:space="preserve">The catch was 1.0 t below the OT. </w:t>
      </w:r>
      <w:r w:rsidR="00192026">
        <w:rPr>
          <w:rFonts w:ascii="Helvetica" w:eastAsia="Helvetica" w:hAnsi="Helvetica" w:cs="Helvetica"/>
          <w:color w:val="000000"/>
          <w:sz w:val="18"/>
          <w:szCs w:val="18"/>
        </w:rPr>
        <w:t>Standardised</w:t>
      </w:r>
      <w:r w:rsidR="00192026">
        <w:t xml:space="preserve"> </w:t>
      </w:r>
      <w:r>
        <w:t xml:space="preserve">CPUE has declined by </w:t>
      </w:r>
      <w:r w:rsidR="00192026">
        <w:t>2</w:t>
      </w:r>
      <w:r>
        <w:t xml:space="preserve">2% </w:t>
      </w:r>
      <w:r w:rsidR="00192026">
        <w:t xml:space="preserve">in the long term and by 12% in the short term but </w:t>
      </w:r>
      <w:r>
        <w:t xml:space="preserve">has increased by </w:t>
      </w:r>
      <w:r w:rsidR="00192026">
        <w:t>7</w:t>
      </w:r>
      <w:r>
        <w:t>%</w:t>
      </w:r>
      <w:r w:rsidR="00192026">
        <w:t xml:space="preserve"> in the last </w:t>
      </w:r>
      <w:r w:rsidR="00AC25C3">
        <w:t>4</w:t>
      </w:r>
      <w:r w:rsidR="00192026">
        <w:t xml:space="preserve"> years</w:t>
      </w:r>
      <w:r>
        <w:t xml:space="preserve">. </w:t>
      </w:r>
    </w:p>
    <w:p w14:paraId="2E126669" w14:textId="4251A61D" w:rsidR="00FB0A3F" w:rsidRDefault="00000000">
      <w:pPr>
        <w:pStyle w:val="TableCaption"/>
        <w:rPr>
          <w:i w:val="0"/>
          <w:color w:val="44546A" w:themeColor="text2"/>
        </w:rPr>
      </w:pPr>
      <w:bookmarkStart w:id="301" w:name="_Toc192762292"/>
      <w:r>
        <w:rPr>
          <w:color w:val="44546A" w:themeColor="text2"/>
        </w:rPr>
        <w:t xml:space="preserve">Table </w:t>
      </w:r>
      <w:r>
        <w:rPr>
          <w:i w:val="0"/>
          <w:color w:val="44546A" w:themeColor="text2"/>
        </w:rPr>
        <w:t>2</w:t>
      </w:r>
      <w:r w:rsidR="001A6F5B">
        <w:rPr>
          <w:i w:val="0"/>
          <w:color w:val="44546A" w:themeColor="text2"/>
        </w:rPr>
        <w:t>4</w:t>
      </w:r>
      <w:r>
        <w:rPr>
          <w:color w:val="44546A" w:themeColor="text2"/>
        </w:rPr>
        <w:t xml:space="preserve">: Summary of Catch, Optimal targets and CPUE performance indicators for the Prom </w:t>
      </w:r>
      <w:proofErr w:type="spellStart"/>
      <w:r>
        <w:rPr>
          <w:color w:val="44546A" w:themeColor="text2"/>
        </w:rPr>
        <w:t>Eastside</w:t>
      </w:r>
      <w:proofErr w:type="spellEnd"/>
      <w:r>
        <w:rPr>
          <w:color w:val="44546A" w:themeColor="text2"/>
        </w:rPr>
        <w:t xml:space="preserve"> SMU. The LML</w:t>
      </w:r>
      <w:r w:rsidR="00192026">
        <w:rPr>
          <w:color w:val="44546A" w:themeColor="text2"/>
        </w:rPr>
        <w:t xml:space="preserve"> and nominal mean daily catch </w:t>
      </w:r>
      <w:r>
        <w:rPr>
          <w:color w:val="44546A" w:themeColor="text2"/>
        </w:rPr>
        <w:t>are also shown.</w:t>
      </w:r>
      <w:bookmarkEnd w:id="301"/>
      <w:r>
        <w:rPr>
          <w:color w:val="44546A" w:themeColor="text2"/>
        </w:rPr>
        <w:t xml:space="preserve"> </w:t>
      </w:r>
    </w:p>
    <w:tbl>
      <w:tblPr>
        <w:tblW w:w="9062" w:type="dxa"/>
        <w:jc w:val="center"/>
        <w:tblLayout w:type="fixed"/>
        <w:tblLook w:val="04A0" w:firstRow="1" w:lastRow="0" w:firstColumn="1" w:lastColumn="0" w:noHBand="0" w:noVBand="1"/>
      </w:tblPr>
      <w:tblGrid>
        <w:gridCol w:w="703"/>
        <w:gridCol w:w="572"/>
        <w:gridCol w:w="724"/>
        <w:gridCol w:w="846"/>
        <w:gridCol w:w="831"/>
        <w:gridCol w:w="14"/>
        <w:gridCol w:w="1790"/>
        <w:gridCol w:w="1791"/>
        <w:gridCol w:w="1791"/>
      </w:tblGrid>
      <w:tr w:rsidR="00FB0A3F" w14:paraId="50D75584" w14:textId="77777777">
        <w:trPr>
          <w:cantSplit/>
          <w:trHeight w:val="540"/>
          <w:tblHeader/>
          <w:jc w:val="center"/>
        </w:trPr>
        <w:tc>
          <w:tcPr>
            <w:tcW w:w="3690" w:type="dxa"/>
            <w:gridSpan w:val="6"/>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12EFA5B6" w14:textId="77777777" w:rsidR="00FB0A3F" w:rsidRDefault="00000000">
            <w:pPr>
              <w:spacing w:before="100" w:after="100"/>
              <w:ind w:left="100" w:right="100"/>
              <w:jc w:val="center"/>
            </w:pPr>
            <w:r>
              <w:rPr>
                <w:rFonts w:ascii="Helvetica" w:eastAsia="Helvetica" w:hAnsi="Helvetica" w:cs="Helvetica"/>
                <w:color w:val="000000"/>
                <w:sz w:val="18"/>
                <w:szCs w:val="18"/>
              </w:rPr>
              <w:t>Catch</w:t>
            </w:r>
          </w:p>
        </w:tc>
        <w:tc>
          <w:tcPr>
            <w:tcW w:w="5372" w:type="dxa"/>
            <w:gridSpan w:val="3"/>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0EB50040" w14:textId="38CE494F" w:rsidR="00FB0A3F" w:rsidRDefault="00192026">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Standardised CPUE Performance Indicators (% change)</w:t>
            </w:r>
          </w:p>
        </w:tc>
      </w:tr>
      <w:tr w:rsidR="00FB0A3F" w14:paraId="472ADADB" w14:textId="77777777">
        <w:trPr>
          <w:cantSplit/>
          <w:trHeight w:val="507"/>
          <w:tblHeader/>
          <w:jc w:val="center"/>
        </w:trPr>
        <w:tc>
          <w:tcPr>
            <w:tcW w:w="1275" w:type="dxa"/>
            <w:gridSpan w:val="2"/>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6FF8809E" w14:textId="4114D340" w:rsidR="00FB0A3F" w:rsidRDefault="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2023/24</w:t>
            </w:r>
          </w:p>
        </w:tc>
        <w:tc>
          <w:tcPr>
            <w:tcW w:w="241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B6B1B2C" w14:textId="77777777" w:rsidR="00FB0A3F" w:rsidRDefault="00000000">
            <w:pPr>
              <w:spacing w:before="100" w:after="100"/>
              <w:ind w:left="100" w:right="100"/>
              <w:jc w:val="center"/>
            </w:pPr>
            <w:r>
              <w:rPr>
                <w:rFonts w:ascii="Helvetica" w:eastAsia="Helvetica" w:hAnsi="Helvetica" w:cs="Helvetica"/>
                <w:color w:val="000000"/>
                <w:sz w:val="18"/>
                <w:szCs w:val="18"/>
              </w:rPr>
              <w:t>OT + carryover* (t)</w:t>
            </w: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6FE1E82" w14:textId="77777777" w:rsidR="00FB0A3F" w:rsidRDefault="00000000">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Long-term</w:t>
            </w:r>
          </w:p>
        </w:tc>
        <w:tc>
          <w:tcPr>
            <w:tcW w:w="179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DE52B8F" w14:textId="77777777" w:rsidR="00FB0A3F" w:rsidRDefault="00000000">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Short-term</w:t>
            </w:r>
          </w:p>
        </w:tc>
        <w:tc>
          <w:tcPr>
            <w:tcW w:w="179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BC4C79D" w14:textId="77777777" w:rsidR="00FB0A3F" w:rsidRDefault="00000000">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Last 4 years</w:t>
            </w:r>
          </w:p>
        </w:tc>
      </w:tr>
      <w:tr w:rsidR="00FF2F21" w14:paraId="72B0DABA" w14:textId="77777777">
        <w:trPr>
          <w:cantSplit/>
          <w:trHeight w:val="218"/>
          <w:tblHeader/>
          <w:jc w:val="center"/>
        </w:trPr>
        <w:tc>
          <w:tcPr>
            <w:tcW w:w="703"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21AD11C" w14:textId="77777777" w:rsidR="00FF2F21" w:rsidRDefault="00FF2F21" w:rsidP="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(t)</w:t>
            </w:r>
          </w:p>
        </w:tc>
        <w:tc>
          <w:tcPr>
            <w:tcW w:w="572"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9D4F8EF" w14:textId="77777777" w:rsidR="00FF2F21" w:rsidRDefault="00FF2F21" w:rsidP="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w:t>
            </w: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A5ED9E5" w14:textId="35D71C5A" w:rsidR="00FF2F21" w:rsidRDefault="00FF2F21" w:rsidP="00FF2F21">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22/23</w:t>
            </w:r>
          </w:p>
        </w:tc>
        <w:tc>
          <w:tcPr>
            <w:tcW w:w="84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3D9DD57" w14:textId="52C31913" w:rsidR="00FF2F21" w:rsidRDefault="00FF2F21" w:rsidP="00FF2F21">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23/24</w:t>
            </w:r>
          </w:p>
        </w:tc>
        <w:tc>
          <w:tcPr>
            <w:tcW w:w="845"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280D2075" w14:textId="7159A545" w:rsidR="00FF2F21" w:rsidRDefault="00FF2F21" w:rsidP="00FF2F21">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24/25</w:t>
            </w: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AA2F7C8" w14:textId="4BA5636E" w:rsidR="00FF2F21" w:rsidRDefault="00FF2F21" w:rsidP="00FF2F21">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2003/04 – 2023/24</w:t>
            </w:r>
          </w:p>
        </w:tc>
        <w:tc>
          <w:tcPr>
            <w:tcW w:w="179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9086DDF" w14:textId="2B072A49" w:rsidR="00FF2F21" w:rsidRDefault="00FF2F21" w:rsidP="00FF2F21">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2009/10 – 2023/24</w:t>
            </w:r>
          </w:p>
        </w:tc>
        <w:tc>
          <w:tcPr>
            <w:tcW w:w="179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36C0962" w14:textId="600FDD1D" w:rsidR="00FF2F21" w:rsidRDefault="00FF2F21" w:rsidP="00FF2F21">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2020/21 – 2023/24</w:t>
            </w:r>
          </w:p>
        </w:tc>
      </w:tr>
      <w:tr w:rsidR="00FF2F21" w14:paraId="148F91AB" w14:textId="77777777">
        <w:trPr>
          <w:cantSplit/>
          <w:trHeight w:val="123"/>
          <w:jc w:val="center"/>
        </w:trPr>
        <w:tc>
          <w:tcPr>
            <w:tcW w:w="703"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05C40184" w14:textId="0AF2E01B" w:rsidR="00FF2F21" w:rsidRDefault="008D0E2D" w:rsidP="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3.8</w:t>
            </w:r>
          </w:p>
        </w:tc>
        <w:tc>
          <w:tcPr>
            <w:tcW w:w="572"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4B7AE6D1" w14:textId="63032FAE" w:rsidR="00FF2F21" w:rsidRDefault="00FF2F21" w:rsidP="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1.</w:t>
            </w:r>
            <w:r w:rsidR="008D0E2D">
              <w:rPr>
                <w:rFonts w:ascii="Helvetica" w:eastAsia="Helvetica" w:hAnsi="Helvetica" w:cs="Helvetica"/>
                <w:color w:val="000000"/>
                <w:sz w:val="18"/>
                <w:szCs w:val="18"/>
              </w:rPr>
              <w:t>7</w:t>
            </w:r>
          </w:p>
        </w:tc>
        <w:tc>
          <w:tcPr>
            <w:tcW w:w="724"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4F5ACCD" w14:textId="4FD76426" w:rsidR="00FF2F21" w:rsidRDefault="00FF2F21" w:rsidP="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5.7</w:t>
            </w:r>
          </w:p>
        </w:tc>
        <w:tc>
          <w:tcPr>
            <w:tcW w:w="846" w:type="dxa"/>
            <w:tcBorders>
              <w:left w:val="single" w:sz="8" w:space="0" w:color="000000"/>
              <w:bottom w:val="single" w:sz="8" w:space="0" w:color="000000"/>
              <w:right w:val="single" w:sz="8" w:space="0" w:color="000000"/>
            </w:tcBorders>
            <w:shd w:val="clear" w:color="auto" w:fill="auto"/>
          </w:tcPr>
          <w:p w14:paraId="1FF31C40" w14:textId="1529F72D" w:rsidR="00FF2F21" w:rsidRDefault="00FF2F21" w:rsidP="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4.8</w:t>
            </w:r>
          </w:p>
        </w:tc>
        <w:tc>
          <w:tcPr>
            <w:tcW w:w="845" w:type="dxa"/>
            <w:gridSpan w:val="2"/>
            <w:tcBorders>
              <w:left w:val="single" w:sz="8" w:space="0" w:color="000000"/>
              <w:bottom w:val="single" w:sz="8" w:space="0" w:color="000000"/>
              <w:right w:val="single" w:sz="8" w:space="0" w:color="000000"/>
            </w:tcBorders>
            <w:shd w:val="clear" w:color="auto" w:fill="auto"/>
          </w:tcPr>
          <w:p w14:paraId="4C8F8CAE" w14:textId="2D4C79B7" w:rsidR="00FF2F21" w:rsidRDefault="009C295D" w:rsidP="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4.8</w:t>
            </w: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A14C95A" w14:textId="35B75819" w:rsidR="00FF2F21" w:rsidRPr="00192026" w:rsidRDefault="00FF2F21" w:rsidP="00FF2F21">
            <w:pPr>
              <w:spacing w:before="100" w:after="100"/>
              <w:ind w:left="100" w:right="100"/>
              <w:jc w:val="center"/>
              <w:rPr>
                <w:rFonts w:ascii="Helvetica" w:eastAsia="Helvetica" w:hAnsi="Helvetica" w:cs="Helvetica"/>
                <w:color w:val="000000" w:themeColor="text1"/>
                <w:sz w:val="18"/>
                <w:szCs w:val="18"/>
              </w:rPr>
            </w:pPr>
            <w:r w:rsidRPr="00192026">
              <w:rPr>
                <w:rFonts w:ascii="Helvetica" w:eastAsia="Arial" w:hAnsi="Helvetica" w:cs="Helvetica"/>
                <w:color w:val="000000" w:themeColor="text1"/>
                <w:sz w:val="18"/>
                <w:szCs w:val="18"/>
              </w:rPr>
              <w:t>-</w:t>
            </w:r>
            <w:r w:rsidR="00192026" w:rsidRPr="00192026">
              <w:rPr>
                <w:rFonts w:ascii="Helvetica" w:eastAsia="Arial" w:hAnsi="Helvetica" w:cs="Helvetica"/>
                <w:color w:val="000000" w:themeColor="text1"/>
                <w:sz w:val="18"/>
                <w:szCs w:val="18"/>
              </w:rPr>
              <w:t>2</w:t>
            </w:r>
            <w:r w:rsidRPr="00192026">
              <w:rPr>
                <w:rFonts w:ascii="Helvetica" w:eastAsia="Arial" w:hAnsi="Helvetica" w:cs="Helvetica"/>
                <w:color w:val="000000" w:themeColor="text1"/>
                <w:sz w:val="18"/>
                <w:szCs w:val="18"/>
              </w:rPr>
              <w:t>2</w:t>
            </w:r>
          </w:p>
        </w:tc>
        <w:tc>
          <w:tcPr>
            <w:tcW w:w="179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A7D48E0" w14:textId="31C21274" w:rsidR="00FF2F21" w:rsidRPr="00192026" w:rsidRDefault="00FF2F21" w:rsidP="00FF2F21">
            <w:pPr>
              <w:spacing w:before="100" w:after="100"/>
              <w:ind w:left="100" w:right="100"/>
              <w:jc w:val="center"/>
              <w:rPr>
                <w:rFonts w:ascii="Helvetica" w:eastAsia="Helvetica" w:hAnsi="Helvetica" w:cs="Helvetica"/>
                <w:color w:val="000000" w:themeColor="text1"/>
                <w:sz w:val="18"/>
                <w:szCs w:val="18"/>
              </w:rPr>
            </w:pPr>
            <w:r w:rsidRPr="00192026">
              <w:rPr>
                <w:rFonts w:ascii="Helvetica" w:eastAsia="Arial" w:hAnsi="Helvetica" w:cs="Helvetica"/>
                <w:color w:val="000000" w:themeColor="text1"/>
                <w:sz w:val="18"/>
                <w:szCs w:val="18"/>
              </w:rPr>
              <w:t>-</w:t>
            </w:r>
            <w:r w:rsidR="00192026" w:rsidRPr="00192026">
              <w:rPr>
                <w:rFonts w:ascii="Helvetica" w:eastAsia="Arial" w:hAnsi="Helvetica" w:cs="Helvetica"/>
                <w:color w:val="000000" w:themeColor="text1"/>
                <w:sz w:val="18"/>
                <w:szCs w:val="18"/>
              </w:rPr>
              <w:t>12</w:t>
            </w:r>
          </w:p>
        </w:tc>
        <w:tc>
          <w:tcPr>
            <w:tcW w:w="1791" w:type="dxa"/>
            <w:tcBorders>
              <w:top w:val="single" w:sz="8" w:space="0" w:color="000000"/>
              <w:left w:val="single" w:sz="8" w:space="0" w:color="000000"/>
              <w:bottom w:val="single" w:sz="8" w:space="0" w:color="000000"/>
              <w:right w:val="single" w:sz="8" w:space="0" w:color="000000"/>
            </w:tcBorders>
            <w:shd w:val="clear" w:color="auto" w:fill="FFFFFF"/>
          </w:tcPr>
          <w:p w14:paraId="4361A8A5" w14:textId="3EDA178C" w:rsidR="00FF2F21" w:rsidRDefault="00192026" w:rsidP="00FF2F21">
            <w:pPr>
              <w:spacing w:before="100" w:after="100"/>
              <w:ind w:left="100" w:right="100"/>
              <w:jc w:val="center"/>
              <w:rPr>
                <w:rFonts w:ascii="Helvetica" w:eastAsia="Helvetica" w:hAnsi="Helvetica" w:cs="Helvetica"/>
                <w:color w:val="000000"/>
                <w:sz w:val="18"/>
                <w:szCs w:val="18"/>
              </w:rPr>
            </w:pPr>
            <w:r>
              <w:rPr>
                <w:rFonts w:ascii="Helvetica" w:eastAsia="Arial" w:hAnsi="Helvetica" w:cs="Helvetica"/>
                <w:sz w:val="18"/>
                <w:szCs w:val="18"/>
              </w:rPr>
              <w:t>7</w:t>
            </w:r>
          </w:p>
        </w:tc>
      </w:tr>
      <w:tr w:rsidR="00FB0A3F" w14:paraId="77493B21" w14:textId="77777777" w:rsidTr="00947B63">
        <w:trPr>
          <w:cantSplit/>
          <w:jc w:val="center"/>
        </w:trPr>
        <w:tc>
          <w:tcPr>
            <w:tcW w:w="3676" w:type="dxa"/>
            <w:gridSpan w:val="5"/>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62D40AC9" w14:textId="2C1DDC83" w:rsidR="00FB0A3F" w:rsidRDefault="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LML 2023/24 = 110 mm</w:t>
            </w:r>
          </w:p>
        </w:tc>
        <w:tc>
          <w:tcPr>
            <w:tcW w:w="5386" w:type="dxa"/>
            <w:gridSpan w:val="4"/>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7BAEADAA" w14:textId="28CB7D44" w:rsidR="00FB0A3F" w:rsidRDefault="0001483C">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Mean daily catch 2023/24 (nominal) = 3</w:t>
            </w:r>
            <w:r w:rsidR="00947B63">
              <w:rPr>
                <w:rFonts w:ascii="Helvetica" w:eastAsia="Helvetica" w:hAnsi="Helvetica" w:cs="Helvetica"/>
                <w:color w:val="000000"/>
                <w:sz w:val="18"/>
                <w:szCs w:val="18"/>
              </w:rPr>
              <w:t>14</w:t>
            </w:r>
            <w:r>
              <w:rPr>
                <w:rFonts w:ascii="Helvetica" w:eastAsia="Helvetica" w:hAnsi="Helvetica" w:cs="Helvetica"/>
                <w:color w:val="000000"/>
                <w:sz w:val="18"/>
                <w:szCs w:val="18"/>
              </w:rPr>
              <w:t xml:space="preserve"> kg</w:t>
            </w:r>
          </w:p>
        </w:tc>
      </w:tr>
    </w:tbl>
    <w:p w14:paraId="4F6E623D" w14:textId="77777777" w:rsidR="00FB0A3F" w:rsidRDefault="00FB0A3F"/>
    <w:p w14:paraId="58BBA4BC" w14:textId="05087530" w:rsidR="00FB0A3F" w:rsidRDefault="00000000">
      <w:r>
        <w:t xml:space="preserve">The Prom </w:t>
      </w:r>
      <w:proofErr w:type="spellStart"/>
      <w:r>
        <w:t>Eastside</w:t>
      </w:r>
      <w:proofErr w:type="spellEnd"/>
      <w:r>
        <w:t xml:space="preserve"> SMU was inconsistently fished from 1992 to 2012 (Figure 36). Annual catch has averaged </w:t>
      </w:r>
      <w:r w:rsidR="008C4911">
        <w:t xml:space="preserve">around </w:t>
      </w:r>
      <w:r>
        <w:t xml:space="preserve">5 t, with a peak catch of 11 t in 2003. A consistent catch of 7-8 t was harvested between 2013 and 2020 before catches of </w:t>
      </w:r>
      <w:r w:rsidR="008C4911">
        <w:t>4-</w:t>
      </w:r>
      <w:r>
        <w:t xml:space="preserve">5 t </w:t>
      </w:r>
      <w:r w:rsidR="008C4911">
        <w:t>thereafter</w:t>
      </w:r>
      <w:r>
        <w:t>.</w:t>
      </w:r>
    </w:p>
    <w:p w14:paraId="31ABB3B0" w14:textId="1B21D936" w:rsidR="00FB0A3F" w:rsidRDefault="00AF21D9">
      <w:r>
        <w:t xml:space="preserve">Standardised CPUE declined from 2003 to 2007 and has varied without trend thereafter (Figure 36). </w:t>
      </w:r>
    </w:p>
    <w:p w14:paraId="2319364A" w14:textId="63D5A211" w:rsidR="00FB0A3F" w:rsidRDefault="00AF21D9">
      <w:pPr>
        <w:jc w:val="center"/>
      </w:pPr>
      <w:r>
        <w:rPr>
          <w:noProof/>
        </w:rPr>
        <w:lastRenderedPageBreak/>
        <w:drawing>
          <wp:inline distT="0" distB="0" distL="0" distR="0" wp14:anchorId="15B748A2" wp14:editId="336A3C41">
            <wp:extent cx="5727700" cy="3579495"/>
            <wp:effectExtent l="0" t="0" r="0" b="0"/>
            <wp:docPr id="180" name="Picture" descr="Figure 34: Prom Eastside SMU catch, and CPUE (nominal and standardised) from 1992/93 – 2022/23. Catch = bars, nominal CPUE = grey series (+/- SE), standardised series = black. Numbers in bars indicate changes to LMLs. MPs = introduction of Marine Parks."/>
            <wp:cNvGraphicFramePr/>
            <a:graphic xmlns:a="http://schemas.openxmlformats.org/drawingml/2006/main">
              <a:graphicData uri="http://schemas.openxmlformats.org/drawingml/2006/picture">
                <pic:pic xmlns:pic="http://schemas.openxmlformats.org/drawingml/2006/picture">
                  <pic:nvPicPr>
                    <pic:cNvPr id="180" name="Picture" descr="Figure 34: Prom Eastside SMU catch, and CPUE (nominal and standardised) from 1992/93 – 2022/23. Catch = bars, nominal CPUE = grey series (+/- SE), standardised series = black. Numbers in bars indicate changes to LMLs. MPs = introduction of Marine Parks."/>
                    <pic:cNvPicPr/>
                  </pic:nvPicPr>
                  <pic:blipFill>
                    <a:blip r:embed="rId61"/>
                    <a:stretch>
                      <a:fillRect/>
                    </a:stretch>
                  </pic:blipFill>
                  <pic:spPr bwMode="auto">
                    <a:xfrm>
                      <a:off x="0" y="0"/>
                      <a:ext cx="5727700" cy="3579495"/>
                    </a:xfrm>
                    <a:prstGeom prst="rect">
                      <a:avLst/>
                    </a:prstGeom>
                    <a:noFill/>
                    <a:ln w="9525">
                      <a:noFill/>
                      <a:headEnd/>
                      <a:tailEnd/>
                    </a:ln>
                  </pic:spPr>
                </pic:pic>
              </a:graphicData>
            </a:graphic>
          </wp:inline>
        </w:drawing>
      </w:r>
    </w:p>
    <w:p w14:paraId="19447613" w14:textId="6633BF29" w:rsidR="00FB0A3F" w:rsidRDefault="00000000">
      <w:pPr>
        <w:pStyle w:val="Caption"/>
      </w:pPr>
      <w:bookmarkStart w:id="302" w:name="_Toc192777301"/>
      <w:r>
        <w:t xml:space="preserve">Figure 36: Prom </w:t>
      </w:r>
      <w:proofErr w:type="spellStart"/>
      <w:r>
        <w:t>Eastside</w:t>
      </w:r>
      <w:proofErr w:type="spellEnd"/>
      <w:r>
        <w:t xml:space="preserve"> SMU catch, and CPUE (nominal and standardised) from 1992/1993 – </w:t>
      </w:r>
      <w:r w:rsidR="00D2115A">
        <w:t xml:space="preserve">2023/24. </w:t>
      </w:r>
      <w:r w:rsidR="00495804" w:rsidRPr="00495804">
        <w:t>Nominal annual = grey series (+/- SE), standardised annual = solid black, standardised quarterly = dashed black</w:t>
      </w:r>
      <w:r>
        <w:t>. Numbers indicate changes to LMLs. MPs = introduction of Marine Parks.</w:t>
      </w:r>
      <w:bookmarkEnd w:id="302"/>
    </w:p>
    <w:p w14:paraId="72726B6D" w14:textId="3D507DA3" w:rsidR="00FB0A3F" w:rsidRDefault="009B5E24">
      <w:r>
        <w:t>Standardised mean daily catch marginally declined from 2003 to 2013 and has been relatively stable thereafter (Figure 37). Nominal mean daily catch was 314 kg/day in 2023/24.</w:t>
      </w:r>
    </w:p>
    <w:p w14:paraId="2A901B1A" w14:textId="78052AD3" w:rsidR="00FB0A3F" w:rsidRDefault="00AF21D9">
      <w:r>
        <w:rPr>
          <w:noProof/>
        </w:rPr>
        <w:drawing>
          <wp:inline distT="0" distB="0" distL="0" distR="0" wp14:anchorId="7948D6F6" wp14:editId="6670B99D">
            <wp:extent cx="5727700" cy="3579495"/>
            <wp:effectExtent l="0" t="0" r="0" b="0"/>
            <wp:docPr id="177" name="Picture" descr="A graph of a graph with lin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77" name="Picture" descr="A graph of a graph with lines&#10;&#10;Description automatically generated with medium confidence"/>
                    <pic:cNvPicPr/>
                  </pic:nvPicPr>
                  <pic:blipFill>
                    <a:blip r:embed="rId62"/>
                    <a:stretch>
                      <a:fillRect/>
                    </a:stretch>
                  </pic:blipFill>
                  <pic:spPr bwMode="auto">
                    <a:xfrm>
                      <a:off x="0" y="0"/>
                      <a:ext cx="5727700" cy="3579495"/>
                    </a:xfrm>
                    <a:prstGeom prst="rect">
                      <a:avLst/>
                    </a:prstGeom>
                    <a:noFill/>
                    <a:ln w="9525">
                      <a:noFill/>
                      <a:headEnd/>
                      <a:tailEnd/>
                    </a:ln>
                  </pic:spPr>
                </pic:pic>
              </a:graphicData>
            </a:graphic>
          </wp:inline>
        </w:drawing>
      </w:r>
    </w:p>
    <w:p w14:paraId="756C7A80" w14:textId="2F56B3BF" w:rsidR="00FB0A3F" w:rsidRDefault="00000000">
      <w:pPr>
        <w:pStyle w:val="Caption"/>
      </w:pPr>
      <w:bookmarkStart w:id="303" w:name="_Toc192777302"/>
      <w:r>
        <w:t xml:space="preserve">Figure 37: Total catch and mean daily catch for the Prom </w:t>
      </w:r>
      <w:proofErr w:type="spellStart"/>
      <w:r>
        <w:t>Eastside</w:t>
      </w:r>
      <w:proofErr w:type="spellEnd"/>
      <w:r>
        <w:t xml:space="preserve"> </w:t>
      </w:r>
      <w:r w:rsidR="008D0E2D">
        <w:t>SMU from 2003 to 2023</w:t>
      </w:r>
      <w:r w:rsidR="00495804">
        <w:t xml:space="preserve">. </w:t>
      </w:r>
      <w:r w:rsidR="00495804" w:rsidRPr="00495804">
        <w:t>Nominal annual = grey series (+/- SE), standardised annual = solid black, standardised quarterly = dashed black</w:t>
      </w:r>
      <w:r>
        <w:t>.</w:t>
      </w:r>
      <w:bookmarkEnd w:id="303"/>
      <w:r>
        <w:t xml:space="preserve"> </w:t>
      </w:r>
    </w:p>
    <w:p w14:paraId="09F5F635" w14:textId="111A2A37" w:rsidR="00FB0A3F" w:rsidRDefault="00000000">
      <w:pPr>
        <w:pStyle w:val="TableCaption"/>
      </w:pPr>
      <w:bookmarkStart w:id="304" w:name="_Toc192762293"/>
      <w:r>
        <w:lastRenderedPageBreak/>
        <w:t>Table 2</w:t>
      </w:r>
      <w:r w:rsidR="001A6F5B">
        <w:t>5</w:t>
      </w:r>
      <w:r>
        <w:t xml:space="preserve">: Catches (kg) by </w:t>
      </w:r>
      <w:proofErr w:type="spellStart"/>
      <w:r>
        <w:t>reefcode</w:t>
      </w:r>
      <w:proofErr w:type="spellEnd"/>
      <w:r>
        <w:t xml:space="preserve"> for the Prom </w:t>
      </w:r>
      <w:proofErr w:type="spellStart"/>
      <w:r>
        <w:t>Eastside</w:t>
      </w:r>
      <w:proofErr w:type="spellEnd"/>
      <w:r>
        <w:t xml:space="preserve"> SMU </w:t>
      </w:r>
      <w:r w:rsidR="003E07DE">
        <w:t xml:space="preserve">from 2018/19 to 2023/24 and the </w:t>
      </w:r>
      <w:r w:rsidR="008E6717">
        <w:t>5</w:t>
      </w:r>
      <w:r w:rsidR="003E07DE">
        <w:t>-year average catch from 2018/19 to 2022/23</w:t>
      </w:r>
      <w:r>
        <w:t>.</w:t>
      </w:r>
      <w:bookmarkEnd w:id="304"/>
    </w:p>
    <w:p w14:paraId="3BF3153D" w14:textId="15DA5759" w:rsidR="00FB0A3F" w:rsidRDefault="00BE07ED">
      <w:pPr>
        <w:jc w:val="center"/>
      </w:pPr>
      <w:r w:rsidRPr="00BE07ED">
        <w:rPr>
          <w:noProof/>
        </w:rPr>
        <w:drawing>
          <wp:inline distT="0" distB="0" distL="0" distR="0" wp14:anchorId="7455A15C" wp14:editId="464B0510">
            <wp:extent cx="4267200" cy="1214300"/>
            <wp:effectExtent l="0" t="0" r="0" b="5080"/>
            <wp:docPr id="1241361103" name="Picture 1" descr="A table with numb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361103" name="Picture 1" descr="A table with numbers and numbers&#10;&#10;Description automatically generated"/>
                    <pic:cNvPicPr/>
                  </pic:nvPicPr>
                  <pic:blipFill>
                    <a:blip r:embed="rId63"/>
                    <a:stretch>
                      <a:fillRect/>
                    </a:stretch>
                  </pic:blipFill>
                  <pic:spPr>
                    <a:xfrm>
                      <a:off x="0" y="0"/>
                      <a:ext cx="4289687" cy="1220699"/>
                    </a:xfrm>
                    <a:prstGeom prst="rect">
                      <a:avLst/>
                    </a:prstGeom>
                  </pic:spPr>
                </pic:pic>
              </a:graphicData>
            </a:graphic>
          </wp:inline>
        </w:drawing>
      </w:r>
    </w:p>
    <w:p w14:paraId="778291A9" w14:textId="209731FE" w:rsidR="00FB0A3F" w:rsidRDefault="00000000">
      <w:r>
        <w:t xml:space="preserve">The Prom </w:t>
      </w:r>
      <w:proofErr w:type="spellStart"/>
      <w:r>
        <w:t>Eastside</w:t>
      </w:r>
      <w:proofErr w:type="spellEnd"/>
      <w:r>
        <w:t xml:space="preserve"> SMU comprises </w:t>
      </w:r>
      <w:r w:rsidR="008E6717">
        <w:t>5</w:t>
      </w:r>
      <w:r>
        <w:t xml:space="preserve"> </w:t>
      </w:r>
      <w:proofErr w:type="spellStart"/>
      <w:r>
        <w:t>reefcodes</w:t>
      </w:r>
      <w:proofErr w:type="spellEnd"/>
      <w:r>
        <w:t>, two of which (18.04, 18.03) contribute most of the total SMU catch (Table 2</w:t>
      </w:r>
      <w:r w:rsidR="001A6F5B">
        <w:t>5</w:t>
      </w:r>
      <w:r>
        <w:t>). In 202</w:t>
      </w:r>
      <w:r w:rsidR="008C4911">
        <w:t>3</w:t>
      </w:r>
      <w:r>
        <w:t>/2</w:t>
      </w:r>
      <w:r w:rsidR="008C4911">
        <w:t>4</w:t>
      </w:r>
      <w:r>
        <w:t xml:space="preserve">, </w:t>
      </w:r>
      <w:r w:rsidR="008C4911">
        <w:t>the catch at 18.05 was the highest recorded in the last six years while the catch at 18.04 was the lowest</w:t>
      </w:r>
      <w:r>
        <w:t>.</w:t>
      </w:r>
    </w:p>
    <w:p w14:paraId="671AEBB1" w14:textId="77777777" w:rsidR="00FB0A3F" w:rsidRDefault="00000000">
      <w:pPr>
        <w:rPr>
          <w:i/>
          <w:iCs/>
        </w:rPr>
      </w:pPr>
      <w:r>
        <w:rPr>
          <w:i/>
          <w:iCs/>
        </w:rPr>
        <w:t>Length frequency data – commercial</w:t>
      </w:r>
    </w:p>
    <w:p w14:paraId="0ED0C357" w14:textId="5B5AC49D" w:rsidR="00FB0A3F" w:rsidRDefault="00000000">
      <w:r>
        <w:t xml:space="preserve">The standardised average length of abalone in the commercial catch at Prom </w:t>
      </w:r>
      <w:proofErr w:type="spellStart"/>
      <w:r>
        <w:t>Eastside</w:t>
      </w:r>
      <w:proofErr w:type="spellEnd"/>
      <w:r>
        <w:t xml:space="preserve"> increased </w:t>
      </w:r>
      <w:r w:rsidR="000B7DE2">
        <w:t>from 116 mm in 2016/17 to 123 mm in 2023/24</w:t>
      </w:r>
      <w:r>
        <w:t xml:space="preserve">, with </w:t>
      </w:r>
      <w:r w:rsidR="000B7DE2">
        <w:t xml:space="preserve">reductions in average size observed during </w:t>
      </w:r>
      <w:r>
        <w:t>2020/21 and 2021/22 (</w:t>
      </w:r>
      <w:r w:rsidR="000B7DE2">
        <w:t xml:space="preserve">117 mm, </w:t>
      </w:r>
      <w:r>
        <w:t xml:space="preserve">Appendix </w:t>
      </w:r>
      <w:r w:rsidR="000B7DE2">
        <w:t>3</w:t>
      </w:r>
      <w:r>
        <w:t xml:space="preserve">). The LML has been stable over this time at 110 mm (Appendix </w:t>
      </w:r>
      <w:r w:rsidR="000B7DE2">
        <w:t>4</w:t>
      </w:r>
      <w:r>
        <w:t>). Raw data are more variable but show similar trends over time.</w:t>
      </w:r>
      <w:r w:rsidR="000B7DE2">
        <w:t xml:space="preserve"> Increases in length lead to increases in weight and a reduction in the number of abalone harvested for a given TACC, with estimates of weight increase greater than 5% for the Prom </w:t>
      </w:r>
      <w:proofErr w:type="spellStart"/>
      <w:r w:rsidR="000B7DE2">
        <w:t>Eastside</w:t>
      </w:r>
      <w:proofErr w:type="spellEnd"/>
      <w:r w:rsidR="000B7DE2">
        <w:t xml:space="preserve"> SMU.</w:t>
      </w:r>
    </w:p>
    <w:p w14:paraId="79E29281" w14:textId="77777777" w:rsidR="00FB0A3F" w:rsidRDefault="00000000">
      <w:r>
        <w:rPr>
          <w:i/>
          <w:iCs/>
        </w:rPr>
        <w:t>Summary</w:t>
      </w:r>
    </w:p>
    <w:p w14:paraId="041B5E05" w14:textId="3D8036B4" w:rsidR="00FB0A3F" w:rsidRDefault="00000000">
      <w:r>
        <w:t xml:space="preserve">The Prom </w:t>
      </w:r>
      <w:proofErr w:type="spellStart"/>
      <w:r>
        <w:t>Eastside</w:t>
      </w:r>
      <w:proofErr w:type="spellEnd"/>
      <w:r>
        <w:t xml:space="preserve"> SMU had produced only variable catches until co</w:t>
      </w:r>
      <w:r w:rsidR="005E0F8A">
        <w:t>n</w:t>
      </w:r>
      <w:r>
        <w:t xml:space="preserve">sistent catches were harvested from 2013 to 2020. In the last </w:t>
      </w:r>
      <w:r w:rsidR="005E0F8A">
        <w:t xml:space="preserve">few </w:t>
      </w:r>
      <w:r>
        <w:t>years catches have been considerably lower. Standardised CPUE</w:t>
      </w:r>
      <w:r w:rsidR="005E0F8A">
        <w:t xml:space="preserve"> and mean daily catch have fluctuated without trend in recent years. </w:t>
      </w:r>
      <w:r>
        <w:t>The standardised average length of the commercial catch has increased since 2016/17 and is currently 13 mm above the LML.</w:t>
      </w:r>
    </w:p>
    <w:p w14:paraId="28F2A2BC" w14:textId="20D12917" w:rsidR="00FB0A3F" w:rsidRDefault="00000000">
      <w:r>
        <w:t xml:space="preserve">The total catch in the Prom </w:t>
      </w:r>
      <w:proofErr w:type="spellStart"/>
      <w:r>
        <w:t>Eastside</w:t>
      </w:r>
      <w:proofErr w:type="spellEnd"/>
      <w:r>
        <w:t xml:space="preserve"> SMU of </w:t>
      </w:r>
      <w:r w:rsidR="005E0F8A">
        <w:t>3.8</w:t>
      </w:r>
      <w:r>
        <w:t xml:space="preserve"> t was 1.0 t below the OT (</w:t>
      </w:r>
      <w:r w:rsidR="005E0F8A">
        <w:t>4.8</w:t>
      </w:r>
      <w:r>
        <w:t xml:space="preserve"> t). Mean CPUE (</w:t>
      </w:r>
      <w:r w:rsidR="005E0F8A">
        <w:t>52.9</w:t>
      </w:r>
      <w:r>
        <w:t xml:space="preserve"> kg/h) </w:t>
      </w:r>
      <w:r w:rsidR="005E0F8A">
        <w:t xml:space="preserve">remained </w:t>
      </w:r>
      <w:r>
        <w:t xml:space="preserve">below the Threshold (60 kg/h) and above the Limit Reference Point (40 kg/h). </w:t>
      </w:r>
      <w:r w:rsidR="005E0F8A">
        <w:t xml:space="preserve">The current CPUE measure has been below the Threshold and Above the Limit for 14 consecutive years, and as a result, Catch Control Rule 2 applies. </w:t>
      </w:r>
      <w:r>
        <w:t xml:space="preserve">The Primary </w:t>
      </w:r>
      <w:r w:rsidR="005E0F8A">
        <w:t xml:space="preserve">and Secondary </w:t>
      </w:r>
      <w:r>
        <w:t>Categor</w:t>
      </w:r>
      <w:r w:rsidR="005E0F8A">
        <w:t>ies</w:t>
      </w:r>
      <w:r>
        <w:t xml:space="preserve"> w</w:t>
      </w:r>
      <w:r w:rsidR="005E0F8A">
        <w:t>ere</w:t>
      </w:r>
      <w:r>
        <w:t xml:space="preserve"> Stable, resulting in a Stable Final Category. </w:t>
      </w:r>
      <w:r w:rsidR="005E0F8A">
        <w:t xml:space="preserve">With an </w:t>
      </w:r>
      <w:r>
        <w:t xml:space="preserve">OT </w:t>
      </w:r>
      <w:r w:rsidR="005E0F8A">
        <w:t xml:space="preserve">of </w:t>
      </w:r>
      <w:r>
        <w:t xml:space="preserve">4.8 t </w:t>
      </w:r>
      <w:r w:rsidR="005E0F8A">
        <w:t xml:space="preserve">for </w:t>
      </w:r>
      <w:r>
        <w:t>202</w:t>
      </w:r>
      <w:r w:rsidR="005E0F8A">
        <w:t>4</w:t>
      </w:r>
      <w:r>
        <w:t>/2</w:t>
      </w:r>
      <w:r w:rsidR="005E0F8A">
        <w:t xml:space="preserve">5, the suggested range of OTs for 2025/26 is </w:t>
      </w:r>
      <w:r>
        <w:t>4.</w:t>
      </w:r>
      <w:r w:rsidR="000C508C">
        <w:t>1</w:t>
      </w:r>
      <w:r>
        <w:t xml:space="preserve"> to </w:t>
      </w:r>
      <w:r w:rsidR="005E0F8A">
        <w:t>4.6</w:t>
      </w:r>
      <w:r>
        <w:t xml:space="preserve"> t. </w:t>
      </w:r>
    </w:p>
    <w:p w14:paraId="7F59D39F" w14:textId="44D0277E" w:rsidR="00FB0A3F" w:rsidRDefault="00A93B2C">
      <w:pPr>
        <w:rPr>
          <w:b/>
          <w:bCs/>
        </w:rPr>
      </w:pPr>
      <w:bookmarkStart w:id="305" w:name="_Hlk192776605"/>
      <w:r>
        <w:rPr>
          <w:b/>
          <w:bCs/>
        </w:rPr>
        <w:t xml:space="preserve">The weight of evidence in this assessment suggests that the key indicators of the stock are now stable or improving. </w:t>
      </w:r>
      <w:r w:rsidR="007A3295">
        <w:rPr>
          <w:b/>
          <w:bCs/>
        </w:rPr>
        <w:t>CPUE has increased slightly in recent years</w:t>
      </w:r>
      <w:r>
        <w:rPr>
          <w:b/>
          <w:bCs/>
        </w:rPr>
        <w:t xml:space="preserve"> and mean daily catch has been stable. Commercial length data suggest that the average size harvested has been increasing. </w:t>
      </w:r>
      <w:r w:rsidR="007A3295">
        <w:rPr>
          <w:b/>
          <w:bCs/>
        </w:rPr>
        <w:t xml:space="preserve">While the </w:t>
      </w:r>
      <w:r w:rsidR="00BF48B3">
        <w:rPr>
          <w:b/>
          <w:bCs/>
        </w:rPr>
        <w:t>Draft Harvest Strategy</w:t>
      </w:r>
      <w:r w:rsidR="007A3295">
        <w:rPr>
          <w:b/>
          <w:bCs/>
        </w:rPr>
        <w:t xml:space="preserve"> recommends a reduction in OT, this appears to be an artefact of the reference point calculation which requires review. Given the OT was reduced last year and is </w:t>
      </w:r>
      <w:r w:rsidR="008A6DD7">
        <w:rPr>
          <w:b/>
          <w:bCs/>
        </w:rPr>
        <w:t>c</w:t>
      </w:r>
      <w:r>
        <w:rPr>
          <w:b/>
          <w:bCs/>
        </w:rPr>
        <w:t>urrent</w:t>
      </w:r>
      <w:r w:rsidR="007A3295">
        <w:rPr>
          <w:b/>
          <w:bCs/>
        </w:rPr>
        <w:t>ly</w:t>
      </w:r>
      <w:r w:rsidR="008A6DD7">
        <w:rPr>
          <w:b/>
          <w:bCs/>
        </w:rPr>
        <w:t xml:space="preserve"> </w:t>
      </w:r>
      <w:r w:rsidR="006E1A82">
        <w:rPr>
          <w:b/>
          <w:bCs/>
        </w:rPr>
        <w:t xml:space="preserve">well below </w:t>
      </w:r>
      <w:r>
        <w:rPr>
          <w:b/>
          <w:bCs/>
        </w:rPr>
        <w:t>recent historical levels</w:t>
      </w:r>
      <w:r w:rsidR="008A6DD7">
        <w:rPr>
          <w:b/>
          <w:bCs/>
        </w:rPr>
        <w:t xml:space="preserve"> of catch</w:t>
      </w:r>
      <w:r>
        <w:rPr>
          <w:b/>
          <w:bCs/>
        </w:rPr>
        <w:t xml:space="preserve">, maintaining the current OT </w:t>
      </w:r>
      <w:r w:rsidR="007A3295">
        <w:rPr>
          <w:b/>
          <w:bCs/>
        </w:rPr>
        <w:t>appears to be an appropriate outcome</w:t>
      </w:r>
      <w:bookmarkEnd w:id="305"/>
      <w:r>
        <w:rPr>
          <w:b/>
          <w:bCs/>
        </w:rPr>
        <w:t xml:space="preserve">. </w:t>
      </w:r>
    </w:p>
    <w:p w14:paraId="270D4BB1" w14:textId="7BE3A70D" w:rsidR="00FB0A3F" w:rsidRDefault="00FB0A3F">
      <w:pPr>
        <w:spacing w:before="0" w:after="160" w:line="259" w:lineRule="auto"/>
      </w:pPr>
    </w:p>
    <w:p w14:paraId="5A0CDA95" w14:textId="77777777" w:rsidR="00D9781F" w:rsidRDefault="00D9781F">
      <w:pPr>
        <w:spacing w:before="0" w:after="0"/>
        <w:rPr>
          <w:rFonts w:asciiTheme="majorHAnsi" w:eastAsiaTheme="majorEastAsia" w:hAnsiTheme="majorHAnsi" w:cstheme="majorBidi"/>
          <w:color w:val="1F4E79" w:themeColor="accent1" w:themeShade="80"/>
          <w:sz w:val="24"/>
          <w:szCs w:val="24"/>
          <w:lang w:val="en-US"/>
        </w:rPr>
      </w:pPr>
      <w:bookmarkStart w:id="306" w:name="_Toc98408349"/>
      <w:bookmarkStart w:id="307" w:name="cliffy-group"/>
      <w:bookmarkEnd w:id="300"/>
      <w:r>
        <w:br w:type="page"/>
      </w:r>
    </w:p>
    <w:p w14:paraId="441D824B" w14:textId="516CE7FE" w:rsidR="00FB0A3F" w:rsidRDefault="00000000">
      <w:pPr>
        <w:pStyle w:val="Heading3"/>
        <w:numPr>
          <w:ilvl w:val="2"/>
          <w:numId w:val="9"/>
        </w:numPr>
        <w:ind w:left="720" w:hanging="720"/>
      </w:pPr>
      <w:bookmarkStart w:id="308" w:name="_Toc192777239"/>
      <w:r>
        <w:lastRenderedPageBreak/>
        <w:t>Cliffy Group</w:t>
      </w:r>
      <w:bookmarkEnd w:id="306"/>
      <w:r>
        <w:t xml:space="preserve"> (Small SMU)</w:t>
      </w:r>
      <w:bookmarkEnd w:id="308"/>
    </w:p>
    <w:p w14:paraId="3B1C4B8B" w14:textId="37470A82" w:rsidR="00FB0A3F" w:rsidRDefault="00000000">
      <w:r>
        <w:t xml:space="preserve">The Cliffy Group SMU contributed </w:t>
      </w:r>
      <w:r w:rsidR="008D0E2D">
        <w:t>3</w:t>
      </w:r>
      <w:r>
        <w:t>.3 t in 202</w:t>
      </w:r>
      <w:r w:rsidR="008D0E2D">
        <w:t>3</w:t>
      </w:r>
      <w:r>
        <w:t>/2</w:t>
      </w:r>
      <w:r w:rsidR="008D0E2D">
        <w:t>4</w:t>
      </w:r>
      <w:r>
        <w:t xml:space="preserve"> representing </w:t>
      </w:r>
      <w:r w:rsidR="008D0E2D">
        <w:t>1.5</w:t>
      </w:r>
      <w:r>
        <w:t>% of the total catch (Table 2</w:t>
      </w:r>
      <w:r w:rsidR="001A6F5B">
        <w:t>6</w:t>
      </w:r>
      <w:r>
        <w:t xml:space="preserve">) and TACC (Table </w:t>
      </w:r>
      <w:r w:rsidR="008D0E2D">
        <w:t>3</w:t>
      </w:r>
      <w:r>
        <w:t xml:space="preserve">). The catch was </w:t>
      </w:r>
      <w:r w:rsidR="008D0E2D">
        <w:t xml:space="preserve">1.4 </w:t>
      </w:r>
      <w:r>
        <w:t>t</w:t>
      </w:r>
      <w:r w:rsidR="008D0E2D">
        <w:t xml:space="preserve"> below the OT</w:t>
      </w:r>
      <w:r>
        <w:t xml:space="preserve">. </w:t>
      </w:r>
      <w:r w:rsidR="00192026">
        <w:rPr>
          <w:rFonts w:ascii="Helvetica" w:eastAsia="Helvetica" w:hAnsi="Helvetica" w:cs="Helvetica"/>
          <w:color w:val="000000"/>
          <w:sz w:val="18"/>
          <w:szCs w:val="18"/>
        </w:rPr>
        <w:t>Standardised</w:t>
      </w:r>
      <w:r w:rsidR="00192026">
        <w:t xml:space="preserve"> </w:t>
      </w:r>
      <w:r>
        <w:t>CPUE has declined 2</w:t>
      </w:r>
      <w:r w:rsidR="00192026">
        <w:t>2% in the long term and 13% in the short term but increased by 11% in the last four years.</w:t>
      </w:r>
    </w:p>
    <w:p w14:paraId="478AD43C" w14:textId="10058AD4" w:rsidR="00FB0A3F" w:rsidRDefault="00000000">
      <w:pPr>
        <w:pStyle w:val="TableCaption"/>
      </w:pPr>
      <w:bookmarkStart w:id="309" w:name="_Toc192762294"/>
      <w:r>
        <w:t>Table 2</w:t>
      </w:r>
      <w:r w:rsidR="001A6F5B">
        <w:t>6</w:t>
      </w:r>
      <w:r>
        <w:t xml:space="preserve">: Summary of Catch, Optimal targets and CPUE performance indicators for the Cliffy Group SMU. The LML and </w:t>
      </w:r>
      <w:r w:rsidR="00192026">
        <w:t xml:space="preserve">nominal </w:t>
      </w:r>
      <w:r>
        <w:t>mean daily catch are also shown.</w:t>
      </w:r>
      <w:bookmarkEnd w:id="309"/>
      <w:r>
        <w:t xml:space="preserve"> </w:t>
      </w:r>
    </w:p>
    <w:tbl>
      <w:tblPr>
        <w:tblW w:w="9062" w:type="dxa"/>
        <w:jc w:val="center"/>
        <w:tblLayout w:type="fixed"/>
        <w:tblLook w:val="04A0" w:firstRow="1" w:lastRow="0" w:firstColumn="1" w:lastColumn="0" w:noHBand="0" w:noVBand="1"/>
      </w:tblPr>
      <w:tblGrid>
        <w:gridCol w:w="703"/>
        <w:gridCol w:w="572"/>
        <w:gridCol w:w="724"/>
        <w:gridCol w:w="846"/>
        <w:gridCol w:w="831"/>
        <w:gridCol w:w="14"/>
        <w:gridCol w:w="1790"/>
        <w:gridCol w:w="1791"/>
        <w:gridCol w:w="1791"/>
      </w:tblGrid>
      <w:tr w:rsidR="00FB0A3F" w14:paraId="1A541A5B" w14:textId="77777777">
        <w:trPr>
          <w:cantSplit/>
          <w:trHeight w:val="540"/>
          <w:tblHeader/>
          <w:jc w:val="center"/>
        </w:trPr>
        <w:tc>
          <w:tcPr>
            <w:tcW w:w="3690" w:type="dxa"/>
            <w:gridSpan w:val="6"/>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33FCD93D" w14:textId="77777777" w:rsidR="00FB0A3F" w:rsidRDefault="00000000">
            <w:pPr>
              <w:spacing w:before="100" w:after="100"/>
              <w:ind w:left="100" w:right="100"/>
              <w:jc w:val="center"/>
            </w:pPr>
            <w:r>
              <w:rPr>
                <w:rFonts w:ascii="Helvetica" w:eastAsia="Helvetica" w:hAnsi="Helvetica" w:cs="Helvetica"/>
                <w:color w:val="000000"/>
                <w:sz w:val="18"/>
                <w:szCs w:val="18"/>
              </w:rPr>
              <w:t>Catch</w:t>
            </w:r>
          </w:p>
        </w:tc>
        <w:tc>
          <w:tcPr>
            <w:tcW w:w="5372" w:type="dxa"/>
            <w:gridSpan w:val="3"/>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0626D207" w14:textId="7691BB03" w:rsidR="00FB0A3F" w:rsidRDefault="00192026">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Standardised CPUE Performance Indicators (% change)</w:t>
            </w:r>
          </w:p>
        </w:tc>
      </w:tr>
      <w:tr w:rsidR="00FB0A3F" w14:paraId="0670B469" w14:textId="77777777">
        <w:trPr>
          <w:cantSplit/>
          <w:trHeight w:val="507"/>
          <w:tblHeader/>
          <w:jc w:val="center"/>
        </w:trPr>
        <w:tc>
          <w:tcPr>
            <w:tcW w:w="1275" w:type="dxa"/>
            <w:gridSpan w:val="2"/>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2783D74C" w14:textId="382C5E13" w:rsidR="00FB0A3F" w:rsidRDefault="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2023/24</w:t>
            </w:r>
          </w:p>
        </w:tc>
        <w:tc>
          <w:tcPr>
            <w:tcW w:w="241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7E747F8" w14:textId="77777777" w:rsidR="00FB0A3F" w:rsidRDefault="00000000">
            <w:pPr>
              <w:spacing w:before="100" w:after="100"/>
              <w:ind w:left="100" w:right="100"/>
              <w:jc w:val="center"/>
            </w:pPr>
            <w:r>
              <w:rPr>
                <w:rFonts w:ascii="Helvetica" w:eastAsia="Helvetica" w:hAnsi="Helvetica" w:cs="Helvetica"/>
                <w:color w:val="000000"/>
                <w:sz w:val="18"/>
                <w:szCs w:val="18"/>
              </w:rPr>
              <w:t>OT + carryover* (t)</w:t>
            </w: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EC0A1E6" w14:textId="77777777" w:rsidR="00FB0A3F" w:rsidRDefault="00000000">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Long-term</w:t>
            </w:r>
          </w:p>
        </w:tc>
        <w:tc>
          <w:tcPr>
            <w:tcW w:w="179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F0FE638" w14:textId="77777777" w:rsidR="00FB0A3F" w:rsidRDefault="00000000">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Short-term</w:t>
            </w:r>
          </w:p>
        </w:tc>
        <w:tc>
          <w:tcPr>
            <w:tcW w:w="179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FFFE13D" w14:textId="77777777" w:rsidR="00FB0A3F" w:rsidRDefault="00000000">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Last 4 years</w:t>
            </w:r>
          </w:p>
        </w:tc>
      </w:tr>
      <w:tr w:rsidR="00FF2F21" w14:paraId="37A359D7" w14:textId="77777777">
        <w:trPr>
          <w:cantSplit/>
          <w:trHeight w:val="218"/>
          <w:tblHeader/>
          <w:jc w:val="center"/>
        </w:trPr>
        <w:tc>
          <w:tcPr>
            <w:tcW w:w="703"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CC5CC0E" w14:textId="77777777" w:rsidR="00FF2F21" w:rsidRDefault="00FF2F21" w:rsidP="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(t)</w:t>
            </w:r>
          </w:p>
        </w:tc>
        <w:tc>
          <w:tcPr>
            <w:tcW w:w="572"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B31F97F" w14:textId="77777777" w:rsidR="00FF2F21" w:rsidRDefault="00FF2F21" w:rsidP="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w:t>
            </w: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73D50C3" w14:textId="00F9B33F" w:rsidR="00FF2F21" w:rsidRDefault="00FF2F21" w:rsidP="00FF2F21">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22/23</w:t>
            </w:r>
          </w:p>
        </w:tc>
        <w:tc>
          <w:tcPr>
            <w:tcW w:w="84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64FF13A" w14:textId="6384B98C" w:rsidR="00FF2F21" w:rsidRDefault="00FF2F21" w:rsidP="00FF2F21">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23/24</w:t>
            </w:r>
          </w:p>
        </w:tc>
        <w:tc>
          <w:tcPr>
            <w:tcW w:w="845"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53E6143D" w14:textId="23700343" w:rsidR="00FF2F21" w:rsidRDefault="00FF2F21" w:rsidP="00FF2F21">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24/25</w:t>
            </w: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CA33DA7" w14:textId="1F7A41E0" w:rsidR="00FF2F21" w:rsidRDefault="00FF2F21" w:rsidP="00FF2F21">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2003/04 – 2023/24</w:t>
            </w:r>
          </w:p>
        </w:tc>
        <w:tc>
          <w:tcPr>
            <w:tcW w:w="179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D81132C" w14:textId="52364C8C" w:rsidR="00FF2F21" w:rsidRDefault="00FF2F21" w:rsidP="00FF2F21">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2009/10 – 2023/24</w:t>
            </w:r>
          </w:p>
        </w:tc>
        <w:tc>
          <w:tcPr>
            <w:tcW w:w="179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BC96137" w14:textId="523739BE" w:rsidR="00FF2F21" w:rsidRDefault="00FF2F21" w:rsidP="00FF2F21">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2020/21 – 2023/24</w:t>
            </w:r>
          </w:p>
        </w:tc>
      </w:tr>
      <w:tr w:rsidR="00FF2F21" w14:paraId="3A4AD2F1" w14:textId="77777777">
        <w:trPr>
          <w:cantSplit/>
          <w:trHeight w:val="123"/>
          <w:jc w:val="center"/>
        </w:trPr>
        <w:tc>
          <w:tcPr>
            <w:tcW w:w="703"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10BA654D" w14:textId="525258D3" w:rsidR="00FF2F21" w:rsidRDefault="008D0E2D" w:rsidP="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3</w:t>
            </w:r>
            <w:r w:rsidR="00FF2F21">
              <w:rPr>
                <w:rFonts w:ascii="Helvetica" w:eastAsia="Helvetica" w:hAnsi="Helvetica" w:cs="Helvetica"/>
                <w:color w:val="000000"/>
                <w:sz w:val="18"/>
                <w:szCs w:val="18"/>
              </w:rPr>
              <w:t>.3</w:t>
            </w:r>
          </w:p>
        </w:tc>
        <w:tc>
          <w:tcPr>
            <w:tcW w:w="572"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59CCE66E" w14:textId="36A68807" w:rsidR="00FF2F21" w:rsidRDefault="008D0E2D" w:rsidP="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1.5</w:t>
            </w:r>
          </w:p>
        </w:tc>
        <w:tc>
          <w:tcPr>
            <w:tcW w:w="724"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4B0F14A" w14:textId="7C6294A2" w:rsidR="00FF2F21" w:rsidRDefault="00FF2F21" w:rsidP="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5.5</w:t>
            </w:r>
          </w:p>
        </w:tc>
        <w:tc>
          <w:tcPr>
            <w:tcW w:w="846" w:type="dxa"/>
            <w:tcBorders>
              <w:left w:val="single" w:sz="8" w:space="0" w:color="000000"/>
              <w:bottom w:val="single" w:sz="8" w:space="0" w:color="000000"/>
              <w:right w:val="single" w:sz="8" w:space="0" w:color="000000"/>
            </w:tcBorders>
            <w:shd w:val="clear" w:color="auto" w:fill="auto"/>
          </w:tcPr>
          <w:p w14:paraId="332569DE" w14:textId="6CED07D4" w:rsidR="00FF2F21" w:rsidRDefault="00FF2F21" w:rsidP="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4.7</w:t>
            </w:r>
          </w:p>
        </w:tc>
        <w:tc>
          <w:tcPr>
            <w:tcW w:w="845" w:type="dxa"/>
            <w:gridSpan w:val="2"/>
            <w:tcBorders>
              <w:left w:val="single" w:sz="8" w:space="0" w:color="000000"/>
              <w:bottom w:val="single" w:sz="8" w:space="0" w:color="000000"/>
              <w:right w:val="single" w:sz="8" w:space="0" w:color="000000"/>
            </w:tcBorders>
            <w:shd w:val="clear" w:color="auto" w:fill="auto"/>
          </w:tcPr>
          <w:p w14:paraId="3D5B3627" w14:textId="59AAAEF0" w:rsidR="00FF2F21" w:rsidRDefault="009C295D" w:rsidP="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4.7</w:t>
            </w: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F393B19" w14:textId="4FB6CF51" w:rsidR="00FF2F21" w:rsidRPr="00192026" w:rsidRDefault="00FF2F21" w:rsidP="00FF2F21">
            <w:pPr>
              <w:spacing w:before="100" w:after="100"/>
              <w:ind w:left="100" w:right="100"/>
              <w:jc w:val="center"/>
              <w:rPr>
                <w:rFonts w:ascii="Helvetica" w:eastAsia="Helvetica" w:hAnsi="Helvetica" w:cs="Helvetica"/>
                <w:color w:val="000000" w:themeColor="text1"/>
                <w:sz w:val="18"/>
                <w:szCs w:val="18"/>
              </w:rPr>
            </w:pPr>
            <w:r w:rsidRPr="00192026">
              <w:rPr>
                <w:rFonts w:ascii="Helvetica" w:eastAsia="Arial" w:hAnsi="Helvetica" w:cs="Helvetica"/>
                <w:color w:val="000000" w:themeColor="text1"/>
                <w:sz w:val="18"/>
                <w:szCs w:val="18"/>
              </w:rPr>
              <w:t>-2</w:t>
            </w:r>
            <w:r w:rsidR="00192026">
              <w:rPr>
                <w:rFonts w:ascii="Helvetica" w:eastAsia="Arial" w:hAnsi="Helvetica" w:cs="Helvetica"/>
                <w:color w:val="000000" w:themeColor="text1"/>
                <w:sz w:val="18"/>
                <w:szCs w:val="18"/>
              </w:rPr>
              <w:t>2</w:t>
            </w:r>
          </w:p>
        </w:tc>
        <w:tc>
          <w:tcPr>
            <w:tcW w:w="179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19D327C" w14:textId="65644E83" w:rsidR="00FF2F21" w:rsidRPr="00192026" w:rsidRDefault="00FF2F21" w:rsidP="00FF2F21">
            <w:pPr>
              <w:spacing w:before="100" w:after="100"/>
              <w:ind w:left="100" w:right="100"/>
              <w:jc w:val="center"/>
              <w:rPr>
                <w:rFonts w:ascii="Helvetica" w:eastAsia="Helvetica" w:hAnsi="Helvetica" w:cs="Helvetica"/>
                <w:color w:val="000000" w:themeColor="text1"/>
                <w:sz w:val="18"/>
                <w:szCs w:val="18"/>
              </w:rPr>
            </w:pPr>
            <w:r w:rsidRPr="00192026">
              <w:rPr>
                <w:rFonts w:ascii="Helvetica" w:eastAsia="Arial" w:hAnsi="Helvetica" w:cs="Helvetica"/>
                <w:color w:val="000000" w:themeColor="text1"/>
                <w:sz w:val="18"/>
                <w:szCs w:val="18"/>
              </w:rPr>
              <w:t>-</w:t>
            </w:r>
            <w:r w:rsidR="00192026">
              <w:rPr>
                <w:rFonts w:ascii="Helvetica" w:eastAsia="Arial" w:hAnsi="Helvetica" w:cs="Helvetica"/>
                <w:color w:val="000000" w:themeColor="text1"/>
                <w:sz w:val="18"/>
                <w:szCs w:val="18"/>
              </w:rPr>
              <w:t>13</w:t>
            </w:r>
          </w:p>
        </w:tc>
        <w:tc>
          <w:tcPr>
            <w:tcW w:w="1791" w:type="dxa"/>
            <w:tcBorders>
              <w:top w:val="single" w:sz="8" w:space="0" w:color="000000"/>
              <w:left w:val="single" w:sz="8" w:space="0" w:color="000000"/>
              <w:bottom w:val="single" w:sz="8" w:space="0" w:color="000000"/>
              <w:right w:val="single" w:sz="8" w:space="0" w:color="000000"/>
            </w:tcBorders>
            <w:shd w:val="clear" w:color="auto" w:fill="FFFFFF"/>
          </w:tcPr>
          <w:p w14:paraId="06A67107" w14:textId="5424E0DD" w:rsidR="00FF2F21" w:rsidRPr="00192026" w:rsidRDefault="00192026" w:rsidP="00FF2F21">
            <w:pPr>
              <w:spacing w:before="100" w:after="100"/>
              <w:ind w:left="100" w:right="100"/>
              <w:jc w:val="center"/>
              <w:rPr>
                <w:rFonts w:ascii="Helvetica" w:eastAsia="Helvetica" w:hAnsi="Helvetica" w:cs="Helvetica"/>
                <w:color w:val="000000" w:themeColor="text1"/>
                <w:sz w:val="18"/>
                <w:szCs w:val="18"/>
              </w:rPr>
            </w:pPr>
            <w:r>
              <w:rPr>
                <w:rFonts w:ascii="Helvetica" w:eastAsia="Arial" w:hAnsi="Helvetica" w:cs="Helvetica"/>
                <w:color w:val="000000" w:themeColor="text1"/>
                <w:sz w:val="18"/>
                <w:szCs w:val="18"/>
              </w:rPr>
              <w:t>1</w:t>
            </w:r>
            <w:r w:rsidR="00FF2F21" w:rsidRPr="00192026">
              <w:rPr>
                <w:rFonts w:ascii="Helvetica" w:eastAsia="Arial" w:hAnsi="Helvetica" w:cs="Helvetica"/>
                <w:color w:val="000000" w:themeColor="text1"/>
                <w:sz w:val="18"/>
                <w:szCs w:val="18"/>
              </w:rPr>
              <w:t>1</w:t>
            </w:r>
          </w:p>
        </w:tc>
      </w:tr>
      <w:tr w:rsidR="00FB0A3F" w14:paraId="3DCFE246" w14:textId="77777777" w:rsidTr="00947B63">
        <w:trPr>
          <w:cantSplit/>
          <w:jc w:val="center"/>
        </w:trPr>
        <w:tc>
          <w:tcPr>
            <w:tcW w:w="3676" w:type="dxa"/>
            <w:gridSpan w:val="5"/>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638B2BC4" w14:textId="0C30D2FF" w:rsidR="00FB0A3F" w:rsidRDefault="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LML 2023/24 = 110 mm</w:t>
            </w:r>
          </w:p>
        </w:tc>
        <w:tc>
          <w:tcPr>
            <w:tcW w:w="5386" w:type="dxa"/>
            <w:gridSpan w:val="4"/>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6D1AF257" w14:textId="07E93FD8" w:rsidR="00FB0A3F" w:rsidRDefault="0001483C">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Mean daily catch 2023/24 (nomina</w:t>
            </w:r>
            <w:r w:rsidR="00947B63">
              <w:rPr>
                <w:rFonts w:ascii="Helvetica" w:eastAsia="Helvetica" w:hAnsi="Helvetica" w:cs="Helvetica"/>
                <w:color w:val="000000"/>
                <w:sz w:val="18"/>
                <w:szCs w:val="18"/>
              </w:rPr>
              <w:t>l</w:t>
            </w:r>
            <w:r>
              <w:rPr>
                <w:rFonts w:ascii="Helvetica" w:eastAsia="Helvetica" w:hAnsi="Helvetica" w:cs="Helvetica"/>
                <w:color w:val="000000"/>
                <w:sz w:val="18"/>
                <w:szCs w:val="18"/>
              </w:rPr>
              <w:t xml:space="preserve">) = </w:t>
            </w:r>
            <w:r w:rsidR="00947B63">
              <w:rPr>
                <w:rFonts w:ascii="Helvetica" w:eastAsia="Helvetica" w:hAnsi="Helvetica" w:cs="Helvetica"/>
                <w:color w:val="000000"/>
                <w:sz w:val="18"/>
                <w:szCs w:val="18"/>
              </w:rPr>
              <w:t>474</w:t>
            </w:r>
            <w:r>
              <w:rPr>
                <w:rFonts w:ascii="Helvetica" w:eastAsia="Helvetica" w:hAnsi="Helvetica" w:cs="Helvetica"/>
                <w:color w:val="000000"/>
                <w:sz w:val="18"/>
                <w:szCs w:val="18"/>
              </w:rPr>
              <w:t xml:space="preserve"> kg</w:t>
            </w:r>
          </w:p>
        </w:tc>
      </w:tr>
    </w:tbl>
    <w:p w14:paraId="6B287C35" w14:textId="0D7E9AB0" w:rsidR="00FB0A3F" w:rsidRDefault="00000000">
      <w:r>
        <w:t xml:space="preserve">The Cliffy Group SMU was fished consistently at low levels of 2-5 t per year from 1992 to 2010 (Figure 38). Since 2010 annual catch has averaged over 6 t, although it has been quite variable ranging from 2 to 10 t. Catches in the last </w:t>
      </w:r>
      <w:r w:rsidR="008C4911">
        <w:t>three</w:t>
      </w:r>
      <w:r>
        <w:t xml:space="preserve"> years have been </w:t>
      </w:r>
      <w:r w:rsidR="008C4911">
        <w:t>2-</w:t>
      </w:r>
      <w:r>
        <w:t xml:space="preserve">3 t. </w:t>
      </w:r>
    </w:p>
    <w:p w14:paraId="0B31E2DC" w14:textId="0ADEC87C" w:rsidR="00FB0A3F" w:rsidRDefault="005766E7">
      <w:r>
        <w:t xml:space="preserve">Standardised CPUE declined from 2003 to 2015 but has steadily increased since 2019 (Figure 38). </w:t>
      </w:r>
    </w:p>
    <w:p w14:paraId="13D8D117" w14:textId="1FF123E0" w:rsidR="00FB0A3F" w:rsidRDefault="00AF21D9">
      <w:pPr>
        <w:jc w:val="center"/>
      </w:pPr>
      <w:r>
        <w:rPr>
          <w:noProof/>
        </w:rPr>
        <w:drawing>
          <wp:inline distT="0" distB="0" distL="0" distR="0" wp14:anchorId="00FA1B06" wp14:editId="28F75C4A">
            <wp:extent cx="5638800" cy="3435350"/>
            <wp:effectExtent l="0" t="0" r="0" b="0"/>
            <wp:docPr id="187" name="Picture" descr="Figure 35: Cliffy Group SMU catch, and CPUE (nominal and standardised) from 1992/93 – 2022/23. Catch = bars, nominal CPUE = grey series (+/- SE), standardised series = black. Numbers in bars indicate changes to LMLs. MPs = introduction of Marine Parks."/>
            <wp:cNvGraphicFramePr/>
            <a:graphic xmlns:a="http://schemas.openxmlformats.org/drawingml/2006/main">
              <a:graphicData uri="http://schemas.openxmlformats.org/drawingml/2006/picture">
                <pic:pic xmlns:pic="http://schemas.openxmlformats.org/drawingml/2006/picture">
                  <pic:nvPicPr>
                    <pic:cNvPr id="187" name="Picture" descr="Figure 35: Cliffy Group SMU catch, and CPUE (nominal and standardised) from 1992/93 – 2022/23. Catch = bars, nominal CPUE = grey series (+/- SE), standardised series = black. Numbers in bars indicate changes to LMLs. MPs = introduction of Marine Parks."/>
                    <pic:cNvPicPr/>
                  </pic:nvPicPr>
                  <pic:blipFill>
                    <a:blip r:embed="rId64"/>
                    <a:stretch>
                      <a:fillRect/>
                    </a:stretch>
                  </pic:blipFill>
                  <pic:spPr bwMode="auto">
                    <a:xfrm>
                      <a:off x="0" y="0"/>
                      <a:ext cx="5652493" cy="3443692"/>
                    </a:xfrm>
                    <a:prstGeom prst="rect">
                      <a:avLst/>
                    </a:prstGeom>
                    <a:noFill/>
                    <a:ln w="9525">
                      <a:noFill/>
                      <a:headEnd/>
                      <a:tailEnd/>
                    </a:ln>
                  </pic:spPr>
                </pic:pic>
              </a:graphicData>
            </a:graphic>
          </wp:inline>
        </w:drawing>
      </w:r>
    </w:p>
    <w:p w14:paraId="7FDA178C" w14:textId="58BBA612" w:rsidR="00FB0A3F" w:rsidRDefault="00000000">
      <w:pPr>
        <w:pStyle w:val="Caption"/>
      </w:pPr>
      <w:bookmarkStart w:id="310" w:name="_Toc192777303"/>
      <w:r>
        <w:t xml:space="preserve">Figure 38: Cliffy Group SMU catch, and CPUE (nominal and standardised) from 1992/1993 – </w:t>
      </w:r>
      <w:r w:rsidR="00D2115A">
        <w:t>2023/24.</w:t>
      </w:r>
      <w:r w:rsidR="00495804" w:rsidRPr="00495804">
        <w:t xml:space="preserve"> Nominal annual = grey series (+/- SE), standardised annual = solid black, standardised quarterly = dashed black</w:t>
      </w:r>
      <w:r>
        <w:t>. Numbers indicate changes to LMLs. MPs = introduction of Marine Parks.</w:t>
      </w:r>
      <w:bookmarkEnd w:id="310"/>
    </w:p>
    <w:p w14:paraId="6CC65EE7" w14:textId="4D00FBC0" w:rsidR="00FB0A3F" w:rsidRDefault="00000000">
      <w:r>
        <w:t xml:space="preserve">Historically, the Cliffy Group was often reported as fished on the same day as Prom </w:t>
      </w:r>
      <w:proofErr w:type="spellStart"/>
      <w:r>
        <w:t>Eastside</w:t>
      </w:r>
      <w:proofErr w:type="spellEnd"/>
      <w:r>
        <w:t xml:space="preserve"> and thus mean daily catch data are incomplete (Figure 39). </w:t>
      </w:r>
      <w:r w:rsidR="009B5E24">
        <w:t>Standardised m</w:t>
      </w:r>
      <w:r>
        <w:t xml:space="preserve">ean daily catch </w:t>
      </w:r>
      <w:r w:rsidR="009B5E24">
        <w:t>marginally declined from 2003 to 2013 and has been relatively stable thereafter</w:t>
      </w:r>
      <w:r>
        <w:t xml:space="preserve">. </w:t>
      </w:r>
      <w:r w:rsidR="009B5E24">
        <w:t>Nominal mean daily catch was 445 kg/day in 2023/24.</w:t>
      </w:r>
    </w:p>
    <w:p w14:paraId="1133A64D" w14:textId="70000AA6" w:rsidR="00FB0A3F" w:rsidRDefault="00AF21D9" w:rsidP="008D0E2D">
      <w:pPr>
        <w:jc w:val="center"/>
      </w:pPr>
      <w:r>
        <w:rPr>
          <w:noProof/>
        </w:rPr>
        <w:lastRenderedPageBreak/>
        <w:drawing>
          <wp:inline distT="0" distB="0" distL="0" distR="0" wp14:anchorId="4CA58787" wp14:editId="39F18E35">
            <wp:extent cx="5694218" cy="3498272"/>
            <wp:effectExtent l="0" t="0" r="1905" b="6985"/>
            <wp:docPr id="184" name="Picture" descr="A graph with lines and numb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84" name="Picture" descr="A graph with lines and numbers&#10;&#10;Description automatically generated with medium confidence"/>
                    <pic:cNvPicPr/>
                  </pic:nvPicPr>
                  <pic:blipFill>
                    <a:blip r:embed="rId65"/>
                    <a:stretch>
                      <a:fillRect/>
                    </a:stretch>
                  </pic:blipFill>
                  <pic:spPr bwMode="auto">
                    <a:xfrm>
                      <a:off x="0" y="0"/>
                      <a:ext cx="5700623" cy="3502207"/>
                    </a:xfrm>
                    <a:prstGeom prst="rect">
                      <a:avLst/>
                    </a:prstGeom>
                    <a:noFill/>
                    <a:ln w="9525">
                      <a:noFill/>
                      <a:headEnd/>
                      <a:tailEnd/>
                    </a:ln>
                  </pic:spPr>
                </pic:pic>
              </a:graphicData>
            </a:graphic>
          </wp:inline>
        </w:drawing>
      </w:r>
    </w:p>
    <w:p w14:paraId="057F9E7C" w14:textId="31845DA9" w:rsidR="00FB0A3F" w:rsidRDefault="00000000">
      <w:pPr>
        <w:pStyle w:val="Caption"/>
      </w:pPr>
      <w:bookmarkStart w:id="311" w:name="_Toc192777304"/>
      <w:r>
        <w:t xml:space="preserve">Figure 39: Total catch and mean daily catch for the Cliffy Group </w:t>
      </w:r>
      <w:r w:rsidR="008D0E2D">
        <w:t>SMU from 2003 to 2023</w:t>
      </w:r>
      <w:r w:rsidR="00495804">
        <w:t xml:space="preserve">. </w:t>
      </w:r>
      <w:r w:rsidR="00495804" w:rsidRPr="00495804">
        <w:t>Nominal annual = grey series (+/- SE), standardised annual = solid black, standardised quarterly = dashed black</w:t>
      </w:r>
      <w:r>
        <w:t>.</w:t>
      </w:r>
      <w:bookmarkEnd w:id="311"/>
      <w:r>
        <w:t xml:space="preserve"> </w:t>
      </w:r>
    </w:p>
    <w:p w14:paraId="0BEFAB9B" w14:textId="77777777" w:rsidR="00FB0A3F" w:rsidRDefault="00000000">
      <w:pPr>
        <w:rPr>
          <w:i/>
          <w:iCs/>
        </w:rPr>
      </w:pPr>
      <w:r>
        <w:rPr>
          <w:i/>
          <w:iCs/>
        </w:rPr>
        <w:t>Length frequency data – commercial</w:t>
      </w:r>
    </w:p>
    <w:p w14:paraId="04970166" w14:textId="77D19D62" w:rsidR="00FB0A3F" w:rsidRDefault="00000000">
      <w:r>
        <w:t xml:space="preserve">From 2016/17 to 2019/20, the standardised average length of abalone in the commercial catch at Cliffy Group was stable around 122 to 123 mm but declined to around 119 mm in 2020/21 (Appendix </w:t>
      </w:r>
      <w:r w:rsidR="00E24DE5">
        <w:t>3</w:t>
      </w:r>
      <w:r>
        <w:t>)</w:t>
      </w:r>
      <w:r w:rsidR="00E24DE5">
        <w:t>, however it should be noted this remains 9 mm above the current LML of 110 mm (Appendix 4)</w:t>
      </w:r>
      <w:r>
        <w:t xml:space="preserve">. No data have been collected in the last </w:t>
      </w:r>
      <w:r w:rsidR="00E24DE5">
        <w:t>three</w:t>
      </w:r>
      <w:r>
        <w:t xml:space="preserve"> years. Raw data show similar trends over time.</w:t>
      </w:r>
    </w:p>
    <w:p w14:paraId="301D605A" w14:textId="77777777" w:rsidR="00FB0A3F" w:rsidRDefault="00000000">
      <w:r>
        <w:rPr>
          <w:i/>
          <w:iCs/>
        </w:rPr>
        <w:t>Summary</w:t>
      </w:r>
    </w:p>
    <w:p w14:paraId="72061C4F" w14:textId="522E41D6" w:rsidR="00FB0A3F" w:rsidRDefault="005766E7">
      <w:r>
        <w:t xml:space="preserve">Catches from Cliffy Group SMU have been highly variable over time. Catches in the last three years have been below the historical average which followed a period of three years of relatively high catch. Standardised CPUE declined from 2003 to 2015 but has steadily increased since 2019. Standardised mean daily catch has been relatively stable for over a decade. The standardised average size of the commercial catch was stable from 2017/18 to 2019/20 before declining in 2020/21, however it remained 9 mm above the LML. No data were available for the last few years. </w:t>
      </w:r>
    </w:p>
    <w:p w14:paraId="6F78E4B4" w14:textId="5213E400" w:rsidR="00FB0A3F" w:rsidRDefault="00000000">
      <w:r>
        <w:t xml:space="preserve">The total catch in the Cliffy Group SMU of </w:t>
      </w:r>
      <w:r w:rsidR="005766E7">
        <w:t>3</w:t>
      </w:r>
      <w:r>
        <w:t xml:space="preserve">.3 t was </w:t>
      </w:r>
      <w:r w:rsidR="005766E7">
        <w:t xml:space="preserve">1.4 t below </w:t>
      </w:r>
      <w:r>
        <w:t>the OT (</w:t>
      </w:r>
      <w:r w:rsidR="005766E7">
        <w:t>4.7</w:t>
      </w:r>
      <w:r>
        <w:t xml:space="preserve"> t). Mean CPUE (69.</w:t>
      </w:r>
      <w:r w:rsidR="005766E7">
        <w:t>6</w:t>
      </w:r>
      <w:r>
        <w:t xml:space="preserve"> kg/h) was above the Threshold (60 kg/h) Reference Point. The Primary </w:t>
      </w:r>
      <w:r w:rsidR="005766E7">
        <w:t xml:space="preserve">and Secondary </w:t>
      </w:r>
      <w:r>
        <w:t>Categor</w:t>
      </w:r>
      <w:r w:rsidR="005766E7">
        <w:t xml:space="preserve">ies were </w:t>
      </w:r>
      <w:r>
        <w:t>Stable, resulting in a Stable Final Category. The 202</w:t>
      </w:r>
      <w:r w:rsidR="005766E7">
        <w:t>4</w:t>
      </w:r>
      <w:r>
        <w:t>/2</w:t>
      </w:r>
      <w:r w:rsidR="005766E7">
        <w:t>5</w:t>
      </w:r>
      <w:r>
        <w:t xml:space="preserve"> OT was </w:t>
      </w:r>
      <w:r w:rsidR="005766E7">
        <w:t xml:space="preserve">maintained at </w:t>
      </w:r>
      <w:r>
        <w:t xml:space="preserve">4.7 t, suggesting an OT </w:t>
      </w:r>
      <w:r w:rsidR="005766E7">
        <w:t xml:space="preserve">for 2025/26 </w:t>
      </w:r>
      <w:r>
        <w:t xml:space="preserve">of 4.5 to 4.9 t. </w:t>
      </w:r>
    </w:p>
    <w:p w14:paraId="6A95D9CB" w14:textId="77777777" w:rsidR="00632948" w:rsidRDefault="005766E7">
      <w:pPr>
        <w:rPr>
          <w:b/>
          <w:bCs/>
        </w:rPr>
      </w:pPr>
      <w:r>
        <w:rPr>
          <w:b/>
          <w:bCs/>
        </w:rPr>
        <w:t>Low catches in recent years may have contributed to the stabilising of CPUE. While mean commercial length has declined it remained 9 mm above the LML in 2020/21 and no data have been gathered since. Maintaining a stable OT appears to be an appropriate strategy.</w:t>
      </w:r>
    </w:p>
    <w:p w14:paraId="0BEABDB6" w14:textId="11D140A7" w:rsidR="00FB0A3F" w:rsidRDefault="00FB0A3F"/>
    <w:p w14:paraId="06F57BAA" w14:textId="77777777" w:rsidR="00D9781F" w:rsidRDefault="00D9781F">
      <w:pPr>
        <w:spacing w:before="0" w:after="0"/>
        <w:rPr>
          <w:rFonts w:asciiTheme="majorHAnsi" w:eastAsiaTheme="majorEastAsia" w:hAnsiTheme="majorHAnsi" w:cstheme="majorBidi"/>
          <w:color w:val="1F4E79" w:themeColor="accent1" w:themeShade="80"/>
          <w:sz w:val="24"/>
          <w:szCs w:val="24"/>
          <w:lang w:val="en-US"/>
        </w:rPr>
      </w:pPr>
      <w:bookmarkStart w:id="312" w:name="_Toc98408350"/>
      <w:bookmarkStart w:id="313" w:name="surf-coast"/>
      <w:bookmarkEnd w:id="307"/>
      <w:r>
        <w:br w:type="page"/>
      </w:r>
    </w:p>
    <w:p w14:paraId="477CAD62" w14:textId="3A2A61C4" w:rsidR="00FB0A3F" w:rsidRDefault="00000000">
      <w:pPr>
        <w:pStyle w:val="Heading3"/>
        <w:numPr>
          <w:ilvl w:val="2"/>
          <w:numId w:val="9"/>
        </w:numPr>
        <w:ind w:left="720" w:hanging="720"/>
      </w:pPr>
      <w:bookmarkStart w:id="314" w:name="_Toc192777240"/>
      <w:r>
        <w:lastRenderedPageBreak/>
        <w:t>Surf Coast</w:t>
      </w:r>
      <w:bookmarkEnd w:id="312"/>
      <w:r>
        <w:t xml:space="preserve"> (Small SMU)</w:t>
      </w:r>
      <w:bookmarkEnd w:id="314"/>
    </w:p>
    <w:p w14:paraId="15146045" w14:textId="34DCCAC0" w:rsidR="00FB0A3F" w:rsidRDefault="00000000">
      <w:r>
        <w:t xml:space="preserve">The Surf Coast SMU contributed </w:t>
      </w:r>
      <w:r w:rsidR="008D0E2D">
        <w:t>2.1</w:t>
      </w:r>
      <w:r>
        <w:t xml:space="preserve"> t in 202</w:t>
      </w:r>
      <w:r w:rsidR="008D0E2D">
        <w:t>3</w:t>
      </w:r>
      <w:r>
        <w:t>/2</w:t>
      </w:r>
      <w:r w:rsidR="008D0E2D">
        <w:t>4</w:t>
      </w:r>
      <w:r>
        <w:t xml:space="preserve"> representing 0.</w:t>
      </w:r>
      <w:r w:rsidR="008D0E2D">
        <w:t>9</w:t>
      </w:r>
      <w:r>
        <w:t>% of the total catch (Table 2</w:t>
      </w:r>
      <w:r w:rsidR="001A6F5B">
        <w:t>7</w:t>
      </w:r>
      <w:r>
        <w:t xml:space="preserve">) and TACC (Table </w:t>
      </w:r>
      <w:r w:rsidR="008D0E2D">
        <w:t>3</w:t>
      </w:r>
      <w:r>
        <w:t xml:space="preserve">). </w:t>
      </w:r>
      <w:r w:rsidR="008D0E2D">
        <w:t xml:space="preserve">The catch was 0.4 t above the OT. </w:t>
      </w:r>
      <w:r w:rsidR="00192026">
        <w:rPr>
          <w:rFonts w:ascii="Helvetica" w:eastAsia="Helvetica" w:hAnsi="Helvetica" w:cs="Helvetica"/>
          <w:color w:val="000000"/>
          <w:sz w:val="18"/>
          <w:szCs w:val="18"/>
        </w:rPr>
        <w:t>Standardised</w:t>
      </w:r>
      <w:r w:rsidR="00192026">
        <w:t xml:space="preserve"> </w:t>
      </w:r>
      <w:r>
        <w:t xml:space="preserve">CPUE declined by </w:t>
      </w:r>
      <w:r w:rsidR="00192026">
        <w:t>18</w:t>
      </w:r>
      <w:r>
        <w:t>% in the long-term</w:t>
      </w:r>
      <w:r w:rsidR="00192026">
        <w:t xml:space="preserve"> and 3% in </w:t>
      </w:r>
      <w:r>
        <w:t xml:space="preserve">the short-term </w:t>
      </w:r>
      <w:r w:rsidR="00192026">
        <w:t xml:space="preserve">but </w:t>
      </w:r>
      <w:r>
        <w:t xml:space="preserve">increased by </w:t>
      </w:r>
      <w:r w:rsidR="00192026">
        <w:t>7</w:t>
      </w:r>
      <w:r>
        <w:t xml:space="preserve">% in the last </w:t>
      </w:r>
      <w:r w:rsidR="00192026">
        <w:t>four</w:t>
      </w:r>
      <w:r>
        <w:t xml:space="preserve"> years. </w:t>
      </w:r>
    </w:p>
    <w:p w14:paraId="49BDFE79" w14:textId="5BDAD7BF" w:rsidR="00FB0A3F" w:rsidRDefault="00000000">
      <w:pPr>
        <w:pStyle w:val="TableCaption"/>
      </w:pPr>
      <w:bookmarkStart w:id="315" w:name="_Toc192762295"/>
      <w:r>
        <w:t>Table 2</w:t>
      </w:r>
      <w:r w:rsidR="001A6F5B">
        <w:t>7</w:t>
      </w:r>
      <w:r>
        <w:t xml:space="preserve">: Summary of Catch, Optimal targets and CPUE performance indicators for the Surf Coast SMU. The LML and </w:t>
      </w:r>
      <w:r w:rsidR="00192026">
        <w:t xml:space="preserve">nominal </w:t>
      </w:r>
      <w:r>
        <w:t>mean daily catch are also shown.</w:t>
      </w:r>
      <w:bookmarkEnd w:id="315"/>
      <w:r>
        <w:t xml:space="preserve"> </w:t>
      </w:r>
    </w:p>
    <w:tbl>
      <w:tblPr>
        <w:tblW w:w="9062" w:type="dxa"/>
        <w:jc w:val="center"/>
        <w:tblLayout w:type="fixed"/>
        <w:tblLook w:val="04A0" w:firstRow="1" w:lastRow="0" w:firstColumn="1" w:lastColumn="0" w:noHBand="0" w:noVBand="1"/>
      </w:tblPr>
      <w:tblGrid>
        <w:gridCol w:w="703"/>
        <w:gridCol w:w="572"/>
        <w:gridCol w:w="724"/>
        <w:gridCol w:w="846"/>
        <w:gridCol w:w="831"/>
        <w:gridCol w:w="14"/>
        <w:gridCol w:w="1790"/>
        <w:gridCol w:w="1791"/>
        <w:gridCol w:w="1791"/>
      </w:tblGrid>
      <w:tr w:rsidR="00FB0A3F" w14:paraId="67FBBE40" w14:textId="77777777">
        <w:trPr>
          <w:cantSplit/>
          <w:trHeight w:val="540"/>
          <w:tblHeader/>
          <w:jc w:val="center"/>
        </w:trPr>
        <w:tc>
          <w:tcPr>
            <w:tcW w:w="3690" w:type="dxa"/>
            <w:gridSpan w:val="6"/>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18D845C5" w14:textId="2307B7E2" w:rsidR="00FB0A3F" w:rsidRDefault="00000000">
            <w:pPr>
              <w:spacing w:before="100" w:after="100"/>
              <w:ind w:left="100" w:right="100"/>
              <w:jc w:val="center"/>
            </w:pPr>
            <w:r>
              <w:rPr>
                <w:rFonts w:ascii="Helvetica" w:eastAsia="Helvetica" w:hAnsi="Helvetica" w:cs="Helvetica"/>
                <w:color w:val="000000"/>
                <w:sz w:val="18"/>
                <w:szCs w:val="18"/>
              </w:rPr>
              <w:t>Catch</w:t>
            </w:r>
          </w:p>
        </w:tc>
        <w:tc>
          <w:tcPr>
            <w:tcW w:w="5372" w:type="dxa"/>
            <w:gridSpan w:val="3"/>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3BF959ED" w14:textId="365E67ED" w:rsidR="00FB0A3F" w:rsidRDefault="00192026">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Standardised CPUE Performance Indicators (% change)</w:t>
            </w:r>
          </w:p>
        </w:tc>
      </w:tr>
      <w:tr w:rsidR="00FB0A3F" w14:paraId="24B7D902" w14:textId="77777777">
        <w:trPr>
          <w:cantSplit/>
          <w:trHeight w:val="507"/>
          <w:tblHeader/>
          <w:jc w:val="center"/>
        </w:trPr>
        <w:tc>
          <w:tcPr>
            <w:tcW w:w="1275" w:type="dxa"/>
            <w:gridSpan w:val="2"/>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3FBE7F55" w14:textId="670AD093" w:rsidR="00FB0A3F" w:rsidRDefault="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2023/24</w:t>
            </w:r>
          </w:p>
        </w:tc>
        <w:tc>
          <w:tcPr>
            <w:tcW w:w="241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A27B0CE" w14:textId="77777777" w:rsidR="00FB0A3F" w:rsidRDefault="00000000">
            <w:pPr>
              <w:spacing w:before="100" w:after="100"/>
              <w:ind w:left="100" w:right="100"/>
              <w:jc w:val="center"/>
            </w:pPr>
            <w:r>
              <w:rPr>
                <w:rFonts w:ascii="Helvetica" w:eastAsia="Helvetica" w:hAnsi="Helvetica" w:cs="Helvetica"/>
                <w:color w:val="000000"/>
                <w:sz w:val="18"/>
                <w:szCs w:val="18"/>
              </w:rPr>
              <w:t>OT + carryover* (t)</w:t>
            </w: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FB688E8" w14:textId="77777777" w:rsidR="00FB0A3F" w:rsidRDefault="00000000">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Long-term</w:t>
            </w:r>
          </w:p>
        </w:tc>
        <w:tc>
          <w:tcPr>
            <w:tcW w:w="179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8AEFD5B" w14:textId="77777777" w:rsidR="00FB0A3F" w:rsidRDefault="00000000">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Short-term</w:t>
            </w:r>
          </w:p>
        </w:tc>
        <w:tc>
          <w:tcPr>
            <w:tcW w:w="179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C3A5411" w14:textId="77777777" w:rsidR="00FB0A3F" w:rsidRDefault="00000000">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Last 4 years</w:t>
            </w:r>
          </w:p>
        </w:tc>
      </w:tr>
      <w:tr w:rsidR="00FF2F21" w14:paraId="7823A8B5" w14:textId="77777777">
        <w:trPr>
          <w:cantSplit/>
          <w:trHeight w:val="218"/>
          <w:tblHeader/>
          <w:jc w:val="center"/>
        </w:trPr>
        <w:tc>
          <w:tcPr>
            <w:tcW w:w="703"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C0CEA7C" w14:textId="77777777" w:rsidR="00FF2F21" w:rsidRDefault="00FF2F21" w:rsidP="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(t)</w:t>
            </w:r>
          </w:p>
        </w:tc>
        <w:tc>
          <w:tcPr>
            <w:tcW w:w="572"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68C58D5" w14:textId="77777777" w:rsidR="00FF2F21" w:rsidRDefault="00FF2F21" w:rsidP="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w:t>
            </w: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138CFA6" w14:textId="5B5DC96E" w:rsidR="00FF2F21" w:rsidRDefault="00FF2F21" w:rsidP="00FF2F21">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22/23</w:t>
            </w:r>
          </w:p>
        </w:tc>
        <w:tc>
          <w:tcPr>
            <w:tcW w:w="84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B82FF33" w14:textId="446FEE7E" w:rsidR="00FF2F21" w:rsidRDefault="00FF2F21" w:rsidP="00FF2F21">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23/24</w:t>
            </w:r>
          </w:p>
        </w:tc>
        <w:tc>
          <w:tcPr>
            <w:tcW w:w="845"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4B8536F2" w14:textId="1C69C12F" w:rsidR="00FF2F21" w:rsidRDefault="00FF2F21" w:rsidP="00FF2F21">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24/25</w:t>
            </w: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099BF93" w14:textId="18856AA1" w:rsidR="00FF2F21" w:rsidRDefault="00FF2F21" w:rsidP="00FF2F21">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2003/04 – 2023/24</w:t>
            </w:r>
          </w:p>
        </w:tc>
        <w:tc>
          <w:tcPr>
            <w:tcW w:w="179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5574631" w14:textId="44347E6C" w:rsidR="00FF2F21" w:rsidRDefault="00FF2F21" w:rsidP="00FF2F21">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2009/10 – 2023/24</w:t>
            </w:r>
          </w:p>
        </w:tc>
        <w:tc>
          <w:tcPr>
            <w:tcW w:w="179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02C8CD5" w14:textId="122974DB" w:rsidR="00FF2F21" w:rsidRDefault="00FF2F21" w:rsidP="00FF2F21">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2020/21 – 2023/24</w:t>
            </w:r>
          </w:p>
        </w:tc>
      </w:tr>
      <w:tr w:rsidR="00FF2F21" w14:paraId="44BA4518" w14:textId="77777777">
        <w:trPr>
          <w:cantSplit/>
          <w:trHeight w:val="123"/>
          <w:jc w:val="center"/>
        </w:trPr>
        <w:tc>
          <w:tcPr>
            <w:tcW w:w="703"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0B0C2629" w14:textId="43B79DD1" w:rsidR="00FF2F21" w:rsidRDefault="008D0E2D" w:rsidP="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2.1</w:t>
            </w:r>
          </w:p>
        </w:tc>
        <w:tc>
          <w:tcPr>
            <w:tcW w:w="572"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6C20B6DA" w14:textId="62F66B0B" w:rsidR="00FF2F21" w:rsidRDefault="00FF2F21" w:rsidP="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0.</w:t>
            </w:r>
            <w:r w:rsidR="008D0E2D">
              <w:rPr>
                <w:rFonts w:ascii="Helvetica" w:eastAsia="Helvetica" w:hAnsi="Helvetica" w:cs="Helvetica"/>
                <w:color w:val="000000"/>
                <w:sz w:val="18"/>
                <w:szCs w:val="18"/>
              </w:rPr>
              <w:t>9</w:t>
            </w:r>
          </w:p>
        </w:tc>
        <w:tc>
          <w:tcPr>
            <w:tcW w:w="724"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13BFBB" w14:textId="68B3342A" w:rsidR="00FF2F21" w:rsidRDefault="00FF2F21" w:rsidP="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2</w:t>
            </w:r>
          </w:p>
        </w:tc>
        <w:tc>
          <w:tcPr>
            <w:tcW w:w="846" w:type="dxa"/>
            <w:tcBorders>
              <w:left w:val="single" w:sz="8" w:space="0" w:color="000000"/>
              <w:bottom w:val="single" w:sz="8" w:space="0" w:color="000000"/>
              <w:right w:val="single" w:sz="8" w:space="0" w:color="000000"/>
            </w:tcBorders>
            <w:shd w:val="clear" w:color="auto" w:fill="auto"/>
          </w:tcPr>
          <w:p w14:paraId="16AF5090" w14:textId="3DE52160" w:rsidR="00FF2F21" w:rsidRDefault="00FF2F21" w:rsidP="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1.7</w:t>
            </w:r>
          </w:p>
        </w:tc>
        <w:tc>
          <w:tcPr>
            <w:tcW w:w="845" w:type="dxa"/>
            <w:gridSpan w:val="2"/>
            <w:tcBorders>
              <w:left w:val="single" w:sz="8" w:space="0" w:color="000000"/>
              <w:bottom w:val="single" w:sz="8" w:space="0" w:color="000000"/>
              <w:right w:val="single" w:sz="8" w:space="0" w:color="000000"/>
            </w:tcBorders>
            <w:shd w:val="clear" w:color="auto" w:fill="auto"/>
          </w:tcPr>
          <w:p w14:paraId="5EB25FCE" w14:textId="5076C6C5" w:rsidR="00FF2F21" w:rsidRDefault="009C295D" w:rsidP="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1.7</w:t>
            </w: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C124437" w14:textId="0E2F8A4B" w:rsidR="00FF2F21" w:rsidRPr="00192026" w:rsidRDefault="00FF2F21" w:rsidP="00FF2F21">
            <w:pPr>
              <w:spacing w:before="100" w:after="100"/>
              <w:ind w:left="100" w:right="100"/>
              <w:jc w:val="center"/>
              <w:rPr>
                <w:rFonts w:ascii="Helvetica" w:eastAsia="Helvetica" w:hAnsi="Helvetica" w:cs="Helvetica"/>
                <w:color w:val="000000" w:themeColor="text1"/>
                <w:sz w:val="18"/>
                <w:szCs w:val="18"/>
              </w:rPr>
            </w:pPr>
            <w:r w:rsidRPr="00192026">
              <w:rPr>
                <w:rFonts w:ascii="Helvetica" w:eastAsia="Arial" w:hAnsi="Helvetica" w:cs="Helvetica"/>
                <w:color w:val="000000" w:themeColor="text1"/>
                <w:sz w:val="18"/>
                <w:szCs w:val="18"/>
              </w:rPr>
              <w:t>-</w:t>
            </w:r>
            <w:r w:rsidR="00192026">
              <w:rPr>
                <w:rFonts w:ascii="Helvetica" w:eastAsia="Arial" w:hAnsi="Helvetica" w:cs="Helvetica"/>
                <w:color w:val="000000" w:themeColor="text1"/>
                <w:sz w:val="18"/>
                <w:szCs w:val="18"/>
              </w:rPr>
              <w:t>18</w:t>
            </w:r>
          </w:p>
        </w:tc>
        <w:tc>
          <w:tcPr>
            <w:tcW w:w="179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3CFDEC6" w14:textId="4279ABBD" w:rsidR="00FF2F21" w:rsidRPr="00192026" w:rsidRDefault="00192026" w:rsidP="00FF2F21">
            <w:pPr>
              <w:spacing w:before="100" w:after="100"/>
              <w:ind w:left="100" w:right="100"/>
              <w:jc w:val="center"/>
              <w:rPr>
                <w:rFonts w:ascii="Helvetica" w:eastAsia="Helvetica" w:hAnsi="Helvetica" w:cs="Helvetica"/>
                <w:color w:val="000000" w:themeColor="text1"/>
                <w:sz w:val="18"/>
                <w:szCs w:val="18"/>
              </w:rPr>
            </w:pPr>
            <w:r>
              <w:rPr>
                <w:rFonts w:ascii="Helvetica" w:eastAsia="Arial" w:hAnsi="Helvetica" w:cs="Helvetica"/>
                <w:color w:val="000000" w:themeColor="text1"/>
                <w:sz w:val="18"/>
                <w:szCs w:val="18"/>
              </w:rPr>
              <w:t>-3</w:t>
            </w:r>
          </w:p>
        </w:tc>
        <w:tc>
          <w:tcPr>
            <w:tcW w:w="1791" w:type="dxa"/>
            <w:tcBorders>
              <w:top w:val="single" w:sz="8" w:space="0" w:color="000000"/>
              <w:left w:val="single" w:sz="8" w:space="0" w:color="000000"/>
              <w:bottom w:val="single" w:sz="8" w:space="0" w:color="000000"/>
              <w:right w:val="single" w:sz="8" w:space="0" w:color="000000"/>
            </w:tcBorders>
            <w:shd w:val="clear" w:color="auto" w:fill="FFFFFF"/>
          </w:tcPr>
          <w:p w14:paraId="38A2483E" w14:textId="300717CD" w:rsidR="00FF2F21" w:rsidRPr="00192026" w:rsidRDefault="00192026" w:rsidP="00FF2F21">
            <w:pPr>
              <w:spacing w:before="100" w:after="100"/>
              <w:ind w:left="100" w:right="100"/>
              <w:jc w:val="center"/>
              <w:rPr>
                <w:rFonts w:ascii="Helvetica" w:eastAsia="Helvetica" w:hAnsi="Helvetica" w:cs="Helvetica"/>
                <w:color w:val="000000" w:themeColor="text1"/>
                <w:sz w:val="18"/>
                <w:szCs w:val="18"/>
              </w:rPr>
            </w:pPr>
            <w:r>
              <w:rPr>
                <w:rFonts w:ascii="Helvetica" w:eastAsia="Arial" w:hAnsi="Helvetica" w:cs="Helvetica"/>
                <w:color w:val="000000" w:themeColor="text1"/>
                <w:sz w:val="18"/>
                <w:szCs w:val="18"/>
              </w:rPr>
              <w:t>7</w:t>
            </w:r>
          </w:p>
        </w:tc>
      </w:tr>
      <w:tr w:rsidR="00FB0A3F" w14:paraId="4635FDC0" w14:textId="77777777" w:rsidTr="00947B63">
        <w:trPr>
          <w:cantSplit/>
          <w:jc w:val="center"/>
        </w:trPr>
        <w:tc>
          <w:tcPr>
            <w:tcW w:w="3676" w:type="dxa"/>
            <w:gridSpan w:val="5"/>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38F98A01" w14:textId="349F56A8" w:rsidR="00FB0A3F" w:rsidRDefault="00000000">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LML 202</w:t>
            </w:r>
            <w:r w:rsidR="00FF2F21">
              <w:rPr>
                <w:rFonts w:ascii="Helvetica" w:eastAsia="Helvetica" w:hAnsi="Helvetica" w:cs="Helvetica"/>
                <w:color w:val="000000"/>
                <w:sz w:val="18"/>
                <w:szCs w:val="18"/>
              </w:rPr>
              <w:t>3</w:t>
            </w:r>
            <w:r>
              <w:rPr>
                <w:rFonts w:ascii="Helvetica" w:eastAsia="Helvetica" w:hAnsi="Helvetica" w:cs="Helvetica"/>
                <w:color w:val="000000"/>
                <w:sz w:val="18"/>
                <w:szCs w:val="18"/>
              </w:rPr>
              <w:t>/2</w:t>
            </w:r>
            <w:r w:rsidR="00FF2F21">
              <w:rPr>
                <w:rFonts w:ascii="Helvetica" w:eastAsia="Helvetica" w:hAnsi="Helvetica" w:cs="Helvetica"/>
                <w:color w:val="000000"/>
                <w:sz w:val="18"/>
                <w:szCs w:val="18"/>
              </w:rPr>
              <w:t>4</w:t>
            </w:r>
            <w:r>
              <w:rPr>
                <w:rFonts w:ascii="Helvetica" w:eastAsia="Helvetica" w:hAnsi="Helvetica" w:cs="Helvetica"/>
                <w:color w:val="000000"/>
                <w:sz w:val="18"/>
                <w:szCs w:val="18"/>
              </w:rPr>
              <w:t xml:space="preserve"> = 110 mm</w:t>
            </w:r>
          </w:p>
        </w:tc>
        <w:tc>
          <w:tcPr>
            <w:tcW w:w="5386" w:type="dxa"/>
            <w:gridSpan w:val="4"/>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58300B7F" w14:textId="4CDD87EB" w:rsidR="00FB0A3F" w:rsidRDefault="0001483C">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 xml:space="preserve">Mean daily catch 2023/24 (nominal) = </w:t>
            </w:r>
            <w:r w:rsidR="00947B63">
              <w:rPr>
                <w:rFonts w:ascii="Helvetica" w:eastAsia="Helvetica" w:hAnsi="Helvetica" w:cs="Helvetica"/>
                <w:color w:val="000000"/>
                <w:sz w:val="18"/>
                <w:szCs w:val="18"/>
              </w:rPr>
              <w:t>345</w:t>
            </w:r>
            <w:r>
              <w:rPr>
                <w:rFonts w:ascii="Helvetica" w:eastAsia="Helvetica" w:hAnsi="Helvetica" w:cs="Helvetica"/>
                <w:color w:val="000000"/>
                <w:sz w:val="18"/>
                <w:szCs w:val="18"/>
              </w:rPr>
              <w:t xml:space="preserve"> kg</w:t>
            </w:r>
          </w:p>
        </w:tc>
      </w:tr>
    </w:tbl>
    <w:p w14:paraId="205476D5" w14:textId="49777041" w:rsidR="00FB0A3F" w:rsidRDefault="00000000">
      <w:r>
        <w:t>The Surf Coast SMU produced catches from 20-40 t (average 26 t) between 1992 and 1997 (Figure 40). However, catches have ranged from 0.7 to 9 t (average 4.5 t) thereafter. The catch in 2020/21 was the highest recorded since the size limit was reduced in 2012 but it declined to 1</w:t>
      </w:r>
      <w:r w:rsidR="008C4911">
        <w:t>-2</w:t>
      </w:r>
      <w:r>
        <w:t xml:space="preserve"> t in the last </w:t>
      </w:r>
      <w:r w:rsidR="008C4911">
        <w:t xml:space="preserve">three </w:t>
      </w:r>
      <w:r>
        <w:t>years.</w:t>
      </w:r>
    </w:p>
    <w:p w14:paraId="635F992D" w14:textId="395740D7" w:rsidR="00FB0A3F" w:rsidRDefault="00AF21D9">
      <w:r>
        <w:t>Standardised CPUE generally decline</w:t>
      </w:r>
      <w:r w:rsidR="005766E7">
        <w:t>d</w:t>
      </w:r>
      <w:r>
        <w:t xml:space="preserve"> from 2003 to 2017 and has increased </w:t>
      </w:r>
      <w:r w:rsidR="005766E7">
        <w:t xml:space="preserve">slightly </w:t>
      </w:r>
      <w:r>
        <w:t xml:space="preserve">thereafter (Figure 40). </w:t>
      </w:r>
    </w:p>
    <w:p w14:paraId="65843E58" w14:textId="10A155E1" w:rsidR="00FB0A3F" w:rsidRDefault="00AF21D9">
      <w:pPr>
        <w:jc w:val="center"/>
      </w:pPr>
      <w:r>
        <w:rPr>
          <w:noProof/>
        </w:rPr>
        <w:drawing>
          <wp:inline distT="0" distB="0" distL="0" distR="0" wp14:anchorId="18684D91" wp14:editId="74746952">
            <wp:extent cx="5727700" cy="3579495"/>
            <wp:effectExtent l="0" t="0" r="0" b="0"/>
            <wp:docPr id="216" name="Picture" descr="Figure 41: Surf Coast SMU catch, and CPUE (nominal and standardised) from 1992/93 – 2022/23. Catch = bars, nominal CPUE = grey series (+/- SE), standardised series = black. Numbers in bars indicate changes to LMLs. MPs = introduction of Marine Parks."/>
            <wp:cNvGraphicFramePr/>
            <a:graphic xmlns:a="http://schemas.openxmlformats.org/drawingml/2006/main">
              <a:graphicData uri="http://schemas.openxmlformats.org/drawingml/2006/picture">
                <pic:pic xmlns:pic="http://schemas.openxmlformats.org/drawingml/2006/picture">
                  <pic:nvPicPr>
                    <pic:cNvPr id="216" name="Picture" descr="Figure 41: Surf Coast SMU catch, and CPUE (nominal and standardised) from 1992/93 – 2022/23. Catch = bars, nominal CPUE = grey series (+/- SE), standardised series = black. Numbers in bars indicate changes to LMLs. MPs = introduction of Marine Parks."/>
                    <pic:cNvPicPr/>
                  </pic:nvPicPr>
                  <pic:blipFill>
                    <a:blip r:embed="rId66"/>
                    <a:stretch>
                      <a:fillRect/>
                    </a:stretch>
                  </pic:blipFill>
                  <pic:spPr bwMode="auto">
                    <a:xfrm>
                      <a:off x="0" y="0"/>
                      <a:ext cx="5727700" cy="3579495"/>
                    </a:xfrm>
                    <a:prstGeom prst="rect">
                      <a:avLst/>
                    </a:prstGeom>
                    <a:noFill/>
                    <a:ln w="9525">
                      <a:noFill/>
                      <a:headEnd/>
                      <a:tailEnd/>
                    </a:ln>
                  </pic:spPr>
                </pic:pic>
              </a:graphicData>
            </a:graphic>
          </wp:inline>
        </w:drawing>
      </w:r>
    </w:p>
    <w:p w14:paraId="1D589E7F" w14:textId="3A707EAE" w:rsidR="00FB0A3F" w:rsidRDefault="00000000">
      <w:pPr>
        <w:pStyle w:val="Caption"/>
      </w:pPr>
      <w:bookmarkStart w:id="316" w:name="_Toc192777305"/>
      <w:r>
        <w:t xml:space="preserve">Figure 40: Surf Coast SMU catch, and CPUE (nominal and standardised) from 1992/1993 – </w:t>
      </w:r>
      <w:r w:rsidR="00D2115A">
        <w:t xml:space="preserve">2023/24. </w:t>
      </w:r>
      <w:r w:rsidR="00495804" w:rsidRPr="00495804">
        <w:t>Nominal annual = grey series (+/- SE), standardised annual = solid black, standardised quarterly = dashed black</w:t>
      </w:r>
      <w:r>
        <w:t>. Numbers indicate changes to LMLs. MPs = introduction of Marine Parks.</w:t>
      </w:r>
      <w:bookmarkEnd w:id="316"/>
    </w:p>
    <w:p w14:paraId="6BC53085" w14:textId="53845F02" w:rsidR="00FB0A3F" w:rsidRDefault="009B5E24">
      <w:r>
        <w:t>Standardised mean daily catch decreased from 2003 to 2011, was variable until 2018 and has been stable thereafter (Figure 41). Nominal mean daily catch was 345 kg/day in 2023/24.</w:t>
      </w:r>
    </w:p>
    <w:p w14:paraId="06E35BFA" w14:textId="3D21AD6A" w:rsidR="00FB0A3F" w:rsidRDefault="00AF21D9">
      <w:pPr>
        <w:jc w:val="center"/>
      </w:pPr>
      <w:r>
        <w:rPr>
          <w:noProof/>
        </w:rPr>
        <w:lastRenderedPageBreak/>
        <w:drawing>
          <wp:inline distT="0" distB="0" distL="0" distR="0" wp14:anchorId="50067DBE" wp14:editId="46E4D0FA">
            <wp:extent cx="5257800" cy="3061855"/>
            <wp:effectExtent l="0" t="0" r="0" b="5715"/>
            <wp:docPr id="213" name="Picture" descr="A graph with lines and numbers&#10;&#10;Description automatically generated"/>
            <wp:cNvGraphicFramePr/>
            <a:graphic xmlns:a="http://schemas.openxmlformats.org/drawingml/2006/main">
              <a:graphicData uri="http://schemas.openxmlformats.org/drawingml/2006/picture">
                <pic:pic xmlns:pic="http://schemas.openxmlformats.org/drawingml/2006/picture">
                  <pic:nvPicPr>
                    <pic:cNvPr id="213" name="Picture" descr="A graph with lines and numbers&#10;&#10;Description automatically generated"/>
                    <pic:cNvPicPr/>
                  </pic:nvPicPr>
                  <pic:blipFill>
                    <a:blip r:embed="rId67"/>
                    <a:stretch>
                      <a:fillRect/>
                    </a:stretch>
                  </pic:blipFill>
                  <pic:spPr bwMode="auto">
                    <a:xfrm>
                      <a:off x="0" y="0"/>
                      <a:ext cx="5273836" cy="3071194"/>
                    </a:xfrm>
                    <a:prstGeom prst="rect">
                      <a:avLst/>
                    </a:prstGeom>
                    <a:noFill/>
                    <a:ln w="9525">
                      <a:noFill/>
                      <a:headEnd/>
                      <a:tailEnd/>
                    </a:ln>
                  </pic:spPr>
                </pic:pic>
              </a:graphicData>
            </a:graphic>
          </wp:inline>
        </w:drawing>
      </w:r>
    </w:p>
    <w:p w14:paraId="5B4C2A75" w14:textId="6808F99E" w:rsidR="00FB0A3F" w:rsidRDefault="00000000">
      <w:pPr>
        <w:pStyle w:val="Caption"/>
      </w:pPr>
      <w:bookmarkStart w:id="317" w:name="_Toc192777306"/>
      <w:r>
        <w:t xml:space="preserve">Figure 41: Total catch and mean daily catch for the Surf Coast </w:t>
      </w:r>
      <w:r w:rsidR="008D0E2D">
        <w:t>SMU from 2003 to 2023</w:t>
      </w:r>
      <w:r w:rsidR="00495804">
        <w:t xml:space="preserve">. </w:t>
      </w:r>
      <w:r w:rsidR="00495804" w:rsidRPr="00495804">
        <w:t>Nominal annual = grey series (+/- SE), standardised annual = solid black, standardised quarterly = dashed black</w:t>
      </w:r>
      <w:r>
        <w:t>.</w:t>
      </w:r>
      <w:bookmarkEnd w:id="317"/>
      <w:r>
        <w:t xml:space="preserve"> </w:t>
      </w:r>
    </w:p>
    <w:p w14:paraId="1405C3E4" w14:textId="4A29EA86" w:rsidR="00FB0A3F" w:rsidRDefault="00000000">
      <w:pPr>
        <w:pStyle w:val="TableCaption"/>
      </w:pPr>
      <w:bookmarkStart w:id="318" w:name="_Toc192762296"/>
      <w:r>
        <w:t>Table 2</w:t>
      </w:r>
      <w:r w:rsidR="001A6F5B">
        <w:t>8</w:t>
      </w:r>
      <w:r>
        <w:t xml:space="preserve">: Catches (kg) by </w:t>
      </w:r>
      <w:proofErr w:type="spellStart"/>
      <w:r>
        <w:t>reefcode</w:t>
      </w:r>
      <w:proofErr w:type="spellEnd"/>
      <w:r>
        <w:t xml:space="preserve"> for the Surf Coast SMU </w:t>
      </w:r>
      <w:r w:rsidR="003E07DE">
        <w:t xml:space="preserve">from 2018/19 to 2023/24 and the </w:t>
      </w:r>
      <w:r w:rsidR="008E6717">
        <w:t>5</w:t>
      </w:r>
      <w:r w:rsidR="003E07DE">
        <w:t>-year average catch from 2018/19 to 2022/23</w:t>
      </w:r>
      <w:r>
        <w:t>.</w:t>
      </w:r>
      <w:bookmarkEnd w:id="318"/>
    </w:p>
    <w:p w14:paraId="3C38BF32" w14:textId="2601EF92" w:rsidR="00FB0A3F" w:rsidRDefault="003E07DE">
      <w:pPr>
        <w:jc w:val="center"/>
      </w:pPr>
      <w:r w:rsidRPr="003E07DE">
        <w:rPr>
          <w:noProof/>
        </w:rPr>
        <w:drawing>
          <wp:inline distT="0" distB="0" distL="0" distR="0" wp14:anchorId="3350856A" wp14:editId="3F25D823">
            <wp:extent cx="3977640" cy="1422384"/>
            <wp:effectExtent l="0" t="0" r="3810" b="6985"/>
            <wp:docPr id="368940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940280" name=""/>
                    <pic:cNvPicPr/>
                  </pic:nvPicPr>
                  <pic:blipFill>
                    <a:blip r:embed="rId68"/>
                    <a:stretch>
                      <a:fillRect/>
                    </a:stretch>
                  </pic:blipFill>
                  <pic:spPr>
                    <a:xfrm>
                      <a:off x="0" y="0"/>
                      <a:ext cx="3999126" cy="1430067"/>
                    </a:xfrm>
                    <a:prstGeom prst="rect">
                      <a:avLst/>
                    </a:prstGeom>
                  </pic:spPr>
                </pic:pic>
              </a:graphicData>
            </a:graphic>
          </wp:inline>
        </w:drawing>
      </w:r>
    </w:p>
    <w:p w14:paraId="680BB1EF" w14:textId="1F578A7C" w:rsidR="00FB0A3F" w:rsidRDefault="00000000">
      <w:r>
        <w:t xml:space="preserve">The Surf Coast SMU comprises </w:t>
      </w:r>
      <w:r w:rsidR="008E6717">
        <w:t>5</w:t>
      </w:r>
      <w:r>
        <w:t xml:space="preserve"> </w:t>
      </w:r>
      <w:proofErr w:type="spellStart"/>
      <w:r>
        <w:t>reefcodes</w:t>
      </w:r>
      <w:proofErr w:type="spellEnd"/>
      <w:r>
        <w:t xml:space="preserve">, with most of the catch coming from 10.02, which was the only </w:t>
      </w:r>
      <w:proofErr w:type="spellStart"/>
      <w:r>
        <w:t>reefcode</w:t>
      </w:r>
      <w:proofErr w:type="spellEnd"/>
      <w:r>
        <w:t xml:space="preserve"> fished in 2022/23 </w:t>
      </w:r>
      <w:r w:rsidR="008C4911">
        <w:t xml:space="preserve">and 2023/24 </w:t>
      </w:r>
      <w:r>
        <w:t>(Table 2</w:t>
      </w:r>
      <w:r w:rsidR="001A6F5B">
        <w:t>8</w:t>
      </w:r>
      <w:r>
        <w:t xml:space="preserve">). </w:t>
      </w:r>
    </w:p>
    <w:p w14:paraId="23B616B0" w14:textId="77777777" w:rsidR="00FB0A3F" w:rsidRDefault="00000000">
      <w:pPr>
        <w:rPr>
          <w:i/>
          <w:iCs/>
        </w:rPr>
      </w:pPr>
      <w:r>
        <w:rPr>
          <w:i/>
          <w:iCs/>
        </w:rPr>
        <w:t>Length frequency data – commercial</w:t>
      </w:r>
    </w:p>
    <w:p w14:paraId="1B9110E4" w14:textId="5A841A2C" w:rsidR="00FB0A3F" w:rsidRDefault="00000000">
      <w:r>
        <w:t xml:space="preserve">No commercial length frequency data are presented for the </w:t>
      </w:r>
      <w:proofErr w:type="spellStart"/>
      <w:r>
        <w:t>Surfcoast</w:t>
      </w:r>
      <w:proofErr w:type="spellEnd"/>
      <w:r>
        <w:t xml:space="preserve"> in Appendix </w:t>
      </w:r>
      <w:r w:rsidR="00E24DE5">
        <w:t>3</w:t>
      </w:r>
      <w:r>
        <w:t>.</w:t>
      </w:r>
    </w:p>
    <w:p w14:paraId="2741C216" w14:textId="77777777" w:rsidR="00FB0A3F" w:rsidRDefault="00000000">
      <w:r>
        <w:rPr>
          <w:i/>
          <w:iCs/>
        </w:rPr>
        <w:t>Summary</w:t>
      </w:r>
    </w:p>
    <w:p w14:paraId="20BF95DE" w14:textId="7ECD6E80" w:rsidR="00FB0A3F" w:rsidRDefault="00000000">
      <w:r>
        <w:t xml:space="preserve">The Surf Coast SMU averaged catches </w:t>
      </w:r>
      <w:proofErr w:type="gramStart"/>
      <w:r>
        <w:t>in excess of</w:t>
      </w:r>
      <w:proofErr w:type="gramEnd"/>
      <w:r>
        <w:t xml:space="preserve"> 25 t from 1992 to 1997, however catches declined rapidly thereafter. While trends in CPUE have been stable throughout the history of the fishery, catches from 2016/17 to 2019/20 were the lowest recorded. The catch in 2020/21 increased to 5.2 t, most of which was harvested from </w:t>
      </w:r>
      <w:proofErr w:type="spellStart"/>
      <w:r>
        <w:t>reefcode</w:t>
      </w:r>
      <w:proofErr w:type="spellEnd"/>
      <w:r>
        <w:t xml:space="preserve"> 10.02 (Thirteenth Beach) but reduced to </w:t>
      </w:r>
      <w:r w:rsidR="00DB5215">
        <w:t xml:space="preserve">1.5 - 2 t in subsequent years. </w:t>
      </w:r>
    </w:p>
    <w:p w14:paraId="70E53140" w14:textId="776556F1" w:rsidR="00FB0A3F" w:rsidRDefault="00000000">
      <w:r>
        <w:t>The total catch in the Surf Coast SMU (</w:t>
      </w:r>
      <w:r w:rsidR="00DB5215">
        <w:t>2.1</w:t>
      </w:r>
      <w:r>
        <w:t xml:space="preserve"> t) was 0.</w:t>
      </w:r>
      <w:r w:rsidR="00DB5215">
        <w:t>4</w:t>
      </w:r>
      <w:r>
        <w:t xml:space="preserve"> t </w:t>
      </w:r>
      <w:r w:rsidR="00DB5215">
        <w:t xml:space="preserve">above </w:t>
      </w:r>
      <w:r>
        <w:t>the OT (</w:t>
      </w:r>
      <w:r w:rsidR="00DB5215">
        <w:t>1.7</w:t>
      </w:r>
      <w:r>
        <w:t xml:space="preserve"> t). Mean CPUE (</w:t>
      </w:r>
      <w:r w:rsidR="00DB5215">
        <w:t>61.5</w:t>
      </w:r>
      <w:r>
        <w:t xml:space="preserve"> kg/h) was above the Threshold (</w:t>
      </w:r>
      <w:r w:rsidR="00DB5215">
        <w:t>6</w:t>
      </w:r>
      <w:r>
        <w:t xml:space="preserve">0 kg/h) Reference Point. The Primary </w:t>
      </w:r>
      <w:r w:rsidR="00DB5215">
        <w:t xml:space="preserve">and Secondary </w:t>
      </w:r>
      <w:r>
        <w:t>Categor</w:t>
      </w:r>
      <w:r w:rsidR="00DB5215">
        <w:t>ies were</w:t>
      </w:r>
      <w:r>
        <w:t xml:space="preserve"> Stable, resulting in a Stable Final Category. The 202</w:t>
      </w:r>
      <w:r w:rsidR="00DB5215">
        <w:t>4</w:t>
      </w:r>
      <w:r>
        <w:t>/2</w:t>
      </w:r>
      <w:r w:rsidR="00DB5215">
        <w:t>5</w:t>
      </w:r>
      <w:r>
        <w:t xml:space="preserve"> OT was </w:t>
      </w:r>
      <w:r w:rsidR="00DB5215">
        <w:t xml:space="preserve">maintained at </w:t>
      </w:r>
      <w:r>
        <w:t xml:space="preserve">1.7 t, suggesting an OT </w:t>
      </w:r>
      <w:r w:rsidR="00DB5215">
        <w:t xml:space="preserve">for 2025/26 </w:t>
      </w:r>
      <w:r>
        <w:t>of 1.6 to 1.8 t.</w:t>
      </w:r>
    </w:p>
    <w:p w14:paraId="239F48A8" w14:textId="024C0BFE" w:rsidR="00FB0A3F" w:rsidRDefault="00000000">
      <w:pPr>
        <w:rPr>
          <w:b/>
          <w:bCs/>
        </w:rPr>
      </w:pPr>
      <w:bookmarkStart w:id="319" w:name="_Hlk192777037"/>
      <w:r>
        <w:rPr>
          <w:b/>
          <w:bCs/>
        </w:rPr>
        <w:t xml:space="preserve">Recent catches from the Surf Coast SMU have been well below historic levels. Annual catches generally come from the one </w:t>
      </w:r>
      <w:proofErr w:type="spellStart"/>
      <w:r>
        <w:rPr>
          <w:b/>
          <w:bCs/>
        </w:rPr>
        <w:t>reefcode</w:t>
      </w:r>
      <w:proofErr w:type="spellEnd"/>
      <w:r>
        <w:rPr>
          <w:b/>
          <w:bCs/>
        </w:rPr>
        <w:t xml:space="preserve">, with small catches from others in some years. Maintaining the current OT </w:t>
      </w:r>
      <w:r w:rsidR="005C0401">
        <w:rPr>
          <w:b/>
          <w:bCs/>
        </w:rPr>
        <w:t xml:space="preserve">appears to be </w:t>
      </w:r>
      <w:r>
        <w:rPr>
          <w:b/>
          <w:bCs/>
        </w:rPr>
        <w:t>an appropriate strategy</w:t>
      </w:r>
      <w:bookmarkEnd w:id="319"/>
      <w:r>
        <w:rPr>
          <w:b/>
          <w:bCs/>
        </w:rPr>
        <w:t xml:space="preserve">. </w:t>
      </w:r>
    </w:p>
    <w:p w14:paraId="30B317CB" w14:textId="77777777" w:rsidR="00FB0A3F" w:rsidRDefault="00000000">
      <w:pPr>
        <w:pStyle w:val="Heading3"/>
        <w:numPr>
          <w:ilvl w:val="2"/>
          <w:numId w:val="9"/>
        </w:numPr>
        <w:ind w:left="720" w:hanging="720"/>
      </w:pPr>
      <w:bookmarkStart w:id="320" w:name="_Toc98408351"/>
      <w:bookmarkStart w:id="321" w:name="_Toc192777241"/>
      <w:bookmarkStart w:id="322" w:name="ppb"/>
      <w:bookmarkEnd w:id="313"/>
      <w:r>
        <w:lastRenderedPageBreak/>
        <w:t>PPB</w:t>
      </w:r>
      <w:bookmarkEnd w:id="320"/>
      <w:bookmarkEnd w:id="321"/>
    </w:p>
    <w:p w14:paraId="61A49A84" w14:textId="7DA624FB" w:rsidR="00FB0A3F" w:rsidRDefault="00000000">
      <w:r>
        <w:t xml:space="preserve">The Port Phillip Bay SMU </w:t>
      </w:r>
      <w:r w:rsidR="008D0E2D">
        <w:t xml:space="preserve">did not contribute to the total </w:t>
      </w:r>
      <w:r>
        <w:t xml:space="preserve">catch </w:t>
      </w:r>
      <w:r w:rsidR="008D0E2D">
        <w:t xml:space="preserve">of </w:t>
      </w:r>
      <w:r>
        <w:t>the Central Zone TACC in 202</w:t>
      </w:r>
      <w:r w:rsidR="008D0E2D">
        <w:t>3</w:t>
      </w:r>
      <w:r>
        <w:t>/2</w:t>
      </w:r>
      <w:r w:rsidR="008D0E2D">
        <w:t>4</w:t>
      </w:r>
      <w:r>
        <w:t>. Short- and long-term indicators for CPUE could not be assessed (Table 2</w:t>
      </w:r>
      <w:r w:rsidR="001A6F5B">
        <w:t>9</w:t>
      </w:r>
      <w:r>
        <w:t xml:space="preserve">). </w:t>
      </w:r>
    </w:p>
    <w:p w14:paraId="02C896A5" w14:textId="2CE40881" w:rsidR="00FB0A3F" w:rsidRDefault="00000000">
      <w:pPr>
        <w:pStyle w:val="TableCaption"/>
      </w:pPr>
      <w:bookmarkStart w:id="323" w:name="_Toc192762297"/>
      <w:r>
        <w:t>Table 2</w:t>
      </w:r>
      <w:r w:rsidR="001A6F5B">
        <w:t>9</w:t>
      </w:r>
      <w:r>
        <w:t>: Summary of Catch and Optimal targets for the Port Phillip Bay SMU. The LML is also shown. There are insufficient data for assessment against CPUE performance indicators.</w:t>
      </w:r>
      <w:bookmarkEnd w:id="323"/>
      <w:r>
        <w:t xml:space="preserve"> </w:t>
      </w:r>
    </w:p>
    <w:tbl>
      <w:tblPr>
        <w:tblW w:w="9062" w:type="dxa"/>
        <w:jc w:val="center"/>
        <w:tblLayout w:type="fixed"/>
        <w:tblLook w:val="04A0" w:firstRow="1" w:lastRow="0" w:firstColumn="1" w:lastColumn="0" w:noHBand="0" w:noVBand="1"/>
      </w:tblPr>
      <w:tblGrid>
        <w:gridCol w:w="703"/>
        <w:gridCol w:w="572"/>
        <w:gridCol w:w="724"/>
        <w:gridCol w:w="846"/>
        <w:gridCol w:w="845"/>
        <w:gridCol w:w="14"/>
        <w:gridCol w:w="1776"/>
        <w:gridCol w:w="1791"/>
        <w:gridCol w:w="1791"/>
      </w:tblGrid>
      <w:tr w:rsidR="00FB0A3F" w14:paraId="6933B545" w14:textId="77777777">
        <w:trPr>
          <w:cantSplit/>
          <w:trHeight w:val="540"/>
          <w:tblHeader/>
          <w:jc w:val="center"/>
        </w:trPr>
        <w:tc>
          <w:tcPr>
            <w:tcW w:w="3690" w:type="dxa"/>
            <w:gridSpan w:val="5"/>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6447DF80" w14:textId="77777777" w:rsidR="00FB0A3F" w:rsidRDefault="00000000">
            <w:pPr>
              <w:spacing w:before="100" w:after="100"/>
              <w:ind w:left="100" w:right="100"/>
              <w:jc w:val="center"/>
            </w:pPr>
            <w:r>
              <w:rPr>
                <w:rFonts w:ascii="Helvetica" w:eastAsia="Helvetica" w:hAnsi="Helvetica" w:cs="Helvetica"/>
                <w:color w:val="000000"/>
                <w:sz w:val="18"/>
                <w:szCs w:val="18"/>
              </w:rPr>
              <w:t>Catch</w:t>
            </w:r>
          </w:p>
        </w:tc>
        <w:tc>
          <w:tcPr>
            <w:tcW w:w="5372" w:type="dxa"/>
            <w:gridSpan w:val="4"/>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34562E1C" w14:textId="07EA5F0A" w:rsidR="00FB0A3F" w:rsidRDefault="00192026">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Standardised CPUE Performance Indicators (% change)</w:t>
            </w:r>
          </w:p>
        </w:tc>
      </w:tr>
      <w:tr w:rsidR="00FB0A3F" w14:paraId="7697208E" w14:textId="77777777">
        <w:trPr>
          <w:cantSplit/>
          <w:trHeight w:val="507"/>
          <w:tblHeader/>
          <w:jc w:val="center"/>
        </w:trPr>
        <w:tc>
          <w:tcPr>
            <w:tcW w:w="1275" w:type="dxa"/>
            <w:gridSpan w:val="2"/>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7FBE14BE" w14:textId="09AFFD5A" w:rsidR="00FB0A3F" w:rsidRDefault="00000000">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202</w:t>
            </w:r>
            <w:r w:rsidR="00FF2F21">
              <w:rPr>
                <w:rFonts w:ascii="Helvetica" w:eastAsia="Helvetica" w:hAnsi="Helvetica" w:cs="Helvetica"/>
                <w:color w:val="000000"/>
                <w:sz w:val="18"/>
                <w:szCs w:val="18"/>
              </w:rPr>
              <w:t>3</w:t>
            </w:r>
            <w:r>
              <w:rPr>
                <w:rFonts w:ascii="Helvetica" w:eastAsia="Helvetica" w:hAnsi="Helvetica" w:cs="Helvetica"/>
                <w:color w:val="000000"/>
                <w:sz w:val="18"/>
                <w:szCs w:val="18"/>
              </w:rPr>
              <w:t>/2</w:t>
            </w:r>
            <w:r w:rsidR="00FF2F21">
              <w:rPr>
                <w:rFonts w:ascii="Helvetica" w:eastAsia="Helvetica" w:hAnsi="Helvetica" w:cs="Helvetica"/>
                <w:color w:val="000000"/>
                <w:sz w:val="18"/>
                <w:szCs w:val="18"/>
              </w:rPr>
              <w:t>4</w:t>
            </w:r>
          </w:p>
        </w:tc>
        <w:tc>
          <w:tcPr>
            <w:tcW w:w="241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A2EC6D1" w14:textId="77777777" w:rsidR="00FB0A3F" w:rsidRDefault="00000000">
            <w:pPr>
              <w:spacing w:before="100" w:after="100"/>
              <w:ind w:left="100" w:right="100"/>
              <w:jc w:val="center"/>
            </w:pPr>
            <w:r>
              <w:rPr>
                <w:rFonts w:ascii="Helvetica" w:eastAsia="Helvetica" w:hAnsi="Helvetica" w:cs="Helvetica"/>
                <w:color w:val="000000"/>
                <w:sz w:val="18"/>
                <w:szCs w:val="18"/>
              </w:rPr>
              <w:t>OT + carryover* (t)</w:t>
            </w:r>
          </w:p>
        </w:tc>
        <w:tc>
          <w:tcPr>
            <w:tcW w:w="179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F8E1B44" w14:textId="77777777" w:rsidR="00FB0A3F" w:rsidRDefault="00000000">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Long-term</w:t>
            </w:r>
          </w:p>
        </w:tc>
        <w:tc>
          <w:tcPr>
            <w:tcW w:w="179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9B8C349" w14:textId="77777777" w:rsidR="00FB0A3F" w:rsidRDefault="00000000">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Short-term</w:t>
            </w:r>
          </w:p>
        </w:tc>
        <w:tc>
          <w:tcPr>
            <w:tcW w:w="179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028C194" w14:textId="77777777" w:rsidR="00FB0A3F" w:rsidRDefault="00000000">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Last 4 years</w:t>
            </w:r>
          </w:p>
        </w:tc>
      </w:tr>
      <w:tr w:rsidR="00FF2F21" w14:paraId="53D3F235" w14:textId="77777777">
        <w:trPr>
          <w:cantSplit/>
          <w:trHeight w:val="218"/>
          <w:tblHeader/>
          <w:jc w:val="center"/>
        </w:trPr>
        <w:tc>
          <w:tcPr>
            <w:tcW w:w="703"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EC8E6F7" w14:textId="77777777" w:rsidR="00FF2F21" w:rsidRDefault="00FF2F21" w:rsidP="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(t)</w:t>
            </w:r>
          </w:p>
        </w:tc>
        <w:tc>
          <w:tcPr>
            <w:tcW w:w="572"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C51637B" w14:textId="77777777" w:rsidR="00FF2F21" w:rsidRDefault="00FF2F21" w:rsidP="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w:t>
            </w: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9621FAD" w14:textId="6E8BDB16" w:rsidR="00FF2F21" w:rsidRDefault="00FF2F21" w:rsidP="00FF2F21">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22/23</w:t>
            </w:r>
          </w:p>
        </w:tc>
        <w:tc>
          <w:tcPr>
            <w:tcW w:w="84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4662051" w14:textId="47F1D685" w:rsidR="00FF2F21" w:rsidRDefault="00FF2F21" w:rsidP="00FF2F21">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23/24</w:t>
            </w:r>
          </w:p>
        </w:tc>
        <w:tc>
          <w:tcPr>
            <w:tcW w:w="84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CF28FA1" w14:textId="079E4648" w:rsidR="00FF2F21" w:rsidRDefault="00FF2F21" w:rsidP="00FF2F21">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24/25</w:t>
            </w:r>
          </w:p>
        </w:tc>
        <w:tc>
          <w:tcPr>
            <w:tcW w:w="179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07CE2EA" w14:textId="30B073C4" w:rsidR="00FF2F21" w:rsidRDefault="00FF2F21" w:rsidP="00FF2F21">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2003/04 – 2023/24</w:t>
            </w:r>
          </w:p>
        </w:tc>
        <w:tc>
          <w:tcPr>
            <w:tcW w:w="179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219F329" w14:textId="0866AD87" w:rsidR="00FF2F21" w:rsidRDefault="00FF2F21" w:rsidP="00FF2F21">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2009/10 – 2023/24</w:t>
            </w:r>
          </w:p>
        </w:tc>
        <w:tc>
          <w:tcPr>
            <w:tcW w:w="179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8926906" w14:textId="5396C16B" w:rsidR="00FF2F21" w:rsidRDefault="00FF2F21" w:rsidP="00FF2F21">
            <w:pPr>
              <w:spacing w:before="100" w:after="100"/>
              <w:ind w:left="100" w:right="100"/>
              <w:jc w:val="center"/>
              <w:rPr>
                <w:rFonts w:ascii="Helvetica" w:eastAsia="Helvetica" w:hAnsi="Helvetica" w:cs="Helvetica"/>
                <w:color w:val="000000"/>
                <w:sz w:val="16"/>
                <w:szCs w:val="16"/>
              </w:rPr>
            </w:pPr>
            <w:r>
              <w:rPr>
                <w:rFonts w:ascii="Helvetica" w:eastAsia="Helvetica" w:hAnsi="Helvetica" w:cs="Helvetica"/>
                <w:color w:val="000000"/>
                <w:sz w:val="16"/>
                <w:szCs w:val="16"/>
              </w:rPr>
              <w:t>2020/21 – 2023/24</w:t>
            </w:r>
          </w:p>
        </w:tc>
      </w:tr>
      <w:tr w:rsidR="00FB0A3F" w14:paraId="523C5432" w14:textId="77777777">
        <w:trPr>
          <w:cantSplit/>
          <w:trHeight w:val="123"/>
          <w:jc w:val="center"/>
        </w:trPr>
        <w:tc>
          <w:tcPr>
            <w:tcW w:w="703"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04FFABBB" w14:textId="4492508B" w:rsidR="00FB0A3F" w:rsidRDefault="00000000">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0.</w:t>
            </w:r>
            <w:r w:rsidR="008D0E2D">
              <w:rPr>
                <w:rFonts w:ascii="Helvetica" w:eastAsia="Helvetica" w:hAnsi="Helvetica" w:cs="Helvetica"/>
                <w:color w:val="000000"/>
                <w:sz w:val="18"/>
                <w:szCs w:val="18"/>
              </w:rPr>
              <w:t>0</w:t>
            </w:r>
          </w:p>
        </w:tc>
        <w:tc>
          <w:tcPr>
            <w:tcW w:w="572"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5F6BDB8E" w14:textId="77777777" w:rsidR="00FB0A3F" w:rsidRDefault="00000000">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0</w:t>
            </w:r>
          </w:p>
        </w:tc>
        <w:tc>
          <w:tcPr>
            <w:tcW w:w="724"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47D2C062" w14:textId="77777777" w:rsidR="00FB0A3F" w:rsidRDefault="00000000">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0</w:t>
            </w:r>
          </w:p>
        </w:tc>
        <w:tc>
          <w:tcPr>
            <w:tcW w:w="846" w:type="dxa"/>
            <w:tcBorders>
              <w:left w:val="single" w:sz="8" w:space="0" w:color="000000"/>
              <w:bottom w:val="single" w:sz="8" w:space="0" w:color="000000"/>
              <w:right w:val="single" w:sz="8" w:space="0" w:color="000000"/>
            </w:tcBorders>
            <w:shd w:val="clear" w:color="auto" w:fill="auto"/>
            <w:vAlign w:val="center"/>
          </w:tcPr>
          <w:p w14:paraId="7B2B5BB8" w14:textId="77777777" w:rsidR="00FB0A3F" w:rsidRDefault="00000000">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0</w:t>
            </w:r>
          </w:p>
        </w:tc>
        <w:tc>
          <w:tcPr>
            <w:tcW w:w="845" w:type="dxa"/>
            <w:tcBorders>
              <w:left w:val="single" w:sz="8" w:space="0" w:color="000000"/>
              <w:bottom w:val="single" w:sz="8" w:space="0" w:color="000000"/>
              <w:right w:val="single" w:sz="8" w:space="0" w:color="000000"/>
            </w:tcBorders>
            <w:shd w:val="clear" w:color="auto" w:fill="auto"/>
            <w:vAlign w:val="center"/>
          </w:tcPr>
          <w:p w14:paraId="496AA62B" w14:textId="77777777" w:rsidR="00FB0A3F" w:rsidRDefault="00000000">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0</w:t>
            </w:r>
          </w:p>
        </w:tc>
        <w:tc>
          <w:tcPr>
            <w:tcW w:w="179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B759112" w14:textId="77777777" w:rsidR="00FB0A3F" w:rsidRDefault="00FB0A3F">
            <w:pPr>
              <w:spacing w:before="100" w:after="100"/>
              <w:ind w:left="100" w:right="100"/>
              <w:jc w:val="center"/>
              <w:rPr>
                <w:rFonts w:ascii="Helvetica" w:eastAsia="Helvetica" w:hAnsi="Helvetica" w:cs="Helvetica"/>
                <w:color w:val="000000"/>
                <w:sz w:val="18"/>
                <w:szCs w:val="18"/>
              </w:rPr>
            </w:pPr>
          </w:p>
        </w:tc>
        <w:tc>
          <w:tcPr>
            <w:tcW w:w="179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84B2407" w14:textId="77777777" w:rsidR="00FB0A3F" w:rsidRDefault="00FB0A3F">
            <w:pPr>
              <w:spacing w:before="100" w:after="100"/>
              <w:ind w:left="100" w:right="100"/>
              <w:jc w:val="center"/>
              <w:rPr>
                <w:rFonts w:ascii="Helvetica" w:eastAsia="Helvetica" w:hAnsi="Helvetica" w:cs="Helvetica"/>
                <w:color w:val="000000"/>
                <w:sz w:val="18"/>
                <w:szCs w:val="18"/>
              </w:rPr>
            </w:pPr>
          </w:p>
        </w:tc>
        <w:tc>
          <w:tcPr>
            <w:tcW w:w="179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5B1D4C5" w14:textId="77777777" w:rsidR="00FB0A3F" w:rsidRDefault="00FB0A3F">
            <w:pPr>
              <w:spacing w:before="100" w:after="100"/>
              <w:ind w:left="100" w:right="100"/>
              <w:jc w:val="center"/>
              <w:rPr>
                <w:rFonts w:ascii="Helvetica" w:eastAsia="Helvetica" w:hAnsi="Helvetica" w:cs="Helvetica"/>
                <w:color w:val="000000"/>
                <w:sz w:val="18"/>
                <w:szCs w:val="18"/>
              </w:rPr>
            </w:pPr>
          </w:p>
        </w:tc>
      </w:tr>
      <w:tr w:rsidR="00FB0A3F" w14:paraId="5038D39E" w14:textId="77777777">
        <w:trPr>
          <w:cantSplit/>
          <w:jc w:val="center"/>
        </w:trPr>
        <w:tc>
          <w:tcPr>
            <w:tcW w:w="3704" w:type="dxa"/>
            <w:gridSpan w:val="6"/>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6F76D8B4" w14:textId="681148C3" w:rsidR="00FB0A3F" w:rsidRDefault="00FF2F21">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LML 2023/24 = 105 mm</w:t>
            </w:r>
          </w:p>
        </w:tc>
        <w:tc>
          <w:tcPr>
            <w:tcW w:w="5358" w:type="dxa"/>
            <w:gridSpan w:val="3"/>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3D6469BA" w14:textId="77777777" w:rsidR="00FB0A3F" w:rsidRDefault="00FB0A3F">
            <w:pPr>
              <w:spacing w:before="100" w:after="100"/>
              <w:ind w:left="100" w:right="100"/>
              <w:jc w:val="center"/>
              <w:rPr>
                <w:rFonts w:ascii="Helvetica" w:eastAsia="Helvetica" w:hAnsi="Helvetica" w:cs="Helvetica"/>
                <w:color w:val="000000"/>
                <w:sz w:val="18"/>
                <w:szCs w:val="18"/>
              </w:rPr>
            </w:pPr>
          </w:p>
        </w:tc>
      </w:tr>
    </w:tbl>
    <w:p w14:paraId="2F1B4671" w14:textId="0DD7D87C" w:rsidR="00FB0A3F" w:rsidRDefault="00000000">
      <w:r>
        <w:t xml:space="preserve">The Port Phillip Bay SMU was a very important contributor to the Central Zone TACC from 1992 to 2007, with an average catch of 56 t during this period and a peak catch of 102 t taken during 2000 (Figure 42). However, catches declined dramatically thereafter and have not exceeded 6 t since 2010. </w:t>
      </w:r>
      <w:r w:rsidR="008C4911">
        <w:t xml:space="preserve">There was no catch from the PPB SMU in 2023/24. </w:t>
      </w:r>
    </w:p>
    <w:p w14:paraId="446A220F" w14:textId="1405F9E2" w:rsidR="00FB0A3F" w:rsidRDefault="00000000">
      <w:r>
        <w:t xml:space="preserve">Nominal CPUE generally increased from 1992 to 1998, reaching a peak of 82 kg/hr </w:t>
      </w:r>
      <w:r w:rsidR="005C0401">
        <w:t xml:space="preserve">before declining substantially thereafter </w:t>
      </w:r>
      <w:r>
        <w:t xml:space="preserve">(Figure 42). </w:t>
      </w:r>
    </w:p>
    <w:p w14:paraId="36A97E74" w14:textId="72B61D56" w:rsidR="00FB0A3F" w:rsidRDefault="00AF21D9">
      <w:pPr>
        <w:jc w:val="center"/>
      </w:pPr>
      <w:r>
        <w:rPr>
          <w:noProof/>
        </w:rPr>
        <w:drawing>
          <wp:inline distT="0" distB="0" distL="0" distR="0" wp14:anchorId="4F905AD6" wp14:editId="2EB6EF48">
            <wp:extent cx="5387340" cy="3206115"/>
            <wp:effectExtent l="0" t="0" r="3810" b="0"/>
            <wp:docPr id="223" name="Picture" descr="Figure 42: Port Phillip Bay SMU catch, and CPUE (nominal and standardised) from 1992/93 – 2022/23. Catch = bars, nominal CPUE = grey series (+/- SE), standardised series = black. Numbers in bars indicate changes to LMLs. MPs = introduction of Marine Parks."/>
            <wp:cNvGraphicFramePr/>
            <a:graphic xmlns:a="http://schemas.openxmlformats.org/drawingml/2006/main">
              <a:graphicData uri="http://schemas.openxmlformats.org/drawingml/2006/picture">
                <pic:pic xmlns:pic="http://schemas.openxmlformats.org/drawingml/2006/picture">
                  <pic:nvPicPr>
                    <pic:cNvPr id="223" name="Picture" descr="Figure 42: Port Phillip Bay SMU catch, and CPUE (nominal and standardised) from 1992/93 – 2022/23. Catch = bars, nominal CPUE = grey series (+/- SE), standardised series = black. Numbers in bars indicate changes to LMLs. MPs = introduction of Marine Parks."/>
                    <pic:cNvPicPr/>
                  </pic:nvPicPr>
                  <pic:blipFill>
                    <a:blip r:embed="rId69"/>
                    <a:stretch>
                      <a:fillRect/>
                    </a:stretch>
                  </pic:blipFill>
                  <pic:spPr bwMode="auto">
                    <a:xfrm>
                      <a:off x="0" y="0"/>
                      <a:ext cx="5387340" cy="3206115"/>
                    </a:xfrm>
                    <a:prstGeom prst="rect">
                      <a:avLst/>
                    </a:prstGeom>
                    <a:noFill/>
                    <a:ln w="9525">
                      <a:noFill/>
                      <a:headEnd/>
                      <a:tailEnd/>
                    </a:ln>
                  </pic:spPr>
                </pic:pic>
              </a:graphicData>
            </a:graphic>
          </wp:inline>
        </w:drawing>
      </w:r>
    </w:p>
    <w:p w14:paraId="1F64FC4A" w14:textId="71A2AD2E" w:rsidR="00FB0A3F" w:rsidRDefault="00000000">
      <w:pPr>
        <w:pStyle w:val="Caption"/>
      </w:pPr>
      <w:bookmarkStart w:id="324" w:name="_Toc192777307"/>
      <w:r>
        <w:t xml:space="preserve">Figure 42: Port Phillip Bay SMU catch, and CPUE (nominal only) from 1992/1993 – </w:t>
      </w:r>
      <w:r w:rsidR="00D2115A">
        <w:t>2023/24. Nominal</w:t>
      </w:r>
      <w:r>
        <w:t xml:space="preserve"> CPUE = grey series (+/- SE). Numbers indicate changes to LMLs. MPs = introduction of Marine Parks.</w:t>
      </w:r>
      <w:bookmarkEnd w:id="324"/>
    </w:p>
    <w:p w14:paraId="002F55B0" w14:textId="6407BD55" w:rsidR="00FB0A3F" w:rsidRDefault="00AF21D9" w:rsidP="00AF21D9">
      <w:r>
        <w:t xml:space="preserve">Nominal mean daily catch declined substantially from 2003 to 2013 (Figure 43). Catches thereafter </w:t>
      </w:r>
      <w:r w:rsidR="005C0401">
        <w:t xml:space="preserve">have been </w:t>
      </w:r>
      <w:r>
        <w:t xml:space="preserve">sporadic and low. </w:t>
      </w:r>
    </w:p>
    <w:p w14:paraId="32F6FA42" w14:textId="7D2BE8F2" w:rsidR="00FB0A3F" w:rsidRDefault="00AF21D9" w:rsidP="005C0401">
      <w:pPr>
        <w:jc w:val="center"/>
      </w:pPr>
      <w:r>
        <w:rPr>
          <w:noProof/>
        </w:rPr>
        <w:lastRenderedPageBreak/>
        <w:drawing>
          <wp:inline distT="0" distB="0" distL="0" distR="0" wp14:anchorId="189493C3" wp14:editId="7EEED5F2">
            <wp:extent cx="5306291" cy="3110345"/>
            <wp:effectExtent l="0" t="0" r="8890" b="0"/>
            <wp:docPr id="220" name="Picture" descr="A graph with a line graph and a line graph&#10;&#10;Description automatically generated"/>
            <wp:cNvGraphicFramePr/>
            <a:graphic xmlns:a="http://schemas.openxmlformats.org/drawingml/2006/main">
              <a:graphicData uri="http://schemas.openxmlformats.org/drawingml/2006/picture">
                <pic:pic xmlns:pic="http://schemas.openxmlformats.org/drawingml/2006/picture">
                  <pic:nvPicPr>
                    <pic:cNvPr id="220" name="Picture" descr="A graph with a line graph and a line graph&#10;&#10;Description automatically generated"/>
                    <pic:cNvPicPr/>
                  </pic:nvPicPr>
                  <pic:blipFill>
                    <a:blip r:embed="rId70"/>
                    <a:stretch>
                      <a:fillRect/>
                    </a:stretch>
                  </pic:blipFill>
                  <pic:spPr bwMode="auto">
                    <a:xfrm>
                      <a:off x="0" y="0"/>
                      <a:ext cx="5317909" cy="3117155"/>
                    </a:xfrm>
                    <a:prstGeom prst="rect">
                      <a:avLst/>
                    </a:prstGeom>
                    <a:noFill/>
                    <a:ln w="9525">
                      <a:noFill/>
                      <a:headEnd/>
                      <a:tailEnd/>
                    </a:ln>
                  </pic:spPr>
                </pic:pic>
              </a:graphicData>
            </a:graphic>
          </wp:inline>
        </w:drawing>
      </w:r>
    </w:p>
    <w:p w14:paraId="47EB8E18" w14:textId="37B0D869" w:rsidR="00FB0A3F" w:rsidRDefault="00000000">
      <w:pPr>
        <w:pStyle w:val="Caption"/>
      </w:pPr>
      <w:bookmarkStart w:id="325" w:name="_Toc192777308"/>
      <w:r>
        <w:t xml:space="preserve">Figure 43: Total catch and mean daily catch for the Port Phillip Bay </w:t>
      </w:r>
      <w:r w:rsidR="008D0E2D">
        <w:t>SMU from 2003 to 2023</w:t>
      </w:r>
      <w:r>
        <w:t>.</w:t>
      </w:r>
      <w:bookmarkEnd w:id="325"/>
      <w:r>
        <w:t xml:space="preserve"> </w:t>
      </w:r>
    </w:p>
    <w:p w14:paraId="32B928A8" w14:textId="77777777" w:rsidR="00FB0A3F" w:rsidRDefault="00000000">
      <w:r>
        <w:rPr>
          <w:i/>
          <w:iCs/>
        </w:rPr>
        <w:t>Summary</w:t>
      </w:r>
    </w:p>
    <w:p w14:paraId="04598908" w14:textId="0CCD8378" w:rsidR="00FB0A3F" w:rsidRDefault="00000000">
      <w:r>
        <w:t xml:space="preserve">Prior to 2008, the Port Phillip Bay SMU was a very important contributor to the Central Zone TACC. Catch and CPUE data suggest that the decline in abundance of legal-size abalone from 2008 was substantial and occurred rapidly. FIS data indicate that significant declines in pre-recruit abundance began occurring in 2004, well before the declines in recruit abundance. </w:t>
      </w:r>
      <w:r w:rsidR="005C0401">
        <w:t>T</w:t>
      </w:r>
      <w:r>
        <w:t>he primary driver for th</w:t>
      </w:r>
      <w:r w:rsidR="005C0401">
        <w:t>e</w:t>
      </w:r>
      <w:r>
        <w:t xml:space="preserve"> decline </w:t>
      </w:r>
      <w:r w:rsidR="005C0401">
        <w:t xml:space="preserve">appears to be </w:t>
      </w:r>
      <w:r>
        <w:t>environmental effects, including changes to nutrient levels with a consequent reduction in algal productivity and an increase in urchin density (Mayfield et al. 2012).</w:t>
      </w:r>
    </w:p>
    <w:p w14:paraId="79EA9CC5" w14:textId="77777777" w:rsidR="00FB0A3F" w:rsidRDefault="00000000">
      <w:pPr>
        <w:rPr>
          <w:b/>
          <w:bCs/>
        </w:rPr>
      </w:pPr>
      <w:r>
        <w:rPr>
          <w:b/>
          <w:bCs/>
        </w:rPr>
        <w:t xml:space="preserve">There is no OT for the Port Phillip Bay SMU and thus it was not assessed under the Draft Harvest Strategy. Maintaining a zero catch is appropriate. </w:t>
      </w:r>
    </w:p>
    <w:p w14:paraId="1817CE38" w14:textId="77777777" w:rsidR="00FB0A3F" w:rsidRDefault="00000000">
      <w:pPr>
        <w:pStyle w:val="Heading1"/>
        <w:numPr>
          <w:ilvl w:val="0"/>
          <w:numId w:val="7"/>
        </w:numPr>
        <w:ind w:left="431" w:hanging="431"/>
      </w:pPr>
      <w:bookmarkStart w:id="326" w:name="_Toc98408353"/>
      <w:bookmarkStart w:id="327" w:name="_Toc192777242"/>
      <w:bookmarkStart w:id="328" w:name="greenlip-abalone"/>
      <w:bookmarkEnd w:id="132"/>
      <w:bookmarkEnd w:id="284"/>
      <w:bookmarkEnd w:id="322"/>
      <w:proofErr w:type="spellStart"/>
      <w:r>
        <w:t>Greenlip</w:t>
      </w:r>
      <w:proofErr w:type="spellEnd"/>
      <w:r>
        <w:t xml:space="preserve"> Abalone</w:t>
      </w:r>
      <w:bookmarkEnd w:id="326"/>
      <w:bookmarkEnd w:id="327"/>
    </w:p>
    <w:p w14:paraId="644EECD8" w14:textId="4283EE10" w:rsidR="00FB0A3F" w:rsidRDefault="00000000">
      <w:proofErr w:type="spellStart"/>
      <w:r>
        <w:t>Greenlip</w:t>
      </w:r>
      <w:proofErr w:type="spellEnd"/>
      <w:r>
        <w:t xml:space="preserve"> abalone are a small but important contributor to the Central Zone abalone catch. Catches of </w:t>
      </w:r>
      <w:proofErr w:type="spellStart"/>
      <w:r>
        <w:t>greenlip</w:t>
      </w:r>
      <w:proofErr w:type="spellEnd"/>
      <w:r>
        <w:t xml:space="preserve"> abalone have been recorded in commercial logbooks since 1979. Total catches greater than 1,000 kg have been recorded in nine of the 12 SMUs, as well as in </w:t>
      </w:r>
      <w:proofErr w:type="gramStart"/>
      <w:r>
        <w:t>a number of</w:t>
      </w:r>
      <w:proofErr w:type="gramEnd"/>
      <w:r>
        <w:t xml:space="preserve"> </w:t>
      </w:r>
      <w:proofErr w:type="spellStart"/>
      <w:r>
        <w:t>reefcodes</w:t>
      </w:r>
      <w:proofErr w:type="spellEnd"/>
      <w:r>
        <w:t xml:space="preserve"> that are now part of the Marine Park network (Figure 44). In the past decade, </w:t>
      </w:r>
      <w:proofErr w:type="spellStart"/>
      <w:r>
        <w:t>greenlip</w:t>
      </w:r>
      <w:proofErr w:type="spellEnd"/>
      <w:r>
        <w:t xml:space="preserve"> catches have been harvested from </w:t>
      </w:r>
      <w:r w:rsidR="00D759DC">
        <w:t>eight</w:t>
      </w:r>
      <w:r>
        <w:t xml:space="preserve"> of the nine SMUs (Figure 45). Total catches since 2008 have been very consistent, with an average annual catch of 3,0</w:t>
      </w:r>
      <w:r w:rsidR="00D759DC">
        <w:t>9</w:t>
      </w:r>
      <w:r>
        <w:t xml:space="preserve">3 kg and a range of 2,507 to 3,546 kg, with the highest catch </w:t>
      </w:r>
      <w:r w:rsidR="00D759DC">
        <w:t xml:space="preserve">of 3,546 </w:t>
      </w:r>
      <w:r w:rsidR="007E303D">
        <w:t xml:space="preserve">kg </w:t>
      </w:r>
      <w:r>
        <w:t xml:space="preserve">being harvested in </w:t>
      </w:r>
      <w:r w:rsidR="00D759DC">
        <w:t xml:space="preserve">both </w:t>
      </w:r>
      <w:r>
        <w:t xml:space="preserve">2022 </w:t>
      </w:r>
      <w:r w:rsidR="00D759DC">
        <w:t xml:space="preserve">and 2023 </w:t>
      </w:r>
      <w:r>
        <w:t>(Figure 49).</w:t>
      </w:r>
    </w:p>
    <w:p w14:paraId="42E104A4" w14:textId="33E7FD78" w:rsidR="00FB0A3F" w:rsidRDefault="00000000">
      <w:r>
        <w:t>Cape Liptrap has been the highest producing SMU in the Central Zone, with a total catch of 3</w:t>
      </w:r>
      <w:r w:rsidR="00D759DC">
        <w:t>5</w:t>
      </w:r>
      <w:r>
        <w:t>,</w:t>
      </w:r>
      <w:r w:rsidR="00D759DC">
        <w:t>60</w:t>
      </w:r>
      <w:r>
        <w:t>6 kg since 1979. More than half of this catch (</w:t>
      </w:r>
      <w:r w:rsidR="00D759DC">
        <w:t>20</w:t>
      </w:r>
      <w:r>
        <w:t>,</w:t>
      </w:r>
      <w:r w:rsidR="00D759DC">
        <w:t>610</w:t>
      </w:r>
      <w:r>
        <w:t xml:space="preserve"> kg) has been harvested in the last 1</w:t>
      </w:r>
      <w:r w:rsidR="00D759DC">
        <w:t>6</w:t>
      </w:r>
      <w:r>
        <w:t xml:space="preserve"> years, with an average annual catch of 1,2</w:t>
      </w:r>
      <w:r w:rsidR="00D759DC">
        <w:t>88</w:t>
      </w:r>
      <w:r>
        <w:t xml:space="preserve"> kg and a range of 933 to 2,002 kg. </w:t>
      </w:r>
    </w:p>
    <w:p w14:paraId="0E85DE39" w14:textId="57C8F15F" w:rsidR="00D759DC" w:rsidRDefault="00D759DC" w:rsidP="00D759DC">
      <w:r>
        <w:t xml:space="preserve">With a total catch of 21,935 kg since 1979, the largest annual catches came from the Flinders SMU in the 1980s. From 1980 to 1986, </w:t>
      </w:r>
      <w:r w:rsidR="007E303D">
        <w:t xml:space="preserve">around </w:t>
      </w:r>
      <w:r>
        <w:t>13</w:t>
      </w:r>
      <w:r w:rsidR="007E303D">
        <w:t>,000</w:t>
      </w:r>
      <w:r>
        <w:t xml:space="preserve"> </w:t>
      </w:r>
      <w:r w:rsidR="007E303D">
        <w:t>kg</w:t>
      </w:r>
      <w:r>
        <w:t xml:space="preserve"> of </w:t>
      </w:r>
      <w:proofErr w:type="spellStart"/>
      <w:r>
        <w:t>greenlip</w:t>
      </w:r>
      <w:proofErr w:type="spellEnd"/>
      <w:r>
        <w:t xml:space="preserve"> was harvested with a maximum annual catch of approximately 3,500 kg in 1985. In the last decade, an average of 617 kg has been harvested from the Flinders SMU with a peak annual catch of 1,003 kg in 2020.</w:t>
      </w:r>
    </w:p>
    <w:p w14:paraId="4D7BF02D" w14:textId="57A0532F" w:rsidR="00FB0A3F" w:rsidRDefault="00000000">
      <w:r>
        <w:t>The Surf Coast SMU has produced 21,</w:t>
      </w:r>
      <w:r w:rsidR="00D759DC">
        <w:t>573</w:t>
      </w:r>
      <w:r>
        <w:t xml:space="preserve"> kg of </w:t>
      </w:r>
      <w:proofErr w:type="spellStart"/>
      <w:r>
        <w:t>greenlip</w:t>
      </w:r>
      <w:proofErr w:type="spellEnd"/>
      <w:r>
        <w:t xml:space="preserve"> abalone since 1979. Since 2008, the Surf Coast SMU has had an average annual catch of 5</w:t>
      </w:r>
      <w:r w:rsidR="00D759DC">
        <w:t>42</w:t>
      </w:r>
      <w:r>
        <w:t xml:space="preserve"> kg and a maximum catch of 1,472 kg in 2008, although only </w:t>
      </w:r>
      <w:r w:rsidR="00D759DC">
        <w:t>157</w:t>
      </w:r>
      <w:r>
        <w:t xml:space="preserve"> kg was caught in 202</w:t>
      </w:r>
      <w:r w:rsidR="00D759DC">
        <w:t>3</w:t>
      </w:r>
      <w:r>
        <w:t xml:space="preserve">. </w:t>
      </w:r>
    </w:p>
    <w:p w14:paraId="43890559" w14:textId="1A07E6EF" w:rsidR="00FB0A3F" w:rsidRDefault="00000000">
      <w:r>
        <w:lastRenderedPageBreak/>
        <w:t>The Phillip Island SMU has produced 1</w:t>
      </w:r>
      <w:r w:rsidR="00D759DC">
        <w:t>7</w:t>
      </w:r>
      <w:r>
        <w:t>,</w:t>
      </w:r>
      <w:r w:rsidR="00D759DC">
        <w:t>431</w:t>
      </w:r>
      <w:r>
        <w:t xml:space="preserve"> kg of </w:t>
      </w:r>
      <w:proofErr w:type="spellStart"/>
      <w:r>
        <w:t>greenlip</w:t>
      </w:r>
      <w:proofErr w:type="spellEnd"/>
      <w:r>
        <w:t xml:space="preserve"> since 1979. The stock produced consistent catches </w:t>
      </w:r>
      <w:r w:rsidR="00D759DC">
        <w:t>from</w:t>
      </w:r>
      <w:r>
        <w:t xml:space="preserve"> 2008</w:t>
      </w:r>
      <w:r w:rsidR="00D759DC">
        <w:t xml:space="preserve"> to 2019, ranging from 272 </w:t>
      </w:r>
      <w:r w:rsidR="007E303D">
        <w:t xml:space="preserve">kg </w:t>
      </w:r>
      <w:r w:rsidR="00D759DC">
        <w:t xml:space="preserve">to 758 kg with an average of 503 kg. The catch in 2023 was the highest recorded at 1,204 kg. Over the last four years the Phillip Island SMU has produced an average of 954 kg, which is well above the historic average. </w:t>
      </w:r>
      <w:r>
        <w:t xml:space="preserve"> </w:t>
      </w:r>
    </w:p>
    <w:p w14:paraId="7A9EF2A2" w14:textId="5199B100" w:rsidR="00FB0A3F" w:rsidRDefault="00000000">
      <w:r>
        <w:t xml:space="preserve">Smaller contributions have come from the </w:t>
      </w:r>
      <w:r w:rsidR="008E6717">
        <w:t>5</w:t>
      </w:r>
      <w:r>
        <w:t xml:space="preserve"> other SMUs, while 2,961 kg in total was harvested from </w:t>
      </w:r>
      <w:proofErr w:type="spellStart"/>
      <w:r>
        <w:t>reefcodes</w:t>
      </w:r>
      <w:proofErr w:type="spellEnd"/>
      <w:r>
        <w:t xml:space="preserve"> that have subsequently been declared as Marine Parks. In the past decade, the Kilcunda, Prom West and Back Beaches SMUs have produced </w:t>
      </w:r>
      <w:r w:rsidR="00D759DC">
        <w:t>2,265</w:t>
      </w:r>
      <w:r>
        <w:t xml:space="preserve"> kg of </w:t>
      </w:r>
      <w:proofErr w:type="spellStart"/>
      <w:r>
        <w:t>greenlip</w:t>
      </w:r>
      <w:proofErr w:type="spellEnd"/>
      <w:r>
        <w:t xml:space="preserve"> abalone in total.</w:t>
      </w:r>
    </w:p>
    <w:p w14:paraId="3ECF1FBF" w14:textId="22F5BB37" w:rsidR="00FB0A3F" w:rsidRDefault="00D759DC">
      <w:pPr>
        <w:rPr>
          <w:b/>
          <w:bCs/>
        </w:rPr>
      </w:pPr>
      <w:r>
        <w:rPr>
          <w:b/>
          <w:bCs/>
        </w:rPr>
        <w:t>Catches from Phillip Island over the last four years are around twice of the average of the previous decade and higher than any other period since 1979. Catches from all other SMUs appear to be sustainable at current levels.</w:t>
      </w:r>
    </w:p>
    <w:p w14:paraId="0E6EA45B" w14:textId="77777777" w:rsidR="007E303D" w:rsidRDefault="007E303D">
      <w:pPr>
        <w:rPr>
          <w:b/>
          <w:bCs/>
        </w:rPr>
      </w:pPr>
    </w:p>
    <w:p w14:paraId="33D0806A" w14:textId="5A1F208D" w:rsidR="00D759DC" w:rsidRDefault="00D759DC" w:rsidP="00D9781F">
      <w:pPr>
        <w:pStyle w:val="BodyText"/>
        <w:jc w:val="center"/>
      </w:pPr>
      <w:r>
        <w:rPr>
          <w:noProof/>
        </w:rPr>
        <w:drawing>
          <wp:inline distT="0" distB="0" distL="0" distR="0" wp14:anchorId="77309D75" wp14:editId="6319DEBE">
            <wp:extent cx="5604164" cy="2759941"/>
            <wp:effectExtent l="0" t="0" r="0" b="2540"/>
            <wp:docPr id="251" name="Picture" descr="Figure 48: Bubble plot of catch distribution for greenlip abalone in the Central Zone from 1979 to 2022 quota years. Only SMUs where &gt;1 t of greenlip have been caught in total are shown."/>
            <wp:cNvGraphicFramePr/>
            <a:graphic xmlns:a="http://schemas.openxmlformats.org/drawingml/2006/main">
              <a:graphicData uri="http://schemas.openxmlformats.org/drawingml/2006/picture">
                <pic:pic xmlns:pic="http://schemas.openxmlformats.org/drawingml/2006/picture">
                  <pic:nvPicPr>
                    <pic:cNvPr id="251" name="Picture" descr="Figure 48: Bubble plot of catch distribution for greenlip abalone in the Central Zone from 1979 to 2022 quota years. Only SMUs where &gt;1 t of greenlip have been caught in total are shown."/>
                    <pic:cNvPicPr/>
                  </pic:nvPicPr>
                  <pic:blipFill>
                    <a:blip r:embed="rId71"/>
                    <a:stretch>
                      <a:fillRect/>
                    </a:stretch>
                  </pic:blipFill>
                  <pic:spPr bwMode="auto">
                    <a:xfrm>
                      <a:off x="0" y="0"/>
                      <a:ext cx="5611927" cy="2763764"/>
                    </a:xfrm>
                    <a:prstGeom prst="rect">
                      <a:avLst/>
                    </a:prstGeom>
                    <a:noFill/>
                    <a:ln w="9525">
                      <a:noFill/>
                      <a:headEnd/>
                      <a:tailEnd/>
                    </a:ln>
                  </pic:spPr>
                </pic:pic>
              </a:graphicData>
            </a:graphic>
          </wp:inline>
        </w:drawing>
      </w:r>
    </w:p>
    <w:p w14:paraId="0B39C20A" w14:textId="50359CE3" w:rsidR="00FB0A3F" w:rsidRDefault="00000000">
      <w:pPr>
        <w:pStyle w:val="Caption"/>
      </w:pPr>
      <w:bookmarkStart w:id="329" w:name="_Toc192777309"/>
      <w:r>
        <w:t xml:space="preserve">Figure 44: Bubble plot of catch distribution for </w:t>
      </w:r>
      <w:proofErr w:type="spellStart"/>
      <w:r>
        <w:t>greenlip</w:t>
      </w:r>
      <w:proofErr w:type="spellEnd"/>
      <w:r>
        <w:t xml:space="preserve"> abalone in the Central Zone from 1979 to 202</w:t>
      </w:r>
      <w:r w:rsidR="00D759DC">
        <w:t>3</w:t>
      </w:r>
      <w:r>
        <w:t xml:space="preserve"> quota years. Only SMUs where &gt;1 t of </w:t>
      </w:r>
      <w:proofErr w:type="spellStart"/>
      <w:r>
        <w:t>greenlip</w:t>
      </w:r>
      <w:proofErr w:type="spellEnd"/>
      <w:r>
        <w:t xml:space="preserve"> have been caught in total are shown.</w:t>
      </w:r>
      <w:bookmarkEnd w:id="329"/>
    </w:p>
    <w:p w14:paraId="41D5A6F7" w14:textId="77777777" w:rsidR="00FB0A3F" w:rsidRDefault="00000000">
      <w:r>
        <w:rPr>
          <w:noProof/>
        </w:rPr>
        <w:drawing>
          <wp:inline distT="0" distB="0" distL="0" distR="0" wp14:anchorId="79E7DFFC" wp14:editId="4F88C40D">
            <wp:extent cx="5727700" cy="2863850"/>
            <wp:effectExtent l="0" t="0" r="0" b="0"/>
            <wp:docPr id="257" name="Picture" descr="Figure 49: Catch distribution for greenlip abalone in the Central Zone from 2009 to 2022 quota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descr="Figure 49: Catch distribution for greenlip abalone in the Central Zone from 2009 to 2022 quota years."/>
                    <pic:cNvPicPr>
                      <a:picLocks noChangeAspect="1" noChangeArrowheads="1"/>
                    </pic:cNvPicPr>
                  </pic:nvPicPr>
                  <pic:blipFill>
                    <a:blip r:embed="rId72"/>
                    <a:stretch>
                      <a:fillRect/>
                    </a:stretch>
                  </pic:blipFill>
                  <pic:spPr>
                    <a:xfrm>
                      <a:off x="0" y="0"/>
                      <a:ext cx="5727700" cy="2863850"/>
                    </a:xfrm>
                    <a:prstGeom prst="rect">
                      <a:avLst/>
                    </a:prstGeom>
                    <a:noFill/>
                    <a:ln w="9525">
                      <a:noFill/>
                    </a:ln>
                  </pic:spPr>
                </pic:pic>
              </a:graphicData>
            </a:graphic>
          </wp:inline>
        </w:drawing>
      </w:r>
    </w:p>
    <w:p w14:paraId="3C732773" w14:textId="6407EA92" w:rsidR="00FB0A3F" w:rsidRDefault="00000000">
      <w:pPr>
        <w:pStyle w:val="Caption"/>
      </w:pPr>
      <w:bookmarkStart w:id="330" w:name="_Toc192777310"/>
      <w:r>
        <w:t xml:space="preserve">Figure 45: Catch distribution for </w:t>
      </w:r>
      <w:proofErr w:type="spellStart"/>
      <w:r>
        <w:t>greenlip</w:t>
      </w:r>
      <w:proofErr w:type="spellEnd"/>
      <w:r>
        <w:t xml:space="preserve"> abalone in the Central Zone from 2009 to 202</w:t>
      </w:r>
      <w:r w:rsidR="00D759DC">
        <w:t>3</w:t>
      </w:r>
      <w:r>
        <w:t xml:space="preserve"> quota years.</w:t>
      </w:r>
      <w:bookmarkEnd w:id="330"/>
    </w:p>
    <w:p w14:paraId="7E39CC84" w14:textId="77777777" w:rsidR="00FB0A3F" w:rsidRDefault="00FB0A3F">
      <w:pPr>
        <w:pStyle w:val="ListParagraph"/>
        <w:keepNext/>
        <w:keepLines/>
        <w:numPr>
          <w:ilvl w:val="0"/>
          <w:numId w:val="1"/>
        </w:numPr>
        <w:spacing w:before="240"/>
        <w:ind w:left="431" w:hanging="431"/>
        <w:contextualSpacing w:val="0"/>
        <w:outlineLvl w:val="0"/>
        <w:rPr>
          <w:rFonts w:asciiTheme="majorHAnsi" w:eastAsiaTheme="majorEastAsia" w:hAnsiTheme="majorHAnsi" w:cstheme="minorHAnsi"/>
          <w:vanish/>
          <w:color w:val="2E74B5" w:themeColor="accent1" w:themeShade="BF"/>
          <w:sz w:val="32"/>
          <w:szCs w:val="32"/>
          <w:lang w:val="en-US"/>
        </w:rPr>
      </w:pPr>
      <w:bookmarkStart w:id="331" w:name="_Toc98418602"/>
      <w:bookmarkStart w:id="332" w:name="_Toc98418733"/>
      <w:bookmarkStart w:id="333" w:name="_Toc98418799"/>
      <w:bookmarkStart w:id="334" w:name="_Toc98410261"/>
      <w:bookmarkStart w:id="335" w:name="_Toc98410333"/>
      <w:bookmarkStart w:id="336" w:name="_Toc98418227"/>
      <w:bookmarkStart w:id="337" w:name="_Toc98418523"/>
      <w:bookmarkStart w:id="338" w:name="_Toc98418162"/>
      <w:bookmarkStart w:id="339" w:name="_Toc98410531"/>
      <w:bookmarkStart w:id="340" w:name="_Toc98418292"/>
      <w:bookmarkStart w:id="341" w:name="_Toc98410466"/>
      <w:bookmarkStart w:id="342" w:name="_Toc128736848"/>
      <w:bookmarkStart w:id="343" w:name="_Toc98419274"/>
      <w:bookmarkStart w:id="344" w:name="_Toc127443529"/>
      <w:bookmarkStart w:id="345" w:name="_Toc98418985"/>
      <w:bookmarkStart w:id="346" w:name="_Toc98418862"/>
      <w:bookmarkStart w:id="347" w:name="_Toc98430400"/>
      <w:bookmarkStart w:id="348" w:name="_Toc127443373"/>
      <w:bookmarkStart w:id="349" w:name="_Toc128750560"/>
      <w:bookmarkStart w:id="350" w:name="_Toc98423757"/>
      <w:bookmarkStart w:id="351" w:name="_Toc160777294"/>
      <w:bookmarkStart w:id="352" w:name="_Toc160718321"/>
      <w:bookmarkStart w:id="353" w:name="_Toc161910358"/>
      <w:bookmarkStart w:id="354" w:name="_Toc192575625"/>
      <w:bookmarkStart w:id="355" w:name="_Toc192575779"/>
      <w:bookmarkStart w:id="356" w:name="_Toc192777243"/>
      <w:bookmarkStart w:id="357" w:name="_Toc98408354"/>
      <w:bookmarkStart w:id="358" w:name="_Toc85716427"/>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14:paraId="0A67EA4E" w14:textId="77777777" w:rsidR="00FB0A3F" w:rsidRDefault="00000000">
      <w:pPr>
        <w:pStyle w:val="Heading1"/>
        <w:ind w:left="431" w:hanging="431"/>
      </w:pPr>
      <w:bookmarkStart w:id="359" w:name="_Toc192777244"/>
      <w:r>
        <w:t>Conclusions and recommendations</w:t>
      </w:r>
      <w:bookmarkEnd w:id="357"/>
      <w:bookmarkEnd w:id="358"/>
      <w:bookmarkEnd w:id="359"/>
    </w:p>
    <w:p w14:paraId="4F9459AC" w14:textId="77777777" w:rsidR="00FB0A3F" w:rsidRDefault="00000000">
      <w:pPr>
        <w:pStyle w:val="Heading2"/>
        <w:ind w:left="709" w:hanging="709"/>
      </w:pPr>
      <w:bookmarkStart w:id="360" w:name="_Toc150423193"/>
      <w:bookmarkStart w:id="361" w:name="_Toc192777245"/>
      <w:bookmarkStart w:id="362" w:name="_Hlk150328077"/>
      <w:r>
        <w:t>Analytical approaches to stock assessment</w:t>
      </w:r>
      <w:bookmarkEnd w:id="360"/>
      <w:bookmarkEnd w:id="361"/>
    </w:p>
    <w:p w14:paraId="3EAC5618" w14:textId="500EF06A" w:rsidR="00103CA6" w:rsidRDefault="00000000">
      <w:bookmarkStart w:id="363" w:name="_Hlk150328137"/>
      <w:bookmarkEnd w:id="362"/>
      <w:r>
        <w:t xml:space="preserve">Three main analytical approaches are employed when evaluating stock status to guide TACC decision-making: </w:t>
      </w:r>
      <w:r w:rsidR="0016622F">
        <w:t xml:space="preserve">(i) </w:t>
      </w:r>
      <w:r>
        <w:t xml:space="preserve">assessment based on Performance Indicators, </w:t>
      </w:r>
      <w:r w:rsidR="0016622F">
        <w:t xml:space="preserve">(ii) </w:t>
      </w:r>
      <w:r>
        <w:t xml:space="preserve">an overall weight of evidence assessment, and </w:t>
      </w:r>
      <w:r w:rsidR="0016622F">
        <w:t xml:space="preserve">(iii) </w:t>
      </w:r>
      <w:r>
        <w:t xml:space="preserve">outcomes from the Draft Harvest Strategy. As reported in previous Stock Assessment Reports and associated review documents, there are substantial uncertainties associated with two </w:t>
      </w:r>
      <w:r w:rsidR="00103CA6">
        <w:t xml:space="preserve">of the </w:t>
      </w:r>
      <w:r>
        <w:t xml:space="preserve">primary sources of data that underpin the assessment of stock status. CPUE data are positively biased due to hyperstability, and therefore present an overly optimistic assessment of stock status. FIS data are negatively biased because FIS site locations are not representative of the entire stock, and thus they represent an overly pessimistic assessment of stock status. </w:t>
      </w:r>
    </w:p>
    <w:p w14:paraId="56A36D6E" w14:textId="2493CC96" w:rsidR="00103CA6" w:rsidRDefault="00103CA6">
      <w:r>
        <w:t xml:space="preserve">To address these issues, the CPUE standardisation model has been recently revised through the ASWG and this report provides further advancements in the modelling approach. The </w:t>
      </w:r>
      <w:r w:rsidR="00D46956">
        <w:t xml:space="preserve">revised model </w:t>
      </w:r>
      <w:r w:rsidR="00A8797F">
        <w:t xml:space="preserve">continues to use a mixed-model </w:t>
      </w:r>
      <w:r w:rsidR="00945E7E">
        <w:t xml:space="preserve">GLM </w:t>
      </w:r>
      <w:r w:rsidR="00A8797F">
        <w:t xml:space="preserve">but with fewer terms and uses only </w:t>
      </w:r>
      <w:r>
        <w:t xml:space="preserve">data from 2003 onward which are considered more reliable. While this </w:t>
      </w:r>
      <w:r w:rsidR="00F41290">
        <w:t>appears to have</w:t>
      </w:r>
      <w:r w:rsidR="00945E7E">
        <w:t xml:space="preserve"> </w:t>
      </w:r>
      <w:r>
        <w:t>improve</w:t>
      </w:r>
      <w:r w:rsidR="00F41290">
        <w:t>d</w:t>
      </w:r>
      <w:r>
        <w:t xml:space="preserve"> the </w:t>
      </w:r>
      <w:r w:rsidR="00945E7E">
        <w:t xml:space="preserve">outputs </w:t>
      </w:r>
      <w:r>
        <w:t xml:space="preserve">presented, many of the uncertainties associated with CPUE data and its interpretation remain. The FIS program has also been revised, with a focus on improving the understanding of abalone abundance on shallow reefs that better represent the current fishery footprint. The program is only in its early stages, and thus this report </w:t>
      </w:r>
      <w:r w:rsidR="00945E7E">
        <w:t xml:space="preserve">relies </w:t>
      </w:r>
      <w:r>
        <w:t xml:space="preserve">only </w:t>
      </w:r>
      <w:r w:rsidR="00945E7E">
        <w:t xml:space="preserve">on </w:t>
      </w:r>
      <w:r>
        <w:t>historic FIS data.</w:t>
      </w:r>
    </w:p>
    <w:p w14:paraId="372C9FB9" w14:textId="31B58FB7" w:rsidR="00FB0A3F" w:rsidRDefault="00A8797F">
      <w:r>
        <w:t xml:space="preserve">This report also provides an updated analysis of commercial length frequency data gathered by industry (provided in Appendix 3). While the number of shells measured in the last two years has been lower than previous years, </w:t>
      </w:r>
      <w:r w:rsidR="00D46956">
        <w:t xml:space="preserve">it </w:t>
      </w:r>
      <w:r>
        <w:t xml:space="preserve">provides critical information to supplement the weight of evidence approach. The ASWG will continue to work on approaches to further integrate these data formally into the assessment process. </w:t>
      </w:r>
      <w:bookmarkEnd w:id="363"/>
      <w:r w:rsidR="00945E7E">
        <w:t xml:space="preserve"> </w:t>
      </w:r>
      <w:r>
        <w:t xml:space="preserve"> </w:t>
      </w:r>
    </w:p>
    <w:p w14:paraId="649C49EC" w14:textId="77777777" w:rsidR="00FB0A3F" w:rsidRDefault="00000000">
      <w:pPr>
        <w:pStyle w:val="Heading3"/>
      </w:pPr>
      <w:bookmarkStart w:id="364" w:name="_Toc150423194"/>
      <w:bookmarkStart w:id="365" w:name="_Toc192777246"/>
      <w:bookmarkStart w:id="366" w:name="_Hlk149286039"/>
      <w:r>
        <w:t>Performance Indicators</w:t>
      </w:r>
      <w:bookmarkEnd w:id="364"/>
      <w:bookmarkEnd w:id="365"/>
    </w:p>
    <w:bookmarkEnd w:id="366"/>
    <w:p w14:paraId="5ACCE0FD" w14:textId="2A05365A" w:rsidR="00FB0A3F" w:rsidRDefault="002610CA">
      <w:r>
        <w:t xml:space="preserve">Recent reports have provided the basis for a revised suite of PIs. Historic PIs were assessed over the long-term from 2003 to current and for the short-term from 2009 to current. While these continue to be assessed, a more contemporary scale of changes over the last four years has also been added. </w:t>
      </w:r>
    </w:p>
    <w:p w14:paraId="00E0263A" w14:textId="5D39DD64" w:rsidR="00FB0A3F" w:rsidRDefault="002610CA">
      <w:r>
        <w:t xml:space="preserve">The PIs now include a measure of mean daily catch. The data are standardised in a similar manner to CPUE data. Last </w:t>
      </w:r>
      <w:r w:rsidR="00D46956">
        <w:t>y</w:t>
      </w:r>
      <w:r>
        <w:t xml:space="preserve">ear’s report provided an assessment of FIS PIs from the “Top 15” sites. Insufficient data were gathered to inform this PI this year. New FIS sites in shallow grounds are anticipated to begin being established in 2025 in areas representative of the current fishing grounds. However, it will take several years before meaningful data from these sites can be incorporated as performance measures. </w:t>
      </w:r>
      <w:r w:rsidR="006F7AD2">
        <w:t xml:space="preserve">Future reports should begin to incorporate additional PIs utilising </w:t>
      </w:r>
      <w:r w:rsidR="00D46956">
        <w:t xml:space="preserve">commercial size frequency data as provided in Appendix 3, and potentially </w:t>
      </w:r>
      <w:r>
        <w:t xml:space="preserve">commercial effort logger data collected over the </w:t>
      </w:r>
      <w:r w:rsidR="00D46956">
        <w:t xml:space="preserve">last </w:t>
      </w:r>
      <w:r w:rsidR="006F7AD2">
        <w:t xml:space="preserve">few </w:t>
      </w:r>
      <w:r>
        <w:t>years.</w:t>
      </w:r>
    </w:p>
    <w:p w14:paraId="32272A28" w14:textId="77777777" w:rsidR="00FB0A3F" w:rsidRDefault="00000000">
      <w:pPr>
        <w:pStyle w:val="Heading3"/>
      </w:pPr>
      <w:bookmarkStart w:id="367" w:name="_Toc150423195"/>
      <w:bookmarkStart w:id="368" w:name="_Toc192777247"/>
      <w:r>
        <w:t>Draft Harvest Strategy</w:t>
      </w:r>
      <w:bookmarkEnd w:id="367"/>
      <w:bookmarkEnd w:id="368"/>
    </w:p>
    <w:p w14:paraId="23890505" w14:textId="77777777" w:rsidR="00FB0A3F" w:rsidRDefault="00000000">
      <w:pPr>
        <w:rPr>
          <w:lang w:val="en-US"/>
        </w:rPr>
      </w:pPr>
      <w:r>
        <w:t xml:space="preserve">Like all fishery assessment tools, harvest strategies evolve over time as new information is acquired. </w:t>
      </w:r>
      <w:r>
        <w:rPr>
          <w:lang w:val="en-US"/>
        </w:rPr>
        <w:t xml:space="preserve">The current Draft Harvest Strategy was first implemented in the 2017/18 season. Since 2018/19, results from the Draft Harvest Strategy have been prepared as a separate report and have also been included explicitly in this report and the stock assessment process. The five most recent stock assessments have used an independent weight of evidence assessment for each SMU and compared these directly with the Draft Harvest Strategy outcomes. These two sources of information have then been presented at TACC setting meetings where final recommendations on the OT for an SMU are determined by stakeholders. </w:t>
      </w:r>
    </w:p>
    <w:p w14:paraId="7C4D7BB4" w14:textId="2371EAF6" w:rsidR="006D6FF3" w:rsidRDefault="006F7AD2" w:rsidP="006D6FF3">
      <w:pPr>
        <w:rPr>
          <w:lang w:val="en-US"/>
        </w:rPr>
      </w:pPr>
      <w:r>
        <w:rPr>
          <w:lang w:val="en-US"/>
        </w:rPr>
        <w:lastRenderedPageBreak/>
        <w:t xml:space="preserve">A key limitation of the current </w:t>
      </w:r>
      <w:r w:rsidR="00BF48B3">
        <w:rPr>
          <w:lang w:val="en-US"/>
        </w:rPr>
        <w:t>Draft Harvest Strategy</w:t>
      </w:r>
      <w:r>
        <w:rPr>
          <w:lang w:val="en-US"/>
        </w:rPr>
        <w:t xml:space="preserve"> is its reliance on CPUE data. However, this will likely remain a reality while the assessment framework is </w:t>
      </w:r>
      <w:proofErr w:type="gramStart"/>
      <w:r>
        <w:rPr>
          <w:lang w:val="en-US"/>
        </w:rPr>
        <w:t>updated</w:t>
      </w:r>
      <w:proofErr w:type="gramEnd"/>
      <w:r>
        <w:rPr>
          <w:lang w:val="en-US"/>
        </w:rPr>
        <w:t xml:space="preserve"> and new measures developed. </w:t>
      </w:r>
      <w:r w:rsidR="006D6FF3">
        <w:rPr>
          <w:lang w:val="en-US"/>
        </w:rPr>
        <w:t xml:space="preserve">This year’s report used the </w:t>
      </w:r>
      <w:r>
        <w:t>new CPUE standardisation model to inform the CPUE measure</w:t>
      </w:r>
      <w:r w:rsidR="006D6FF3">
        <w:t xml:space="preserve">. </w:t>
      </w:r>
      <w:r w:rsidR="006D6FF3">
        <w:rPr>
          <w:lang w:val="en-US"/>
        </w:rPr>
        <w:t xml:space="preserve">While this may have improved confidence in CPUE outputs, some of the challenges with CPUE data remain. </w:t>
      </w:r>
    </w:p>
    <w:p w14:paraId="7F39481B" w14:textId="11680DE3" w:rsidR="006F7AD2" w:rsidRDefault="006D6FF3" w:rsidP="006D6FF3">
      <w:r>
        <w:rPr>
          <w:lang w:val="en-US"/>
        </w:rPr>
        <w:t xml:space="preserve">Section 3.2.3 </w:t>
      </w:r>
      <w:r w:rsidR="006F7AD2">
        <w:t>presents two scenarios for Reference Points: the original nominal Reference Points presented in VFA (2019b), and those generated from a standardised CPUE dataset using the same rules from which the original reference points were determined. The changes to the CPUE modelling and the comparison of these two results suggest that a review of the Reference Points is required</w:t>
      </w:r>
      <w:r>
        <w:t xml:space="preserve"> prior to the next </w:t>
      </w:r>
      <w:r w:rsidR="00D46956">
        <w:t>assessments for each of the Central and Eastern Zones</w:t>
      </w:r>
      <w:r w:rsidR="006F7AD2">
        <w:t>.</w:t>
      </w:r>
      <w:r w:rsidR="003E38AD">
        <w:t xml:space="preserve"> On this basis, advice regarding suggested OTs during TACC setting will rely primarily on weight of evidence assessment.</w:t>
      </w:r>
    </w:p>
    <w:p w14:paraId="133DBE53" w14:textId="5C990331" w:rsidR="006F7AD2" w:rsidRPr="006D6FF3" w:rsidRDefault="00000000">
      <w:r>
        <w:t xml:space="preserve">The FRDC Project 2019-118 </w:t>
      </w:r>
      <w:r w:rsidRPr="00C37ECA">
        <w:rPr>
          <w:i/>
          <w:iCs/>
        </w:rPr>
        <w:t>“Drawing strength from each other: simulation testing of Australia’s abalone harvest strategies”</w:t>
      </w:r>
      <w:r>
        <w:t xml:space="preserve"> includes an MSE of the current Draft Harvest Strategy for Central and Eastern Zones. The results from this study </w:t>
      </w:r>
      <w:r w:rsidR="006D6FF3">
        <w:t xml:space="preserve">may be useful in </w:t>
      </w:r>
      <w:r>
        <w:t xml:space="preserve">the re-evaluation of the Draft Harvest Strategy through the </w:t>
      </w:r>
      <w:r w:rsidR="006D6FF3">
        <w:t>ASWG</w:t>
      </w:r>
      <w:r>
        <w:t xml:space="preserve">. </w:t>
      </w:r>
      <w:r w:rsidR="006D6FF3">
        <w:t>In addition</w:t>
      </w:r>
      <w:r>
        <w:t>, Tasmania and South Australia have recently developed approaches to address hyperstability using diver logger data. The applicability of this approach for the Central Zone should be investigated.</w:t>
      </w:r>
    </w:p>
    <w:p w14:paraId="26AE94D1" w14:textId="77777777" w:rsidR="00FB0A3F" w:rsidRDefault="00000000">
      <w:pPr>
        <w:pStyle w:val="Heading3"/>
      </w:pPr>
      <w:bookmarkStart w:id="369" w:name="_Toc150423196"/>
      <w:bookmarkStart w:id="370" w:name="_Toc192777248"/>
      <w:r>
        <w:t>Weight of evidence</w:t>
      </w:r>
      <w:bookmarkEnd w:id="369"/>
      <w:bookmarkEnd w:id="370"/>
      <w:r>
        <w:t xml:space="preserve"> </w:t>
      </w:r>
    </w:p>
    <w:p w14:paraId="128FD58B" w14:textId="32DAF35D" w:rsidR="00FB0A3F" w:rsidRDefault="00000000">
      <w:pPr>
        <w:rPr>
          <w:lang w:val="en-US"/>
        </w:rPr>
      </w:pPr>
      <w:r>
        <w:t xml:space="preserve">The weight of evidence assessment is impeded by the same data uncertainties as the </w:t>
      </w:r>
      <w:r w:rsidR="00C27633">
        <w:t>Draft Harvest Strategy</w:t>
      </w:r>
      <w:r>
        <w:t xml:space="preserve"> and Performance Indicators, particularly regarding the importance of CPUE as the primary data source. The FIS review has identified that historic FIS site locations are no longer representative of the current fishing grounds. The Top 15 sites provide some data for sites adjacent to the current fishing </w:t>
      </w:r>
      <w:proofErr w:type="gramStart"/>
      <w:r>
        <w:t>grounds,</w:t>
      </w:r>
      <w:proofErr w:type="gramEnd"/>
      <w:r>
        <w:t xml:space="preserve"> however these data need to be augmented with data from shallower sites to provide a </w:t>
      </w:r>
      <w:r w:rsidR="00D46956">
        <w:t xml:space="preserve">more </w:t>
      </w:r>
      <w:r>
        <w:t xml:space="preserve">reliable index of abundance at the Zone scale, across current fishing grounds. </w:t>
      </w:r>
      <w:r w:rsidR="001B00F4">
        <w:t>Top 15 sites were not surveyed in 2024. Trends in standardised m</w:t>
      </w:r>
      <w:r>
        <w:t>ean catch per day</w:t>
      </w:r>
      <w:r w:rsidR="001B00F4">
        <w:t xml:space="preserve"> are presented at the zone and SMU scales</w:t>
      </w:r>
      <w:r>
        <w:t xml:space="preserve">. </w:t>
      </w:r>
      <w:r w:rsidR="001B00F4">
        <w:t>Historic l</w:t>
      </w:r>
      <w:r>
        <w:t xml:space="preserve">ength frequency data gathered during FIS include two sources of bias that </w:t>
      </w:r>
      <w:r w:rsidR="001B00F4">
        <w:t>limit their interpretation</w:t>
      </w:r>
      <w:r>
        <w:t>.</w:t>
      </w:r>
      <w:r w:rsidR="001B00F4">
        <w:t xml:space="preserve"> Results are presented in the Appendices, but they do not add to the weight of evidence assessment. C</w:t>
      </w:r>
      <w:r>
        <w:t xml:space="preserve">ommercial length frequency data were </w:t>
      </w:r>
      <w:r w:rsidR="001B00F4">
        <w:t xml:space="preserve">again </w:t>
      </w:r>
      <w:r>
        <w:t xml:space="preserve">provided by industry </w:t>
      </w:r>
      <w:r w:rsidR="001B00F4">
        <w:t>and t</w:t>
      </w:r>
      <w:r>
        <w:t xml:space="preserve">hese data provide critical information to </w:t>
      </w:r>
      <w:r w:rsidR="00D46956">
        <w:t xml:space="preserve">augment </w:t>
      </w:r>
      <w:r>
        <w:t xml:space="preserve">the weight of evidence. </w:t>
      </w:r>
      <w:r w:rsidR="001B00F4">
        <w:t xml:space="preserve">Improved approaches to formally </w:t>
      </w:r>
      <w:r>
        <w:t>integrate these data into the assessment</w:t>
      </w:r>
      <w:r w:rsidR="001B00F4">
        <w:t xml:space="preserve"> will be developed in future years</w:t>
      </w:r>
      <w:r>
        <w:t>.</w:t>
      </w:r>
    </w:p>
    <w:p w14:paraId="32FFF124" w14:textId="77777777" w:rsidR="00FB0A3F" w:rsidRDefault="00000000">
      <w:pPr>
        <w:pStyle w:val="Heading2"/>
        <w:ind w:left="709" w:hanging="709"/>
      </w:pPr>
      <w:bookmarkStart w:id="371" w:name="_Toc150423197"/>
      <w:bookmarkStart w:id="372" w:name="_Toc192777249"/>
      <w:r>
        <w:t>TACC setting and Optimal Target catches</w:t>
      </w:r>
      <w:bookmarkEnd w:id="371"/>
      <w:bookmarkEnd w:id="372"/>
    </w:p>
    <w:p w14:paraId="1FD2BC09" w14:textId="628850F7" w:rsidR="00FB0A3F" w:rsidRDefault="00000000">
      <w:bookmarkStart w:id="373" w:name="_Hlk150328750"/>
      <w:r>
        <w:t xml:space="preserve">The TACC setting process occurs in April each year for the Central Zone, around three quarters of the way through a current quota year. </w:t>
      </w:r>
      <w:bookmarkStart w:id="374" w:name="_Hlk149385394"/>
      <w:r>
        <w:t xml:space="preserve">TACC setting is complicated by the lag time between the assessment of stock status based on data from the previous quota year and the need to establish a TACC for the following quota year. </w:t>
      </w:r>
      <w:bookmarkEnd w:id="374"/>
      <w:r w:rsidR="001B5C96">
        <w:t>I</w:t>
      </w:r>
      <w:r>
        <w:t xml:space="preserve">nformal assessments of up-to-date summaries of catch (SMU and </w:t>
      </w:r>
      <w:proofErr w:type="spellStart"/>
      <w:r>
        <w:t>reefcode</w:t>
      </w:r>
      <w:proofErr w:type="spellEnd"/>
      <w:r>
        <w:t xml:space="preserve">) and CPUE (SMU only) </w:t>
      </w:r>
      <w:r w:rsidR="001B5C96">
        <w:t xml:space="preserve">are </w:t>
      </w:r>
      <w:r>
        <w:t xml:space="preserve">provided at the TACC setting meeting, </w:t>
      </w:r>
      <w:r w:rsidR="001B5C96">
        <w:t xml:space="preserve">and </w:t>
      </w:r>
      <w:r>
        <w:t>this will occur again in April 202</w:t>
      </w:r>
      <w:r w:rsidR="001B5C96">
        <w:t>5</w:t>
      </w:r>
      <w:r>
        <w:t xml:space="preserve">. </w:t>
      </w:r>
      <w:r w:rsidR="001B5C96">
        <w:t xml:space="preserve">The ASWG has recommended including “up-to-date data” into future assessments. This will likely translate to the inclusion of data from the first six months of the current fishing year into the assessment, although details of how this will be achieved are yet to be determined. </w:t>
      </w:r>
    </w:p>
    <w:p w14:paraId="00196448" w14:textId="77777777" w:rsidR="00FB0A3F" w:rsidRDefault="00000000">
      <w:pPr>
        <w:pStyle w:val="Heading2"/>
        <w:ind w:left="709" w:hanging="709"/>
      </w:pPr>
      <w:bookmarkStart w:id="375" w:name="_Toc150423198"/>
      <w:bookmarkStart w:id="376" w:name="_Toc192777250"/>
      <w:bookmarkEnd w:id="373"/>
      <w:r>
        <w:t>Central Zone trends in available data</w:t>
      </w:r>
      <w:bookmarkEnd w:id="375"/>
      <w:bookmarkEnd w:id="376"/>
    </w:p>
    <w:p w14:paraId="6928DC32" w14:textId="32A5FA90" w:rsidR="00FB0A3F" w:rsidRDefault="00000000">
      <w:bookmarkStart w:id="377" w:name="_Hlk160774333"/>
      <w:r>
        <w:t>The commercial catch in the Central Zone for 202</w:t>
      </w:r>
      <w:r w:rsidR="00D57D46">
        <w:t>3</w:t>
      </w:r>
      <w:r>
        <w:t>/2</w:t>
      </w:r>
      <w:r w:rsidR="00D57D46">
        <w:t>4</w:t>
      </w:r>
      <w:r>
        <w:t xml:space="preserve"> totalled 2</w:t>
      </w:r>
      <w:r w:rsidR="00D57D46">
        <w:t>22.3</w:t>
      </w:r>
      <w:r>
        <w:t xml:space="preserve"> t, which was </w:t>
      </w:r>
      <w:r w:rsidR="00D57D46">
        <w:t>99.7</w:t>
      </w:r>
      <w:r>
        <w:t>% of the TACC</w:t>
      </w:r>
      <w:r w:rsidR="00C37ECA">
        <w:t xml:space="preserve"> </w:t>
      </w:r>
      <w:r w:rsidR="00D57D46">
        <w:t>(222.9 t)</w:t>
      </w:r>
      <w:r>
        <w:t xml:space="preserve">. In the last </w:t>
      </w:r>
      <w:r w:rsidR="00D57D46">
        <w:t xml:space="preserve">five </w:t>
      </w:r>
      <w:r>
        <w:t>quota years, catches have ranged from around 2</w:t>
      </w:r>
      <w:r w:rsidR="00D57D46">
        <w:t>2</w:t>
      </w:r>
      <w:r>
        <w:t xml:space="preserve">0 to 250 t, with one year extended to 15 months meaning the annual catch was lower than the </w:t>
      </w:r>
      <w:proofErr w:type="gramStart"/>
      <w:r>
        <w:t>230 t</w:t>
      </w:r>
      <w:proofErr w:type="gramEnd"/>
      <w:r>
        <w:t xml:space="preserve"> harvested. </w:t>
      </w:r>
    </w:p>
    <w:p w14:paraId="79B366FE" w14:textId="49F18480" w:rsidR="0078483C" w:rsidRDefault="0078483C">
      <w:r>
        <w:t xml:space="preserve">The key concern in the current assessment regards changes in the distribution of the catch. </w:t>
      </w:r>
      <w:r w:rsidR="00C76CE3">
        <w:t xml:space="preserve">At Phillip Island, catches from the previously highest producing </w:t>
      </w:r>
      <w:proofErr w:type="spellStart"/>
      <w:r w:rsidR="00C76CE3">
        <w:t>reefcode</w:t>
      </w:r>
      <w:proofErr w:type="spellEnd"/>
      <w:r w:rsidR="00C76CE3">
        <w:t xml:space="preserve"> 14.03 were less than half of the lowest catch from the previous five years, while catches from the second most productive </w:t>
      </w:r>
      <w:proofErr w:type="spellStart"/>
      <w:r w:rsidR="00C76CE3">
        <w:t>reefcode</w:t>
      </w:r>
      <w:proofErr w:type="spellEnd"/>
      <w:r w:rsidR="00C76CE3">
        <w:t xml:space="preserve"> </w:t>
      </w:r>
      <w:r w:rsidR="00C76CE3">
        <w:lastRenderedPageBreak/>
        <w:t xml:space="preserve">14.02 were 50% higher than the previous five-year average. </w:t>
      </w:r>
      <w:r w:rsidR="00355653">
        <w:t xml:space="preserve">Similarly, at Cape Liptrap catches from the two most productive </w:t>
      </w:r>
      <w:proofErr w:type="spellStart"/>
      <w:r w:rsidR="00355653">
        <w:t>reefcodes</w:t>
      </w:r>
      <w:proofErr w:type="spellEnd"/>
      <w:r w:rsidR="00355653">
        <w:t xml:space="preserve"> (16.04 and 16.06) were &lt;30% of their previous five</w:t>
      </w:r>
      <w:r w:rsidR="002654EF">
        <w:t>-</w:t>
      </w:r>
      <w:r w:rsidR="00355653">
        <w:t xml:space="preserve">year average, while </w:t>
      </w:r>
      <w:proofErr w:type="spellStart"/>
      <w:r w:rsidR="00355653">
        <w:t>reefcodes</w:t>
      </w:r>
      <w:proofErr w:type="spellEnd"/>
      <w:r w:rsidR="00355653">
        <w:t xml:space="preserve"> 16.03 and 16.02 produced more than twice the highest catch from the previous five years. An improved understanding of the reasons for the distributional shifts </w:t>
      </w:r>
      <w:r w:rsidR="002654EF">
        <w:t xml:space="preserve">in catch </w:t>
      </w:r>
      <w:r w:rsidR="00355653">
        <w:t xml:space="preserve">is required. </w:t>
      </w:r>
    </w:p>
    <w:p w14:paraId="584C1F4A" w14:textId="51491211" w:rsidR="00FB0A3F" w:rsidRDefault="00000000">
      <w:r>
        <w:t xml:space="preserve">The current zonal </w:t>
      </w:r>
      <w:r w:rsidR="00D57D46">
        <w:t xml:space="preserve">standardised </w:t>
      </w:r>
      <w:r>
        <w:t>CPUE of 7</w:t>
      </w:r>
      <w:r w:rsidR="006C18AA">
        <w:t>7.3</w:t>
      </w:r>
      <w:r>
        <w:t xml:space="preserve"> kg/h is </w:t>
      </w:r>
      <w:r w:rsidR="006C18AA">
        <w:t>22</w:t>
      </w:r>
      <w:r>
        <w:t>% lower than it was in 2003/04, 1</w:t>
      </w:r>
      <w:r w:rsidR="006C18AA">
        <w:t>2</w:t>
      </w:r>
      <w:r>
        <w:t>% lower than it was in 2009/10 but 1</w:t>
      </w:r>
      <w:r w:rsidR="006C18AA">
        <w:t>2</w:t>
      </w:r>
      <w:r>
        <w:t>% higher than it was in 20</w:t>
      </w:r>
      <w:r w:rsidR="006C18AA">
        <w:t>20</w:t>
      </w:r>
      <w:r>
        <w:t>/2</w:t>
      </w:r>
      <w:r w:rsidR="006C18AA">
        <w:t>1</w:t>
      </w:r>
      <w:r>
        <w:t xml:space="preserve">. </w:t>
      </w:r>
      <w:r w:rsidR="006C18AA">
        <w:t xml:space="preserve">Standardised </w:t>
      </w:r>
      <w:r>
        <w:t xml:space="preserve">CPUE </w:t>
      </w:r>
      <w:r w:rsidR="006C18AA">
        <w:t>was very stable from 2015/16 to 2020/21 ranging from 68.3 to 69.5 kg/</w:t>
      </w:r>
      <w:proofErr w:type="gramStart"/>
      <w:r w:rsidR="006C18AA">
        <w:t>h, but</w:t>
      </w:r>
      <w:proofErr w:type="gramEnd"/>
      <w:r w:rsidR="006C18AA">
        <w:t xml:space="preserve"> has increased annually thereafter and is currently around 2010/11 levels. The new </w:t>
      </w:r>
      <w:r>
        <w:t xml:space="preserve">CPUE </w:t>
      </w:r>
      <w:r w:rsidR="006C18AA">
        <w:t xml:space="preserve">standardisation model does demonstrate some departure from nominal trends, with the standardised measure being lower than the nominal </w:t>
      </w:r>
      <w:r w:rsidR="009E5AB5">
        <w:t xml:space="preserve">from 2011 onward. While this does not mean that CPUE is a </w:t>
      </w:r>
      <w:r w:rsidR="00B9759C">
        <w:t xml:space="preserve">good </w:t>
      </w:r>
      <w:r w:rsidR="009E5AB5">
        <w:t xml:space="preserve">measure of abundance, the new model appears </w:t>
      </w:r>
      <w:r w:rsidR="00B9759C">
        <w:t xml:space="preserve">to </w:t>
      </w:r>
      <w:r w:rsidR="009E5AB5">
        <w:t>behave more as expected than previous versions (</w:t>
      </w:r>
      <w:r w:rsidR="002654EF">
        <w:t xml:space="preserve">on the assumption </w:t>
      </w:r>
      <w:r w:rsidR="009E5AB5">
        <w:t xml:space="preserve">that biomass has declined over the longer term). </w:t>
      </w:r>
    </w:p>
    <w:p w14:paraId="7B5938D0" w14:textId="7B07CF34" w:rsidR="00FB0A3F" w:rsidRDefault="009E5AB5">
      <w:r>
        <w:t xml:space="preserve">Standardised mean daily catch in 2023/24 was 359 kg/day, which was 19% lower than 2003/04 and 7% lower than 2009/10 but 7% higher than 2020/21. The standardisation model appears to stabilise mean daily catch estimates, with a general decline from </w:t>
      </w:r>
      <w:r w:rsidRPr="00416C47">
        <w:t>2003</w:t>
      </w:r>
      <w:r>
        <w:t xml:space="preserve"> to 2013, stable trends to 2020 and an increase in the last four years. These trends are </w:t>
      </w:r>
      <w:proofErr w:type="gramStart"/>
      <w:r>
        <w:t>similar to</w:t>
      </w:r>
      <w:proofErr w:type="gramEnd"/>
      <w:r>
        <w:t xml:space="preserve"> those observed </w:t>
      </w:r>
      <w:r w:rsidR="003C4361">
        <w:t>for</w:t>
      </w:r>
      <w:r>
        <w:t xml:space="preserve"> CPUE.</w:t>
      </w:r>
    </w:p>
    <w:p w14:paraId="28E58916" w14:textId="146EC4CD" w:rsidR="00FB0A3F" w:rsidRDefault="009E5AB5">
      <w:r>
        <w:t>In 2023, FIS data were gathered from the “Top 15” sites that indicated a large increase in abundance at all sites between Cape Otway and Phillip Island</w:t>
      </w:r>
      <w:r w:rsidR="003C4361">
        <w:t>, particularly for pre-recruit abalone</w:t>
      </w:r>
      <w:r>
        <w:t xml:space="preserve">. FIS data were not collected in 2024 but are expected to be gathered during 2025. Confirmation of the positive results from 2023 will increase confidence in the interpretation of these trends. </w:t>
      </w:r>
    </w:p>
    <w:p w14:paraId="08C8DED9" w14:textId="30B099AC" w:rsidR="00FB0A3F" w:rsidRDefault="00000000">
      <w:r>
        <w:t>Standardised average length of the commercial catch has increased consistently at most SMUs since 2016/17</w:t>
      </w:r>
      <w:r w:rsidR="003C4361">
        <w:t xml:space="preserve"> (Appendix 3)</w:t>
      </w:r>
      <w:r>
        <w:t xml:space="preserve">. This included the four most important SMU contributors toward total catch: Cape Otway, Back Beaches, Phillip Island, and Shipwreck Coast. These size increases were </w:t>
      </w:r>
      <w:r w:rsidR="00D0466C">
        <w:t xml:space="preserve">well </w:t>
      </w:r>
      <w:r>
        <w:t xml:space="preserve">over and above size limit increases that had been implemented at the SMU level. </w:t>
      </w:r>
      <w:r w:rsidR="003C4361">
        <w:t xml:space="preserve">Increases in length result in increases in weight, which in turn means that </w:t>
      </w:r>
      <w:r w:rsidR="00D0466C">
        <w:t>fewer individual abalone are harvested for a given TACC. While there is some uncertainty in how representative the length samples are due to lower numbers of shells measured in the last two years, the increases in size over time are substantial</w:t>
      </w:r>
      <w:r w:rsidR="00564200">
        <w:t xml:space="preserve"> and consistent</w:t>
      </w:r>
      <w:r w:rsidR="00D0466C">
        <w:t xml:space="preserve">. </w:t>
      </w:r>
      <w:r>
        <w:t xml:space="preserve"> </w:t>
      </w:r>
    </w:p>
    <w:p w14:paraId="02DD009C" w14:textId="77777777" w:rsidR="00FB0A3F" w:rsidRDefault="00000000">
      <w:pPr>
        <w:pStyle w:val="Heading2"/>
        <w:ind w:left="709" w:hanging="709"/>
      </w:pPr>
      <w:bookmarkStart w:id="378" w:name="_Toc150423199"/>
      <w:bookmarkStart w:id="379" w:name="_Toc192777251"/>
      <w:r>
        <w:t>Stock Status</w:t>
      </w:r>
      <w:bookmarkEnd w:id="378"/>
      <w:bookmarkEnd w:id="379"/>
    </w:p>
    <w:p w14:paraId="736D1951" w14:textId="77777777" w:rsidR="00FB0A3F" w:rsidRDefault="00000000">
      <w:pPr>
        <w:pStyle w:val="Heading3"/>
      </w:pPr>
      <w:bookmarkStart w:id="380" w:name="_Toc192777252"/>
      <w:r>
        <w:t>Zone scale</w:t>
      </w:r>
      <w:bookmarkEnd w:id="380"/>
    </w:p>
    <w:p w14:paraId="7DAE0E2A" w14:textId="210E2C84" w:rsidR="00FB0A3F" w:rsidRDefault="00F1748A">
      <w:r>
        <w:t xml:space="preserve">This assessment relies primarily on catch and effort data, supplemented by historic FIS data and analyses of commercial length frequency data provided by industry. </w:t>
      </w:r>
      <w:bookmarkStart w:id="381" w:name="_Hlk192769803"/>
      <w:r>
        <w:t>All available indicators are positive for the Central Zone abalone stock. While considerable uncertainties remain with</w:t>
      </w:r>
      <w:r w:rsidR="000E20BB">
        <w:t>in</w:t>
      </w:r>
      <w:r>
        <w:t xml:space="preserve"> each component of the weight of evidence approach, the positive direction of all indicators combined provides a stronger basis for assessment of stock status than for </w:t>
      </w:r>
      <w:r w:rsidR="00B9679F">
        <w:t xml:space="preserve">previous </w:t>
      </w:r>
      <w:r>
        <w:t xml:space="preserve">reports. </w:t>
      </w:r>
      <w:bookmarkEnd w:id="381"/>
    </w:p>
    <w:p w14:paraId="4F18A0E4" w14:textId="40ADFADC" w:rsidR="00F1748A" w:rsidRDefault="00095E40">
      <w:r>
        <w:t>The u</w:t>
      </w:r>
      <w:r w:rsidR="00F1748A">
        <w:t xml:space="preserve">ncertainties in the assessment framework are being </w:t>
      </w:r>
      <w:r>
        <w:t xml:space="preserve">strategically </w:t>
      </w:r>
      <w:r w:rsidR="00F1748A">
        <w:t>addressed by VFA</w:t>
      </w:r>
      <w:r>
        <w:t xml:space="preserve">, informed through the ASWG. This year’s report utilises an updated CPUE standardisation model with revised data filters. </w:t>
      </w:r>
      <w:r w:rsidR="00182AAA">
        <w:t>The report is also the first to standardise m</w:t>
      </w:r>
      <w:r>
        <w:t>ean daily catch, which is an alternative measure of CPUE based on the catch for a day’s effort rather than an hour’s effort</w:t>
      </w:r>
      <w:r w:rsidR="00182AAA">
        <w:t xml:space="preserve">. The model used </w:t>
      </w:r>
      <w:r w:rsidR="000E20BB">
        <w:t xml:space="preserve">for </w:t>
      </w:r>
      <w:proofErr w:type="gramStart"/>
      <w:r w:rsidR="000E20BB">
        <w:t>mean</w:t>
      </w:r>
      <w:proofErr w:type="gramEnd"/>
      <w:r w:rsidR="000E20BB">
        <w:t xml:space="preserve"> daily catch </w:t>
      </w:r>
      <w:r w:rsidR="00182AAA">
        <w:t>was based on the same approach as that for CPUE.</w:t>
      </w:r>
      <w:r>
        <w:t xml:space="preserve"> </w:t>
      </w:r>
      <w:r w:rsidR="00182AAA">
        <w:t xml:space="preserve">While there </w:t>
      </w:r>
      <w:proofErr w:type="gramStart"/>
      <w:r w:rsidR="00182AAA">
        <w:t>were</w:t>
      </w:r>
      <w:proofErr w:type="gramEnd"/>
      <w:r w:rsidR="00182AAA">
        <w:t xml:space="preserve"> no FIS data gathered for 2024, VFA have conducted a tender process that should see new FIS sites </w:t>
      </w:r>
      <w:r w:rsidR="003C7D3F">
        <w:t xml:space="preserve">begin to </w:t>
      </w:r>
      <w:r w:rsidR="00182AAA">
        <w:t xml:space="preserve">be established in 2025 in shallow waters that </w:t>
      </w:r>
      <w:r w:rsidR="000E20BB">
        <w:t xml:space="preserve">are based on the recent </w:t>
      </w:r>
      <w:r w:rsidR="00182AAA">
        <w:t xml:space="preserve">fishery footprint. An updated assessment of the average length of </w:t>
      </w:r>
      <w:r w:rsidR="000E20BB">
        <w:t xml:space="preserve">abalone in the </w:t>
      </w:r>
      <w:r w:rsidR="00182AAA">
        <w:t xml:space="preserve">commercial catch was provided by industry. </w:t>
      </w:r>
      <w:r w:rsidR="003C7D3F">
        <w:t xml:space="preserve">Participation rates have reduced in recent years that result in some </w:t>
      </w:r>
      <w:r w:rsidR="00182AAA">
        <w:t>uncertaint</w:t>
      </w:r>
      <w:r w:rsidR="003C7D3F">
        <w:t>y</w:t>
      </w:r>
      <w:r w:rsidR="00182AAA">
        <w:t xml:space="preserve"> in how representative </w:t>
      </w:r>
      <w:r w:rsidR="003C7D3F">
        <w:t>the data are of the entire fishery. However</w:t>
      </w:r>
      <w:r w:rsidR="00BE17A4">
        <w:t>,</w:t>
      </w:r>
      <w:r w:rsidR="003C7D3F">
        <w:t xml:space="preserve"> this </w:t>
      </w:r>
      <w:r w:rsidR="000E20BB">
        <w:t xml:space="preserve">uncertainty </w:t>
      </w:r>
      <w:r w:rsidR="003C7D3F">
        <w:t xml:space="preserve">is </w:t>
      </w:r>
      <w:r w:rsidR="00BE17A4">
        <w:t xml:space="preserve">largely </w:t>
      </w:r>
      <w:r w:rsidR="003C7D3F">
        <w:t>countered by the consistent</w:t>
      </w:r>
      <w:r w:rsidR="00A95406">
        <w:t xml:space="preserve"> and substantial </w:t>
      </w:r>
      <w:r w:rsidR="00BE17A4">
        <w:t xml:space="preserve">trends over time. Future reports will aim to include </w:t>
      </w:r>
      <w:r w:rsidR="00A95406">
        <w:t xml:space="preserve">data from </w:t>
      </w:r>
      <w:r w:rsidR="00BE17A4">
        <w:t xml:space="preserve">the first six months of the current fishing year into the assessment which will further reduce uncertainty. </w:t>
      </w:r>
    </w:p>
    <w:p w14:paraId="240BBAFB" w14:textId="0D6AE812" w:rsidR="00FB0A3F" w:rsidRDefault="00000000">
      <w:r>
        <w:lastRenderedPageBreak/>
        <w:t>At the zonal scale</w:t>
      </w:r>
      <w:r w:rsidR="000E20BB">
        <w:t>,</w:t>
      </w:r>
      <w:r>
        <w:t xml:space="preserve"> CPUE (kg/h), mean daily catch (kg/day), FIS abundance </w:t>
      </w:r>
      <w:r w:rsidR="00B36B57">
        <w:t xml:space="preserve">(recruit and pre-recruit) </w:t>
      </w:r>
      <w:r>
        <w:t>and average length from the commercial catch are all trending positively. Compared to 20</w:t>
      </w:r>
      <w:r w:rsidR="00BE17A4">
        <w:t>20</w:t>
      </w:r>
      <w:r>
        <w:t>/</w:t>
      </w:r>
      <w:r w:rsidR="00BE17A4">
        <w:t>21</w:t>
      </w:r>
      <w:r>
        <w:t>, CPUE has increased by 1</w:t>
      </w:r>
      <w:r w:rsidR="00BE17A4">
        <w:t>2</w:t>
      </w:r>
      <w:r>
        <w:t xml:space="preserve">%, mean daily catch </w:t>
      </w:r>
      <w:r w:rsidR="00BE17A4">
        <w:t>has increased by 7%</w:t>
      </w:r>
      <w:r>
        <w:t xml:space="preserve"> and average length from the commercial catch has increased substantially at </w:t>
      </w:r>
      <w:r w:rsidR="0078483C">
        <w:t>8</w:t>
      </w:r>
      <w:r>
        <w:t xml:space="preserve"> of the 10 SMUs for which data are available </w:t>
      </w:r>
      <w:bookmarkStart w:id="382" w:name="_Hlk160776535"/>
      <w:r w:rsidR="0016622F">
        <w:t>(</w:t>
      </w:r>
      <w:r>
        <w:t xml:space="preserve">representing </w:t>
      </w:r>
      <w:r w:rsidR="0078483C">
        <w:t>92</w:t>
      </w:r>
      <w:r>
        <w:t>% of the 202</w:t>
      </w:r>
      <w:r w:rsidR="0078483C">
        <w:t>3</w:t>
      </w:r>
      <w:r>
        <w:t>/2</w:t>
      </w:r>
      <w:r w:rsidR="0078483C">
        <w:t>4</w:t>
      </w:r>
      <w:r>
        <w:t xml:space="preserve"> total catch</w:t>
      </w:r>
      <w:bookmarkEnd w:id="382"/>
      <w:r w:rsidR="0016622F">
        <w:t>)</w:t>
      </w:r>
      <w:r>
        <w:t xml:space="preserve">. </w:t>
      </w:r>
      <w:r w:rsidR="0078483C">
        <w:t xml:space="preserve">While Top 15 FIS sites were not surveyed in 2024, recruit and pre-recruit abundance had increased by 16% and 37% respectively, in 2023. </w:t>
      </w:r>
      <w:r w:rsidR="000E20BB">
        <w:t xml:space="preserve">Certainty in this measure will be improved when surveys are completed in 2025. </w:t>
      </w:r>
    </w:p>
    <w:p w14:paraId="64DEF43B" w14:textId="6E4A3645" w:rsidR="00355653" w:rsidRDefault="00355653">
      <w:r>
        <w:t xml:space="preserve">The </w:t>
      </w:r>
      <w:r w:rsidR="00496AB0">
        <w:t>primary</w:t>
      </w:r>
      <w:r>
        <w:t xml:space="preserve"> concern in the current assessment regards changes in the distribution of the catch</w:t>
      </w:r>
      <w:r w:rsidR="00A96F34">
        <w:t xml:space="preserve"> at the </w:t>
      </w:r>
      <w:proofErr w:type="spellStart"/>
      <w:r w:rsidR="00A96F34">
        <w:t>reefcode</w:t>
      </w:r>
      <w:proofErr w:type="spellEnd"/>
      <w:r w:rsidR="00A96F34">
        <w:t xml:space="preserve"> scale</w:t>
      </w:r>
      <w:r>
        <w:t xml:space="preserve">. </w:t>
      </w:r>
      <w:proofErr w:type="spellStart"/>
      <w:r w:rsidR="005D6480">
        <w:t>Reefcode</w:t>
      </w:r>
      <w:proofErr w:type="spellEnd"/>
      <w:r w:rsidR="005D6480">
        <w:t xml:space="preserve"> catches generally show a high degree of variation on an annual basis, however the magnitude of changes in 2023/24 was unusual, particularly for Phillip Island and Cape Liptrap SMUs.  While t</w:t>
      </w:r>
      <w:r>
        <w:t xml:space="preserve">he reasons </w:t>
      </w:r>
      <w:r w:rsidR="005D6480">
        <w:t xml:space="preserve">for these changes are unknown, there is some concern that market preferences for larger abalone may be the driver. If this is the case, then the concerns are heightened as the increase in catches on some </w:t>
      </w:r>
      <w:proofErr w:type="spellStart"/>
      <w:r w:rsidR="005D6480">
        <w:t>reefcodes</w:t>
      </w:r>
      <w:proofErr w:type="spellEnd"/>
      <w:r w:rsidR="005D6480">
        <w:t xml:space="preserve"> may be unsustainable. </w:t>
      </w:r>
      <w:r w:rsidR="000E20BB">
        <w:t xml:space="preserve">Approaches to improving the understanding of these finer scale changes are required. </w:t>
      </w:r>
    </w:p>
    <w:p w14:paraId="2667820C" w14:textId="22F5F5AE" w:rsidR="000E20BB" w:rsidRDefault="00000000">
      <w:bookmarkStart w:id="383" w:name="_Hlk192769891"/>
      <w:r>
        <w:t xml:space="preserve">It is unequivocal that the spatial extent of the fishery has contracted substantially in the last two decades, and now </w:t>
      </w:r>
      <w:r w:rsidR="00FE0542">
        <w:t xml:space="preserve">concentrates </w:t>
      </w:r>
      <w:r>
        <w:t xml:space="preserve">heavily on shallow water reefs. In </w:t>
      </w:r>
      <w:r w:rsidR="00A96F34">
        <w:t xml:space="preserve">previous </w:t>
      </w:r>
      <w:r>
        <w:t xml:space="preserve">stock assessment reports, uncertainty in the status of these shallow water stocks has required precautionary advice to be provided. </w:t>
      </w:r>
      <w:r w:rsidR="00496AB0">
        <w:t xml:space="preserve">This report provides the strongest evidence to date </w:t>
      </w:r>
      <w:r w:rsidR="00496AB0" w:rsidRPr="001F1654">
        <w:t>that biomass is at least stable and likely recovering</w:t>
      </w:r>
      <w:r w:rsidR="00496AB0">
        <w:t xml:space="preserve">. However, </w:t>
      </w:r>
      <w:r w:rsidR="00496AB0" w:rsidRPr="001F1654">
        <w:t>it should be noted that stocks likely remain well below the conceptual target of biomass at Maximum Sustainable Yield (MSY). It is recommended that the continuation of a precautionary approach be applied by maintaining the TACC at levels that will continue to promote stock recovery under the assumption that recruitment to the stock remains consistent.</w:t>
      </w:r>
      <w:r w:rsidR="00496AB0" w:rsidRPr="00496AB0">
        <w:t xml:space="preserve"> </w:t>
      </w:r>
    </w:p>
    <w:bookmarkEnd w:id="377"/>
    <w:p w14:paraId="33469B42" w14:textId="3E17427F" w:rsidR="00D57D46" w:rsidRDefault="00D57D46">
      <w:r>
        <w:t xml:space="preserve">The 2024/25 quota period has a TACC of 225.1 t. </w:t>
      </w:r>
      <w:r w:rsidR="00153810">
        <w:t xml:space="preserve">Although </w:t>
      </w:r>
      <w:r>
        <w:t xml:space="preserve">data </w:t>
      </w:r>
      <w:r w:rsidR="00153810">
        <w:t xml:space="preserve">for the current 2024/25 quota year </w:t>
      </w:r>
      <w:r>
        <w:t xml:space="preserve">are not presented in this report, it is </w:t>
      </w:r>
      <w:r w:rsidR="00153810">
        <w:t xml:space="preserve">understood </w:t>
      </w:r>
      <w:r>
        <w:t>that the total catch for 2024/25 is likely to be well below the TACC due to unfavourable market conditions.</w:t>
      </w:r>
      <w:r w:rsidR="00153810">
        <w:t xml:space="preserve"> </w:t>
      </w:r>
      <w:r w:rsidR="006B0456">
        <w:t>While these circumstances are unfortunate for the fishery, it is expected that low catches will be positive for the stock</w:t>
      </w:r>
      <w:r w:rsidR="002654EF">
        <w:t>. However, it should be acknowledged that targeted fishing behaviours may affect the assessment of CPUE performance measures (i.e. kg/h and kg/day)</w:t>
      </w:r>
      <w:r w:rsidR="00A95406">
        <w:t xml:space="preserve"> next year</w:t>
      </w:r>
      <w:r w:rsidR="006B0456">
        <w:t>.</w:t>
      </w:r>
      <w:bookmarkEnd w:id="383"/>
      <w:r w:rsidR="006B0456">
        <w:t xml:space="preserve"> </w:t>
      </w:r>
    </w:p>
    <w:p w14:paraId="06998D36" w14:textId="77777777" w:rsidR="00FB0A3F" w:rsidRDefault="00000000">
      <w:pPr>
        <w:pStyle w:val="Heading3"/>
      </w:pPr>
      <w:bookmarkStart w:id="384" w:name="_Toc192777253"/>
      <w:r>
        <w:t>SMU scale</w:t>
      </w:r>
      <w:bookmarkEnd w:id="384"/>
    </w:p>
    <w:p w14:paraId="73D14F12" w14:textId="5955AF83" w:rsidR="006B0456" w:rsidRDefault="006B0456">
      <w:r>
        <w:t xml:space="preserve">Catch at the SMU scale was </w:t>
      </w:r>
      <w:r w:rsidR="00E45F2E">
        <w:t xml:space="preserve">less than 15% from </w:t>
      </w:r>
      <w:r>
        <w:t xml:space="preserve">the OT at all high </w:t>
      </w:r>
      <w:r w:rsidR="00A95406">
        <w:t>producing</w:t>
      </w:r>
      <w:r>
        <w:t xml:space="preserve"> SMUs. While the difference between the total catch and OT was greater than 15% at Prom East, Cliffy Group and </w:t>
      </w:r>
      <w:proofErr w:type="spellStart"/>
      <w:r>
        <w:t>Surfcoast</w:t>
      </w:r>
      <w:proofErr w:type="spellEnd"/>
      <w:r>
        <w:t xml:space="preserve"> SMUs, these are the lowest produc</w:t>
      </w:r>
      <w:r w:rsidR="00A96F34">
        <w:t>ers</w:t>
      </w:r>
      <w:r w:rsidR="00E45F2E">
        <w:t xml:space="preserve"> and the differences in terms of catch </w:t>
      </w:r>
      <w:r w:rsidR="002654EF">
        <w:t xml:space="preserve">to OT </w:t>
      </w:r>
      <w:r w:rsidR="00E45F2E">
        <w:t xml:space="preserve">were each less than 1.4 t. </w:t>
      </w:r>
      <w:r w:rsidR="00B9679F">
        <w:t>While stability in catches at the SMU scale is a positive outcome for the fishery, as discussed above</w:t>
      </w:r>
      <w:r w:rsidR="0016622F">
        <w:t>,</w:t>
      </w:r>
      <w:r w:rsidR="00B9679F">
        <w:t xml:space="preserve"> an improved understanding of the catches within SMUs is required. </w:t>
      </w:r>
    </w:p>
    <w:p w14:paraId="488DE5B0" w14:textId="5A351215" w:rsidR="00FB0A3F" w:rsidRDefault="00000000">
      <w:r>
        <w:t>The evaluation of stock status at the SMU scale involves analysing Performance Indicators and conducting a weight of evidence assessment in comparison to the outputs of the Draft Harvest Strategy. The reduction in number of FIS sites means that a robust analysis of FIS Performance Indicators cannot be undertaken at the SMU scale. Thus, the only SMU Performance Indicators assessed in this report are for CPUE. CPUE remains below 2003/04 levels at all SMUs</w:t>
      </w:r>
      <w:r w:rsidR="00E45F2E">
        <w:t>, and below 2009/10 levels at most SMUs. On a positive note, current CPUE is slightly higher than 2009/10 levels at the Back Beaches (1%), Phillip Island (2%) and Flinders (3%)</w:t>
      </w:r>
      <w:r w:rsidR="00A96F34">
        <w:t>, which is the first time this has occurred</w:t>
      </w:r>
      <w:r w:rsidR="00E45F2E">
        <w:t xml:space="preserve">. </w:t>
      </w:r>
      <w:r w:rsidR="00A96F34">
        <w:t>Further, f</w:t>
      </w:r>
      <w:r w:rsidR="00E45F2E">
        <w:t>our</w:t>
      </w:r>
      <w:r w:rsidR="00B9679F">
        <w:t>-</w:t>
      </w:r>
      <w:r w:rsidR="00BB0AA2">
        <w:t xml:space="preserve">year </w:t>
      </w:r>
      <w:r>
        <w:t xml:space="preserve">comparisons demonstrate </w:t>
      </w:r>
      <w:r w:rsidR="00E45F2E">
        <w:t xml:space="preserve">stable or increasing CPUE at all SMUs. </w:t>
      </w:r>
    </w:p>
    <w:p w14:paraId="69EA455E" w14:textId="77777777" w:rsidR="00A96F34" w:rsidRDefault="00000000">
      <w:r>
        <w:t xml:space="preserve">These </w:t>
      </w:r>
      <w:r w:rsidR="00E45F2E">
        <w:t xml:space="preserve">latter </w:t>
      </w:r>
      <w:r>
        <w:t>results are reflected in optimistic Draft Harvest Strategy outputs</w:t>
      </w:r>
      <w:r w:rsidR="00A96F34">
        <w:t xml:space="preserve"> which are driven by CPUE trends over the last four years</w:t>
      </w:r>
      <w:r w:rsidR="00E45F2E">
        <w:t xml:space="preserve">. </w:t>
      </w:r>
      <w:r>
        <w:t xml:space="preserve">The Back Beaches, Phillip Island and Flinders SMUs each had an “Increasing” Final Category, suggesting that increases in OT could be considered. </w:t>
      </w:r>
      <w:r w:rsidR="00EF6A68">
        <w:t xml:space="preserve">All other SMUs were assessed as “Stable”. </w:t>
      </w:r>
    </w:p>
    <w:p w14:paraId="21383531" w14:textId="3A502337" w:rsidR="00B9679F" w:rsidRDefault="00EF6A68">
      <w:r>
        <w:t xml:space="preserve">The weight of evidence approach supports the </w:t>
      </w:r>
      <w:r w:rsidR="00A96F34">
        <w:t xml:space="preserve">Draft </w:t>
      </w:r>
      <w:r>
        <w:t xml:space="preserve">Harvest Strategy results for the Back Beaches and Phillip Island SMUs. This followed reductions in catch during 2019 of 34% and 21%, respectively. </w:t>
      </w:r>
      <w:r>
        <w:lastRenderedPageBreak/>
        <w:t xml:space="preserve">Importantly, catches at Phillip Island have </w:t>
      </w:r>
      <w:r w:rsidR="0028121D">
        <w:t xml:space="preserve">remained </w:t>
      </w:r>
      <w:r>
        <w:t xml:space="preserve">stable thereafter, while catches at the Back Beaches have only been increased incrementally. </w:t>
      </w:r>
      <w:r w:rsidR="00D64FAC">
        <w:t xml:space="preserve">Maintaining these stable lower catches appears to have assisted stock recovery in recent years. The </w:t>
      </w:r>
      <w:r w:rsidR="0028121D">
        <w:t xml:space="preserve">primary </w:t>
      </w:r>
      <w:r w:rsidR="00D64FAC">
        <w:t xml:space="preserve">concern for these stocks is the change in distribution of the catch at the </w:t>
      </w:r>
      <w:proofErr w:type="spellStart"/>
      <w:r w:rsidR="00D64FAC">
        <w:t>reefcode</w:t>
      </w:r>
      <w:proofErr w:type="spellEnd"/>
      <w:r w:rsidR="00D64FAC">
        <w:t xml:space="preserve"> scale at Phillip Island. Pending </w:t>
      </w:r>
      <w:r w:rsidR="00A96F34">
        <w:t xml:space="preserve">an </w:t>
      </w:r>
      <w:r w:rsidR="00D64FAC">
        <w:t>improved understanding</w:t>
      </w:r>
      <w:r w:rsidR="00A96F34">
        <w:t xml:space="preserve"> of this issue</w:t>
      </w:r>
      <w:r w:rsidR="00D64FAC">
        <w:t xml:space="preserve">, it is recommended that the strategy of maintaining the OT or only allowing small incremental increases in OT be continued to facilitate further </w:t>
      </w:r>
      <w:r w:rsidR="00A96F34">
        <w:t xml:space="preserve">stock </w:t>
      </w:r>
      <w:r w:rsidR="00D64FAC">
        <w:t xml:space="preserve">recovery. </w:t>
      </w:r>
    </w:p>
    <w:p w14:paraId="08E0484B" w14:textId="4A9E5342" w:rsidR="00D64FAC" w:rsidRDefault="00D64FAC">
      <w:r>
        <w:t xml:space="preserve">The indicators at Flinders SMU have been slowly improving but not to the extent of Back Beaches and Phillip Island. The stock clearly remains in a highly depleted state relative to its historic levels, and maintaining the current OT appears to be an appropriate strategy. The weight of evidence for the remaining SMUs supports the Draft Harvest Strategy outputs of maintaining stable OTs. </w:t>
      </w:r>
      <w:r w:rsidR="00B9679F">
        <w:t xml:space="preserve">Again, the </w:t>
      </w:r>
      <w:r>
        <w:t xml:space="preserve">key concern </w:t>
      </w:r>
      <w:r w:rsidR="00B9679F">
        <w:t xml:space="preserve">among the “Stable” SMUs </w:t>
      </w:r>
      <w:r>
        <w:t xml:space="preserve">regards the distribution of catches among some </w:t>
      </w:r>
      <w:proofErr w:type="spellStart"/>
      <w:r>
        <w:t>reefcodes</w:t>
      </w:r>
      <w:proofErr w:type="spellEnd"/>
      <w:r>
        <w:t xml:space="preserve">, particularly Cape Liptrap. </w:t>
      </w:r>
      <w:r w:rsidR="00B9679F">
        <w:t xml:space="preserve">It is not clear whether the high catches in 2023/24 from previously low producing </w:t>
      </w:r>
      <w:proofErr w:type="spellStart"/>
      <w:r w:rsidR="00B9679F">
        <w:t>reefcodes</w:t>
      </w:r>
      <w:proofErr w:type="spellEnd"/>
      <w:r w:rsidR="00B9679F">
        <w:t xml:space="preserve"> is sustainable. Discussions </w:t>
      </w:r>
      <w:r w:rsidR="00A96F34">
        <w:t xml:space="preserve">regarding catch distribution </w:t>
      </w:r>
      <w:r w:rsidR="00B9679F">
        <w:t xml:space="preserve">at the TACC setting forum will be important in determining appropriate OTs for all SMUs. </w:t>
      </w:r>
    </w:p>
    <w:p w14:paraId="1AED4C2B" w14:textId="77777777" w:rsidR="00FB0A3F" w:rsidRDefault="00000000">
      <w:pPr>
        <w:pStyle w:val="Heading2"/>
        <w:ind w:left="709" w:hanging="709"/>
      </w:pPr>
      <w:bookmarkStart w:id="385" w:name="_Toc150423200"/>
      <w:bookmarkStart w:id="386" w:name="_Toc192777254"/>
      <w:r>
        <w:t>Future Monitoring and Research</w:t>
      </w:r>
      <w:bookmarkEnd w:id="385"/>
      <w:bookmarkEnd w:id="386"/>
    </w:p>
    <w:p w14:paraId="019C7B63" w14:textId="31A1A24F" w:rsidR="00252E83" w:rsidRDefault="00000000">
      <w:r>
        <w:t xml:space="preserve">The research, assessment and management framework for the fishery is </w:t>
      </w:r>
      <w:r w:rsidR="00252E83">
        <w:t>evolving, with progress structured through recommendations from the ASWG</w:t>
      </w:r>
      <w:r>
        <w:t xml:space="preserve">. </w:t>
      </w:r>
      <w:r w:rsidR="00252E83">
        <w:t>This report identifies several key issues that should be considered as part of this strategic development.</w:t>
      </w:r>
    </w:p>
    <w:p w14:paraId="1C8FCF8F" w14:textId="62083E9E" w:rsidR="00FB0A3F" w:rsidRDefault="00252E83">
      <w:r>
        <w:t xml:space="preserve">The weight of evidence approach is substantially augmented by the inclusion of analyses of the commercial length frequency data gathered by industry. </w:t>
      </w:r>
      <w:r w:rsidR="005202A5">
        <w:t>For example</w:t>
      </w:r>
      <w:r w:rsidR="00554098">
        <w:t>, increases in the size of abalone harvested may reflect increasing biomass and reduced fishing mortality</w:t>
      </w:r>
      <w:r w:rsidR="005202A5">
        <w:t xml:space="preserve">. Alternatively, </w:t>
      </w:r>
      <w:r w:rsidR="0016622F">
        <w:t xml:space="preserve">it may reflect market preferences, or </w:t>
      </w:r>
      <w:r w:rsidR="005202A5">
        <w:t xml:space="preserve">increases in the average size harvested can also occur if recruitment to the fishery is declining. </w:t>
      </w:r>
      <w:r w:rsidR="0016622F">
        <w:t>While it is acknowledged that markets forces are providing incentive for the harvest of larger abalone, w</w:t>
      </w:r>
      <w:r w:rsidR="005202A5">
        <w:t>hen considering all available</w:t>
      </w:r>
      <w:r w:rsidR="009654A4">
        <w:t xml:space="preserve"> data</w:t>
      </w:r>
      <w:r w:rsidR="005202A5">
        <w:t xml:space="preserve">, the increases in size are considered to </w:t>
      </w:r>
      <w:r w:rsidR="0016622F">
        <w:t xml:space="preserve">largely reflect increasing biomass </w:t>
      </w:r>
      <w:r w:rsidR="005202A5">
        <w:t xml:space="preserve">because CPUE </w:t>
      </w:r>
      <w:r w:rsidR="009654A4">
        <w:t xml:space="preserve">has increased incrementally </w:t>
      </w:r>
      <w:r w:rsidR="00900000">
        <w:t xml:space="preserve">for at least 4 years </w:t>
      </w:r>
      <w:r w:rsidR="005202A5">
        <w:t xml:space="preserve">and data from the FIS in 2023 suggest that recent recruitment may have increased (albeit with high uncertainty). Considering all data sources in this weight of evidence </w:t>
      </w:r>
      <w:r w:rsidR="0016622F">
        <w:t xml:space="preserve">manner </w:t>
      </w:r>
      <w:r w:rsidR="005202A5">
        <w:t xml:space="preserve">clearly provides a better basis for </w:t>
      </w:r>
      <w:r w:rsidR="00FB74B3">
        <w:t xml:space="preserve">the </w:t>
      </w:r>
      <w:r w:rsidR="005202A5">
        <w:t xml:space="preserve">assessment </w:t>
      </w:r>
      <w:r w:rsidR="00FB74B3">
        <w:t xml:space="preserve">of stock status </w:t>
      </w:r>
      <w:r w:rsidR="005202A5">
        <w:t xml:space="preserve">than any single measure. Of concern, </w:t>
      </w:r>
      <w:r>
        <w:t>the number of participants in th</w:t>
      </w:r>
      <w:r w:rsidR="00B825D7">
        <w:t>is</w:t>
      </w:r>
      <w:r>
        <w:t xml:space="preserve"> </w:t>
      </w:r>
      <w:r w:rsidR="00B825D7">
        <w:t xml:space="preserve">data logger </w:t>
      </w:r>
      <w:r>
        <w:t>program has declined</w:t>
      </w:r>
      <w:r w:rsidR="005202A5">
        <w:t xml:space="preserve"> in recent years</w:t>
      </w:r>
      <w:r>
        <w:t xml:space="preserve">, and </w:t>
      </w:r>
      <w:r w:rsidR="005202A5">
        <w:t xml:space="preserve">thus </w:t>
      </w:r>
      <w:r>
        <w:t xml:space="preserve">all efforts should be made to improve the representativeness of the data gathered and to develop approaches to </w:t>
      </w:r>
      <w:r w:rsidR="005202A5">
        <w:t xml:space="preserve">formally </w:t>
      </w:r>
      <w:r>
        <w:t xml:space="preserve">integrate these data into the assessment process. </w:t>
      </w:r>
    </w:p>
    <w:p w14:paraId="611636ED" w14:textId="06555B68" w:rsidR="00252E83" w:rsidRDefault="00252E83">
      <w:r>
        <w:t xml:space="preserve">This report has highlighted a </w:t>
      </w:r>
      <w:r w:rsidR="0028121D">
        <w:t xml:space="preserve">need to improve </w:t>
      </w:r>
      <w:r>
        <w:t xml:space="preserve">the scale of the current assessment approach. While </w:t>
      </w:r>
      <w:r w:rsidR="00554098">
        <w:t xml:space="preserve">the overall </w:t>
      </w:r>
      <w:r>
        <w:t xml:space="preserve">catches at </w:t>
      </w:r>
      <w:r w:rsidR="008D024B">
        <w:t xml:space="preserve">the </w:t>
      </w:r>
      <w:r>
        <w:t>SMU</w:t>
      </w:r>
      <w:r w:rsidR="00DC03BE">
        <w:t xml:space="preserve"> scale</w:t>
      </w:r>
      <w:r>
        <w:t xml:space="preserve"> were closer to their OTs than in any recent year, </w:t>
      </w:r>
      <w:r w:rsidR="00554098">
        <w:t xml:space="preserve">there were </w:t>
      </w:r>
      <w:r>
        <w:t xml:space="preserve">substantial changes in the distribution of the catch among </w:t>
      </w:r>
      <w:r w:rsidR="00554098">
        <w:t xml:space="preserve">some </w:t>
      </w:r>
      <w:proofErr w:type="spellStart"/>
      <w:r>
        <w:t>reefcodes</w:t>
      </w:r>
      <w:proofErr w:type="spellEnd"/>
      <w:r>
        <w:t>.</w:t>
      </w:r>
      <w:r w:rsidR="00554098">
        <w:t xml:space="preserve"> Detailed examination of all available data should be considered for </w:t>
      </w:r>
      <w:proofErr w:type="spellStart"/>
      <w:r w:rsidR="00554098">
        <w:t>reefcodes</w:t>
      </w:r>
      <w:proofErr w:type="spellEnd"/>
      <w:r w:rsidR="00554098">
        <w:t xml:space="preserve"> of potential concern. </w:t>
      </w:r>
      <w:r w:rsidR="00DC03BE">
        <w:t xml:space="preserve">For example, commercial length frequency data may provide an insight into whether targeting of larger abalone is occurring. Changes in the size distribution of the catch may also aid inferences on sustainability. It may also be worth examining the potential for assessing CPUE at the </w:t>
      </w:r>
      <w:proofErr w:type="spellStart"/>
      <w:r w:rsidR="00DC03BE">
        <w:t>reefcode</w:t>
      </w:r>
      <w:proofErr w:type="spellEnd"/>
      <w:r w:rsidR="00DC03BE">
        <w:t xml:space="preserve"> scale using the </w:t>
      </w:r>
      <w:r w:rsidR="00A97E90">
        <w:t xml:space="preserve">revised </w:t>
      </w:r>
      <w:r w:rsidR="00DC03BE">
        <w:t xml:space="preserve">CPUE standardisation model. </w:t>
      </w:r>
      <w:r w:rsidR="00554098">
        <w:t xml:space="preserve"> </w:t>
      </w:r>
      <w:r>
        <w:t xml:space="preserve"> </w:t>
      </w:r>
    </w:p>
    <w:p w14:paraId="16267D9C" w14:textId="1449EE40" w:rsidR="00252E83" w:rsidRDefault="00A97E90">
      <w:r>
        <w:t>While the Draft Harvest Strategy out</w:t>
      </w:r>
      <w:r w:rsidR="009654A4">
        <w:t>put</w:t>
      </w:r>
      <w:r>
        <w:t xml:space="preserve">s were largely supported by the weight of evidence outcomes, changes to the CPUE standardisation model and comparison of nominal and standardised reference points in this years’ report highlight the urgent need for review of the Reference Points. In particular, the period from which the Reference Points are calculated needs to be reconsidered. </w:t>
      </w:r>
      <w:r w:rsidR="004B3B88">
        <w:t>While the Draft Harvest Strategy remains limited by its reliance on CPUE data, this situation is unlikely to change until improved performance measures are developed.</w:t>
      </w:r>
    </w:p>
    <w:p w14:paraId="759959D5" w14:textId="1738710B" w:rsidR="00A97E90" w:rsidRDefault="004B3B88">
      <w:r>
        <w:t xml:space="preserve">A tender process is currently underway for the establishment of new FIS survey sites in shallow water reefs that reflect the recent fishery footprint. The establishment of new survey sites and the development of a fishery-independent biomass measure that integrates data from new sites </w:t>
      </w:r>
      <w:r>
        <w:lastRenderedPageBreak/>
        <w:t xml:space="preserve">combined with data from previously established sites with a long research history, remains a high priority. </w:t>
      </w:r>
    </w:p>
    <w:p w14:paraId="03FB003A" w14:textId="61131B63" w:rsidR="00FB0A3F" w:rsidRDefault="00000000">
      <w:r>
        <w:t xml:space="preserve">The FIS review undertaken in 2023 was the first formal approach at utilising VMS spatial effort data for the fishery. As with the commercial logger data above, </w:t>
      </w:r>
      <w:r w:rsidR="009654A4">
        <w:t xml:space="preserve">developing </w:t>
      </w:r>
      <w:r>
        <w:t xml:space="preserve">ways to integrate these data into the assessment process is a high priority for </w:t>
      </w:r>
      <w:r w:rsidR="009654A4">
        <w:t>the Central Zone</w:t>
      </w:r>
      <w:r>
        <w:t xml:space="preserve">. </w:t>
      </w:r>
    </w:p>
    <w:p w14:paraId="4B63117F" w14:textId="77777777" w:rsidR="00FB0A3F" w:rsidRDefault="00000000">
      <w:pPr>
        <w:pStyle w:val="Heading1"/>
        <w:numPr>
          <w:ilvl w:val="0"/>
          <w:numId w:val="10"/>
        </w:numPr>
      </w:pPr>
      <w:bookmarkStart w:id="387" w:name="_Toc98408373"/>
      <w:bookmarkStart w:id="388" w:name="_Toc192777255"/>
      <w:bookmarkStart w:id="389" w:name="references"/>
      <w:bookmarkEnd w:id="328"/>
      <w:r>
        <w:t>References</w:t>
      </w:r>
      <w:bookmarkEnd w:id="387"/>
      <w:bookmarkEnd w:id="388"/>
    </w:p>
    <w:p w14:paraId="32A3199E" w14:textId="77777777" w:rsidR="00FB0A3F" w:rsidRDefault="00000000">
      <w:bookmarkStart w:id="390" w:name="ref-DEDJTR2015"/>
      <w:bookmarkStart w:id="391" w:name="refs"/>
      <w:r>
        <w:t>Burnell, O., Mayfield, S., and Bailleul, F. (2020). Assessment of the Central Zone Abalone (</w:t>
      </w:r>
      <w:proofErr w:type="spellStart"/>
      <w:r>
        <w:t>Haliotis</w:t>
      </w:r>
      <w:proofErr w:type="spellEnd"/>
      <w:r>
        <w:t xml:space="preserve"> laevigata &amp; H. rubra) Fishery in 2019. Report to PIRSA Fisheries and Aquaculture. South Australian Research and Development Institute (Aquatic Sciences), Adelaide. SARDI Publication No. F2007/000611-11. SARDI Research Report Series No. 1078. 62pp. </w:t>
      </w:r>
    </w:p>
    <w:p w14:paraId="361A8C21" w14:textId="77777777" w:rsidR="00FB0A3F" w:rsidRDefault="00000000">
      <w:r>
        <w:t xml:space="preserve">Daume, S, Hartmann, K and Brand-Gardner, S. (2022). Western Australian Abalone Fishery. Public Certification Report. First Re-assessment. October 2022. </w:t>
      </w:r>
      <w:hyperlink r:id="rId73" w:history="1">
        <w:r>
          <w:rPr>
            <w:rStyle w:val="Hyperlink"/>
          </w:rPr>
          <w:t>https://cert.msc.org/FileLoader/FileLinkDownload.asmx/GetFile?encryptedKey=Ih6ZdaU2HT27++VYrZCd3J457PVTQCDZFrEQ6ooDj0LkJpcslkS+XHF6UnFliYA4</w:t>
        </w:r>
      </w:hyperlink>
    </w:p>
    <w:p w14:paraId="337E9DA3" w14:textId="77777777" w:rsidR="00FB0A3F" w:rsidRDefault="00000000">
      <w:r>
        <w:t>DEDJTR. 2015. “Victorian wild harvest fishery management plan – 2014.” Melbourne: Department of Environment; Primary Industries.</w:t>
      </w:r>
    </w:p>
    <w:p w14:paraId="1B725347" w14:textId="77777777" w:rsidR="00FB0A3F" w:rsidRDefault="00000000">
      <w:bookmarkStart w:id="392" w:name="ref-DixonDichmont2019"/>
      <w:bookmarkEnd w:id="390"/>
      <w:r>
        <w:t>Dichmont, C.M, Dixon, C.D., and Potts, J. (2022). Developing a new CPUE standardisation for the Central and Eastern Zones of the Victorian Abalone Fishery. MRAG Asia Pacific, Brisbane, Australia.</w:t>
      </w:r>
    </w:p>
    <w:p w14:paraId="0BF19533" w14:textId="77777777" w:rsidR="00FB0A3F" w:rsidRDefault="00000000">
      <w:r>
        <w:t xml:space="preserve">Dixon, C.D. and Day, R.W. (2004). Growth responses in emergent </w:t>
      </w:r>
      <w:proofErr w:type="spellStart"/>
      <w:r>
        <w:t>greenlip</w:t>
      </w:r>
      <w:proofErr w:type="spellEnd"/>
      <w:r>
        <w:t xml:space="preserve"> abalone to density reductions and translocations. Journal of Shellfish Research. 23: 1223–1228.</w:t>
      </w:r>
    </w:p>
    <w:p w14:paraId="4DF5872A" w14:textId="77777777" w:rsidR="00FB0A3F" w:rsidRDefault="00000000">
      <w:r>
        <w:t>Dixon, C., and C. Dichmont. 2019. “2018/19 Draft Stock Assessment for the Central Zone of the Victorian Abalone Fishery.” MRAG Asia Pacific.</w:t>
      </w:r>
    </w:p>
    <w:p w14:paraId="5F4F3497" w14:textId="77777777" w:rsidR="00FB0A3F" w:rsidRDefault="00000000">
      <w:r>
        <w:t>Dixon, C., Potts, J., and C. Dichmont. 2021. “2019/20 Draft Stock Assessment for the Central Zone of the Victorian Abalone Fishery.” MRAG Asia Pacific.</w:t>
      </w:r>
    </w:p>
    <w:p w14:paraId="7CA178FE" w14:textId="77777777" w:rsidR="00FB0A3F" w:rsidRDefault="00000000">
      <w:bookmarkStart w:id="393" w:name="ref-GiriGorfine2018"/>
      <w:bookmarkEnd w:id="392"/>
      <w:r>
        <w:t>Dixon, C., Potts, J., and C. Dichmont. 2022a. “2020/21 Draft Stock Assessment for the Central Zone of the Victorian Abalone Fishery.” MRAG Asia Pacific.</w:t>
      </w:r>
    </w:p>
    <w:p w14:paraId="59AB96F1" w14:textId="77777777" w:rsidR="00FB0A3F" w:rsidRDefault="00000000">
      <w:r>
        <w:t>Dixon, C.D., Potts, J. and Dichmont, C.M. 2022b. Assessment of the Central and Eastern Zones of the Victorian Abalone Fishery 2019/20 to 2021/22. Final Report. MRAG Asia Pacific, Brisbane, Australia.</w:t>
      </w:r>
    </w:p>
    <w:p w14:paraId="26CA8055" w14:textId="77777777" w:rsidR="00FB0A3F" w:rsidRDefault="00000000">
      <w:r>
        <w:t xml:space="preserve">Giri, K., and H. Gorfine. 2018. “Application of a mixed modelling approach to standardize catch-per-unit-effort data for an abalone dive fishery in Western Victoria, Australia.” </w:t>
      </w:r>
      <w:r>
        <w:rPr>
          <w:i/>
          <w:iCs/>
        </w:rPr>
        <w:t>Journal of the Marine Biological Association of the United Kingdom</w:t>
      </w:r>
      <w:r>
        <w:t>, 1–9.</w:t>
      </w:r>
    </w:p>
    <w:p w14:paraId="41A9FC1E" w14:textId="77777777" w:rsidR="00FB0A3F" w:rsidRDefault="00000000">
      <w:bookmarkStart w:id="394" w:name="ref-Mayfield2012"/>
      <w:bookmarkEnd w:id="393"/>
      <w:r>
        <w:t>Gorfine, H., Taylor, B., and Smith D.C. (2008). Abalone ‐ 2001. Fisheries Victoria, Assessment Report Series No. 43.</w:t>
      </w:r>
    </w:p>
    <w:p w14:paraId="3139F06D" w14:textId="77777777" w:rsidR="00FB0A3F" w:rsidRDefault="00000000">
      <w:proofErr w:type="spellStart"/>
      <w:r>
        <w:t>Huchette</w:t>
      </w:r>
      <w:proofErr w:type="spellEnd"/>
      <w:r>
        <w:t xml:space="preserve"> S., Dixon C.D., Day R.W. and Shepherd S.A. (2005). Density-dependent growth of juvenile </w:t>
      </w:r>
      <w:proofErr w:type="spellStart"/>
      <w:r>
        <w:t>greenlip</w:t>
      </w:r>
      <w:proofErr w:type="spellEnd"/>
      <w:r>
        <w:t xml:space="preserve"> abalone (H. laevigata Donovan) in their natural habitat in Australia. In: Richard, G. (ed) Proceedings, 3rd international congress of European malacological societies. p 91.</w:t>
      </w:r>
    </w:p>
    <w:p w14:paraId="16C96429" w14:textId="77777777" w:rsidR="00FB0A3F" w:rsidRDefault="00000000">
      <w:r>
        <w:t xml:space="preserve">Mayfield, S., C. Mundy, H. Gorfine, A. Hart, and D Worthington. 2012. “Fifty years of sustained production from the Australian abalone fisheries.” </w:t>
      </w:r>
      <w:r>
        <w:rPr>
          <w:i/>
          <w:iCs/>
        </w:rPr>
        <w:t>Reviews in Fisheries Science</w:t>
      </w:r>
      <w:r>
        <w:t xml:space="preserve"> 20: 220–50.</w:t>
      </w:r>
    </w:p>
    <w:p w14:paraId="47143536" w14:textId="77777777" w:rsidR="00FB0A3F" w:rsidRDefault="00000000">
      <w:bookmarkStart w:id="395" w:name="ref-Miner2006"/>
      <w:bookmarkEnd w:id="394"/>
      <w:r>
        <w:t xml:space="preserve">Miner, C. M., J. M. Altstatt, P. T. Raimondi, and T. E. </w:t>
      </w:r>
      <w:proofErr w:type="spellStart"/>
      <w:r>
        <w:t>Minchinton</w:t>
      </w:r>
      <w:proofErr w:type="spellEnd"/>
      <w:r>
        <w:t xml:space="preserve">. 2006. “Recruitment failure and shifts in community structure following mass mortality limit recovery prospects of black abalone.” </w:t>
      </w:r>
      <w:r>
        <w:rPr>
          <w:i/>
          <w:iCs/>
        </w:rPr>
        <w:t>Marine Ecology Progress Series</w:t>
      </w:r>
      <w:r>
        <w:t xml:space="preserve"> 327: 107–17.</w:t>
      </w:r>
    </w:p>
    <w:p w14:paraId="6D4A3AEC" w14:textId="77777777" w:rsidR="00FB0A3F" w:rsidRDefault="00000000">
      <w:bookmarkStart w:id="396" w:name="ref-Mundy2017"/>
      <w:bookmarkEnd w:id="395"/>
      <w:r>
        <w:lastRenderedPageBreak/>
        <w:t>Mundy, C., and H. Jones. 2017. “Tasmanian abalone fishery assessment 2016.” Institute for Marine; Antarctic Studies, Hobart. MRAG 2019. Draft Stock Assessment for the Central Zone of the Victorian Abalone Fishery 2018/19.</w:t>
      </w:r>
    </w:p>
    <w:p w14:paraId="53C35590" w14:textId="65AE2330" w:rsidR="00FB0A3F" w:rsidRDefault="00000000">
      <w:r>
        <w:t>Mundy, C., R. Chick, B. Stobart, VFA</w:t>
      </w:r>
      <w:r w:rsidR="00AC7202">
        <w:t>,</w:t>
      </w:r>
      <w:r>
        <w:t xml:space="preserve"> L. Strain</w:t>
      </w:r>
      <w:r w:rsidR="00AC7202">
        <w:t xml:space="preserve"> and O. Burnell</w:t>
      </w:r>
      <w:r>
        <w:t>. 202</w:t>
      </w:r>
      <w:r w:rsidR="00AC7202">
        <w:t>4</w:t>
      </w:r>
      <w:r>
        <w:t>. “</w:t>
      </w:r>
      <w:proofErr w:type="spellStart"/>
      <w:r>
        <w:t>Blacklip</w:t>
      </w:r>
      <w:proofErr w:type="spellEnd"/>
      <w:r>
        <w:t xml:space="preserve"> abalone </w:t>
      </w:r>
      <w:proofErr w:type="spellStart"/>
      <w:r>
        <w:rPr>
          <w:i/>
          <w:iCs/>
        </w:rPr>
        <w:t>Haliotis</w:t>
      </w:r>
      <w:proofErr w:type="spellEnd"/>
      <w:r>
        <w:rPr>
          <w:i/>
          <w:iCs/>
        </w:rPr>
        <w:t xml:space="preserve"> rubra </w:t>
      </w:r>
      <w:proofErr w:type="spellStart"/>
      <w:r>
        <w:rPr>
          <w:i/>
          <w:iCs/>
        </w:rPr>
        <w:t>rubra</w:t>
      </w:r>
      <w:proofErr w:type="spellEnd"/>
      <w:r>
        <w:t>”</w:t>
      </w:r>
      <w:r w:rsidR="00AC7202">
        <w:t>,</w:t>
      </w:r>
      <w:r>
        <w:t xml:space="preserve"> </w:t>
      </w:r>
      <w:r w:rsidR="00AC7202" w:rsidRPr="00AC7202">
        <w:t xml:space="preserve">in Anthony Roelofs, Toby </w:t>
      </w:r>
      <w:proofErr w:type="spellStart"/>
      <w:r w:rsidR="00AC7202" w:rsidRPr="00AC7202">
        <w:t>Piddocke</w:t>
      </w:r>
      <w:proofErr w:type="spellEnd"/>
      <w:r w:rsidR="00AC7202" w:rsidRPr="00AC7202">
        <w:t xml:space="preserve">, Crispian Ashby, Simon Conron, </w:t>
      </w:r>
      <w:proofErr w:type="spellStart"/>
      <w:r w:rsidR="00AC7202" w:rsidRPr="00AC7202">
        <w:t>Klaas</w:t>
      </w:r>
      <w:proofErr w:type="spellEnd"/>
      <w:r w:rsidR="00AC7202" w:rsidRPr="00AC7202">
        <w:t xml:space="preserve"> Hartmann, Alex Hesp, Patrick Hone, Ian Jacobsen, Marlee Jesson-Kerr, Stephen Mayfield, John Stewart, Michael Usher, James Woodhams and Daniel Wright (eds) 2024, Status of Australian Fish Stocks Reports 2024, Fisheries Research and Development Corporation, Canberra.</w:t>
      </w:r>
    </w:p>
    <w:p w14:paraId="07B64976" w14:textId="77777777" w:rsidR="00FB0A3F" w:rsidRDefault="00000000">
      <w:r>
        <w:t xml:space="preserve">Mundy, C and McAllister, J. (2022). Tasmanian Abalone Fishery Assessment 2021. University of Tasmania. IMAS. </w:t>
      </w:r>
    </w:p>
    <w:p w14:paraId="772CE6AA" w14:textId="77777777" w:rsidR="00FB0A3F" w:rsidRDefault="00000000">
      <w:bookmarkStart w:id="397" w:name="ref-VFA2018"/>
      <w:bookmarkEnd w:id="396"/>
      <w:r>
        <w:t>VFA. 2018. “2017/18 Draft Victorian Abalone Stock Assessment – Central Zone.”</w:t>
      </w:r>
    </w:p>
    <w:p w14:paraId="109A0DCF" w14:textId="77777777" w:rsidR="00FB0A3F" w:rsidRDefault="00000000">
      <w:bookmarkStart w:id="398" w:name="ref-VFA2019b"/>
      <w:bookmarkEnd w:id="397"/>
      <w:r>
        <w:t>VFA. 2019a. “Victorian Abalone - Methods used for fishery assessment, Version 1.4 30 June 2019.”</w:t>
      </w:r>
    </w:p>
    <w:p w14:paraId="01107008" w14:textId="77777777" w:rsidR="00FB0A3F" w:rsidRDefault="00000000">
      <w:r>
        <w:t xml:space="preserve">VFA. 2019b. “Draft Harvest Strategy Victorian Central and Eastern Zone </w:t>
      </w:r>
      <w:proofErr w:type="spellStart"/>
      <w:r>
        <w:t>Blacklip</w:t>
      </w:r>
      <w:proofErr w:type="spellEnd"/>
      <w:r>
        <w:t xml:space="preserve"> Abalone Fishery. Draft Version 2. VFA, February 2019.”</w:t>
      </w:r>
    </w:p>
    <w:bookmarkEnd w:id="389"/>
    <w:bookmarkEnd w:id="391"/>
    <w:bookmarkEnd w:id="398"/>
    <w:p w14:paraId="6EA68E5D" w14:textId="77777777" w:rsidR="00FB0A3F" w:rsidRDefault="00000000">
      <w:pPr>
        <w:spacing w:before="0" w:after="160" w:line="259" w:lineRule="auto"/>
      </w:pPr>
      <w:r>
        <w:br w:type="page"/>
      </w:r>
    </w:p>
    <w:p w14:paraId="06B06D1E" w14:textId="77777777" w:rsidR="00FB0A3F" w:rsidRDefault="00000000">
      <w:pPr>
        <w:pStyle w:val="Heading1"/>
        <w:numPr>
          <w:ilvl w:val="0"/>
          <w:numId w:val="11"/>
        </w:numPr>
        <w:ind w:left="431" w:hanging="431"/>
      </w:pPr>
      <w:bookmarkStart w:id="399" w:name="_Toc192777256"/>
      <w:r>
        <w:lastRenderedPageBreak/>
        <w:t>Appendices</w:t>
      </w:r>
      <w:bookmarkEnd w:id="399"/>
    </w:p>
    <w:p w14:paraId="5F5A28C7" w14:textId="77777777" w:rsidR="009F5FEE" w:rsidRPr="009F5FEE" w:rsidRDefault="009F5FEE" w:rsidP="009F5FEE">
      <w:pPr>
        <w:pStyle w:val="ListParagraph"/>
        <w:keepNext/>
        <w:keepLines/>
        <w:numPr>
          <w:ilvl w:val="0"/>
          <w:numId w:val="1"/>
        </w:numPr>
        <w:spacing w:before="240"/>
        <w:contextualSpacing w:val="0"/>
        <w:outlineLvl w:val="0"/>
        <w:rPr>
          <w:rFonts w:asciiTheme="majorHAnsi" w:eastAsiaTheme="majorEastAsia" w:hAnsiTheme="majorHAnsi" w:cstheme="minorHAnsi"/>
          <w:vanish/>
          <w:color w:val="2E74B5" w:themeColor="accent1" w:themeShade="BF"/>
          <w:sz w:val="32"/>
          <w:szCs w:val="32"/>
          <w:lang w:val="en-US"/>
        </w:rPr>
      </w:pPr>
      <w:bookmarkStart w:id="400" w:name="_Toc192575639"/>
      <w:bookmarkStart w:id="401" w:name="_Toc192575793"/>
      <w:bookmarkStart w:id="402" w:name="_Toc192777257"/>
      <w:bookmarkStart w:id="403" w:name="_Toc150423206"/>
      <w:bookmarkEnd w:id="400"/>
      <w:bookmarkEnd w:id="401"/>
      <w:bookmarkEnd w:id="402"/>
    </w:p>
    <w:p w14:paraId="147D0D40" w14:textId="77777777" w:rsidR="009F5FEE" w:rsidRPr="009F5FEE" w:rsidRDefault="009F5FEE" w:rsidP="009F5FEE">
      <w:pPr>
        <w:pStyle w:val="ListParagraph"/>
        <w:keepNext/>
        <w:keepLines/>
        <w:numPr>
          <w:ilvl w:val="0"/>
          <w:numId w:val="1"/>
        </w:numPr>
        <w:spacing w:before="240"/>
        <w:contextualSpacing w:val="0"/>
        <w:outlineLvl w:val="0"/>
        <w:rPr>
          <w:rFonts w:asciiTheme="majorHAnsi" w:eastAsiaTheme="majorEastAsia" w:hAnsiTheme="majorHAnsi" w:cstheme="minorHAnsi"/>
          <w:vanish/>
          <w:color w:val="2E74B5" w:themeColor="accent1" w:themeShade="BF"/>
          <w:sz w:val="32"/>
          <w:szCs w:val="32"/>
          <w:lang w:val="en-US"/>
        </w:rPr>
      </w:pPr>
      <w:bookmarkStart w:id="404" w:name="_Toc192575640"/>
      <w:bookmarkStart w:id="405" w:name="_Toc192575794"/>
      <w:bookmarkStart w:id="406" w:name="_Toc192777258"/>
      <w:bookmarkEnd w:id="404"/>
      <w:bookmarkEnd w:id="405"/>
      <w:bookmarkEnd w:id="406"/>
    </w:p>
    <w:p w14:paraId="316556F0" w14:textId="20DB3495" w:rsidR="00FB0A3F" w:rsidRDefault="00000000" w:rsidP="009F5FEE">
      <w:pPr>
        <w:pStyle w:val="Heading2"/>
      </w:pPr>
      <w:bookmarkStart w:id="407" w:name="_Toc192777259"/>
      <w:r>
        <w:t xml:space="preserve">Appendix </w:t>
      </w:r>
      <w:r w:rsidR="009F5FEE">
        <w:t>1</w:t>
      </w:r>
      <w:r>
        <w:t>: FIS length frequency data for (a) all sites and (b) Top 15 sites at each SMU</w:t>
      </w:r>
      <w:bookmarkEnd w:id="403"/>
      <w:r>
        <w:t xml:space="preserve"> where FIS were conducted historically.</w:t>
      </w:r>
      <w:bookmarkEnd w:id="40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FB0A3F" w14:paraId="1BE3F9EB" w14:textId="77777777" w:rsidTr="009F5FEE">
        <w:tc>
          <w:tcPr>
            <w:tcW w:w="9026" w:type="dxa"/>
            <w:gridSpan w:val="2"/>
          </w:tcPr>
          <w:p w14:paraId="17C509DC" w14:textId="77777777" w:rsidR="00FB0A3F" w:rsidRDefault="00000000" w:rsidP="009F5FEE">
            <w:pPr>
              <w:pStyle w:val="Caption"/>
              <w:spacing w:before="0" w:after="0"/>
            </w:pPr>
            <w:bookmarkStart w:id="408" w:name="_Toc192777311"/>
            <w:bookmarkStart w:id="409" w:name="_Toc149571911"/>
            <w:r>
              <w:rPr>
                <w:color w:val="auto"/>
              </w:rPr>
              <w:t>Size frequency distributions for the Cape Otway SMU from (A) 2003 to 2021 for all sites and (B) from 2003 to 2023 for the four Top 15 sites. Black bars represent undersize abalone, grey bars represent (current) legal size abalone. FIS data were not collected in 2022. Note scales differ slightly.</w:t>
            </w:r>
            <w:bookmarkEnd w:id="408"/>
            <w:r>
              <w:t xml:space="preserve">                    </w:t>
            </w:r>
          </w:p>
          <w:p w14:paraId="7D17FA23" w14:textId="77777777" w:rsidR="00FB0A3F" w:rsidRDefault="00000000" w:rsidP="009F5FEE">
            <w:pPr>
              <w:pStyle w:val="Caption"/>
              <w:spacing w:before="0" w:after="0"/>
              <w:rPr>
                <w:i w:val="0"/>
                <w:iCs w:val="0"/>
              </w:rPr>
            </w:pPr>
            <w:r>
              <w:t xml:space="preserve">                                                                                                             </w:t>
            </w:r>
            <w:bookmarkStart w:id="410" w:name="_Toc161910254"/>
            <w:bookmarkStart w:id="411" w:name="_Toc192777312"/>
            <w:r>
              <w:rPr>
                <w:i w:val="0"/>
                <w:color w:val="auto"/>
                <w:sz w:val="22"/>
                <w:szCs w:val="22"/>
              </w:rPr>
              <w:t>(A)</w:t>
            </w:r>
            <w:bookmarkEnd w:id="409"/>
            <w:bookmarkEnd w:id="410"/>
            <w:bookmarkEnd w:id="411"/>
          </w:p>
        </w:tc>
      </w:tr>
      <w:tr w:rsidR="00FB0A3F" w14:paraId="1005F9F2" w14:textId="77777777" w:rsidTr="009F5F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9" w:type="dxa"/>
            <w:tcBorders>
              <w:top w:val="nil"/>
              <w:left w:val="nil"/>
              <w:bottom w:val="nil"/>
              <w:right w:val="nil"/>
            </w:tcBorders>
          </w:tcPr>
          <w:p w14:paraId="13F760C0" w14:textId="77777777" w:rsidR="00FB0A3F" w:rsidRDefault="00000000">
            <w:r>
              <w:rPr>
                <w:noProof/>
              </w:rPr>
              <w:drawing>
                <wp:inline distT="0" distB="0" distL="0" distR="0" wp14:anchorId="225E2A15" wp14:editId="4D5FC459">
                  <wp:extent cx="2723071" cy="3404717"/>
                  <wp:effectExtent l="0" t="0" r="1270" b="5715"/>
                  <wp:docPr id="657812217" name="Picture" descr="Figure 6: Size frequency distributions for the Cape Otway SMU from 2003 to 2010. Black bars represent undersize abalone, grey bars represent legal size abalone, dark grey bar is where LML (123 mm) crosses the size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812217" name="Picture" descr="Figure 6: Size frequency distributions for the Cape Otway SMU from 2003 to 2010. Black bars represent undersize abalone, grey bars represent legal size abalone, dark grey bar is where LML (123 mm) crosses the size category."/>
                          <pic:cNvPicPr>
                            <a:picLocks noChangeAspect="1" noChangeArrowheads="1"/>
                          </pic:cNvPicPr>
                        </pic:nvPicPr>
                        <pic:blipFill>
                          <a:blip r:embed="rId74"/>
                          <a:stretch>
                            <a:fillRect/>
                          </a:stretch>
                        </pic:blipFill>
                        <pic:spPr>
                          <a:xfrm>
                            <a:off x="0" y="0"/>
                            <a:ext cx="2725879" cy="3408228"/>
                          </a:xfrm>
                          <a:prstGeom prst="rect">
                            <a:avLst/>
                          </a:prstGeom>
                          <a:noFill/>
                          <a:ln w="9525">
                            <a:noFill/>
                          </a:ln>
                        </pic:spPr>
                      </pic:pic>
                    </a:graphicData>
                  </a:graphic>
                </wp:inline>
              </w:drawing>
            </w:r>
          </w:p>
        </w:tc>
        <w:tc>
          <w:tcPr>
            <w:tcW w:w="4517" w:type="dxa"/>
            <w:tcBorders>
              <w:top w:val="nil"/>
              <w:left w:val="nil"/>
              <w:bottom w:val="nil"/>
              <w:right w:val="nil"/>
            </w:tcBorders>
          </w:tcPr>
          <w:p w14:paraId="144757F4" w14:textId="77777777" w:rsidR="00FB0A3F" w:rsidRDefault="00000000">
            <w:r>
              <w:rPr>
                <w:noProof/>
              </w:rPr>
              <w:drawing>
                <wp:inline distT="0" distB="0" distL="0" distR="0" wp14:anchorId="219D851C" wp14:editId="53F5FE75">
                  <wp:extent cx="2729345" cy="3412562"/>
                  <wp:effectExtent l="0" t="0" r="0" b="0"/>
                  <wp:docPr id="228057813" name="Picture" descr="Figure 7: Size frequency distributions for the Cape Otway SMU from 2011 to 2019. Black bars represent undersize abalone, grey bars represent legal size abalone, dark grey bar is where LML (123 mm) crosses the size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057813" name="Picture" descr="Figure 7: Size frequency distributions for the Cape Otway SMU from 2011 to 2019. Black bars represent undersize abalone, grey bars represent legal size abalone, dark grey bar is where LML (123 mm) crosses the size category."/>
                          <pic:cNvPicPr>
                            <a:picLocks noChangeAspect="1" noChangeArrowheads="1"/>
                          </pic:cNvPicPr>
                        </pic:nvPicPr>
                        <pic:blipFill>
                          <a:blip r:embed="rId75"/>
                          <a:stretch>
                            <a:fillRect/>
                          </a:stretch>
                        </pic:blipFill>
                        <pic:spPr>
                          <a:xfrm>
                            <a:off x="0" y="0"/>
                            <a:ext cx="2731845" cy="3415688"/>
                          </a:xfrm>
                          <a:prstGeom prst="rect">
                            <a:avLst/>
                          </a:prstGeom>
                          <a:noFill/>
                          <a:ln w="9525">
                            <a:noFill/>
                          </a:ln>
                        </pic:spPr>
                      </pic:pic>
                    </a:graphicData>
                  </a:graphic>
                </wp:inline>
              </w:drawing>
            </w:r>
          </w:p>
        </w:tc>
      </w:tr>
      <w:tr w:rsidR="00FB0A3F" w14:paraId="0403F64A" w14:textId="77777777" w:rsidTr="009F5FEE">
        <w:tc>
          <w:tcPr>
            <w:tcW w:w="9026" w:type="dxa"/>
            <w:gridSpan w:val="2"/>
          </w:tcPr>
          <w:p w14:paraId="50526545" w14:textId="77777777" w:rsidR="00FB0A3F" w:rsidRDefault="00000000">
            <w:pPr>
              <w:spacing w:before="0" w:after="0"/>
              <w:jc w:val="center"/>
            </w:pPr>
            <w:r>
              <w:t>(B)</w:t>
            </w:r>
          </w:p>
        </w:tc>
      </w:tr>
      <w:tr w:rsidR="00FB0A3F" w14:paraId="060B1C4A" w14:textId="77777777" w:rsidTr="009F5F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9" w:type="dxa"/>
            <w:tcBorders>
              <w:top w:val="nil"/>
              <w:left w:val="nil"/>
              <w:bottom w:val="nil"/>
              <w:right w:val="nil"/>
            </w:tcBorders>
          </w:tcPr>
          <w:p w14:paraId="270C2FC7" w14:textId="77777777" w:rsidR="00FB0A3F" w:rsidRDefault="00000000">
            <w:r>
              <w:rPr>
                <w:noProof/>
              </w:rPr>
              <w:drawing>
                <wp:inline distT="0" distB="0" distL="0" distR="0" wp14:anchorId="621EB6AF" wp14:editId="51D90692">
                  <wp:extent cx="2700909" cy="3377008"/>
                  <wp:effectExtent l="0" t="0" r="4445" b="0"/>
                  <wp:docPr id="476354066" name="Picture" descr="Figure 6: Size frequency distributions for the Cape Otway SMU from 2005 to 2012. Black bars represent undersize abalone, grey bars represent legal size ab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354066" name="Picture" descr="Figure 6: Size frequency distributions for the Cape Otway SMU from 2005 to 2012. Black bars represent undersize abalone, grey bars represent legal size abalone."/>
                          <pic:cNvPicPr>
                            <a:picLocks noChangeAspect="1" noChangeArrowheads="1"/>
                          </pic:cNvPicPr>
                        </pic:nvPicPr>
                        <pic:blipFill>
                          <a:blip r:embed="rId76"/>
                          <a:stretch>
                            <a:fillRect/>
                          </a:stretch>
                        </pic:blipFill>
                        <pic:spPr>
                          <a:xfrm>
                            <a:off x="0" y="0"/>
                            <a:ext cx="2706621" cy="3384149"/>
                          </a:xfrm>
                          <a:prstGeom prst="rect">
                            <a:avLst/>
                          </a:prstGeom>
                          <a:noFill/>
                          <a:ln w="9525">
                            <a:noFill/>
                          </a:ln>
                        </pic:spPr>
                      </pic:pic>
                    </a:graphicData>
                  </a:graphic>
                </wp:inline>
              </w:drawing>
            </w:r>
          </w:p>
        </w:tc>
        <w:tc>
          <w:tcPr>
            <w:tcW w:w="4517" w:type="dxa"/>
            <w:tcBorders>
              <w:top w:val="nil"/>
              <w:left w:val="nil"/>
              <w:bottom w:val="nil"/>
              <w:right w:val="nil"/>
            </w:tcBorders>
          </w:tcPr>
          <w:p w14:paraId="1991B64B" w14:textId="77777777" w:rsidR="00FB0A3F" w:rsidRDefault="00000000">
            <w:r>
              <w:rPr>
                <w:noProof/>
              </w:rPr>
              <w:drawing>
                <wp:inline distT="0" distB="0" distL="0" distR="0" wp14:anchorId="47E8C6AB" wp14:editId="2DEFAEFA">
                  <wp:extent cx="2653146" cy="3317289"/>
                  <wp:effectExtent l="0" t="0" r="0" b="0"/>
                  <wp:docPr id="1793764689" name="Picture" descr="Figure 7: Size frequency distributions for the Cape Otway SMU from 2013 to 2023. Black bars represent undersize abalone, grey bars represent legal size ab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764689" name="Picture" descr="Figure 7: Size frequency distributions for the Cape Otway SMU from 2013 to 2023. Black bars represent undersize abalone, grey bars represent legal size abalone."/>
                          <pic:cNvPicPr>
                            <a:picLocks noChangeAspect="1" noChangeArrowheads="1"/>
                          </pic:cNvPicPr>
                        </pic:nvPicPr>
                        <pic:blipFill>
                          <a:blip r:embed="rId77"/>
                          <a:stretch>
                            <a:fillRect/>
                          </a:stretch>
                        </pic:blipFill>
                        <pic:spPr>
                          <a:xfrm>
                            <a:off x="0" y="0"/>
                            <a:ext cx="2658923" cy="3324512"/>
                          </a:xfrm>
                          <a:prstGeom prst="rect">
                            <a:avLst/>
                          </a:prstGeom>
                          <a:noFill/>
                          <a:ln w="9525">
                            <a:noFill/>
                          </a:ln>
                        </pic:spPr>
                      </pic:pic>
                    </a:graphicData>
                  </a:graphic>
                </wp:inline>
              </w:drawing>
            </w:r>
          </w:p>
        </w:tc>
      </w:tr>
      <w:tr w:rsidR="00FB0A3F" w14:paraId="3B54C211" w14:textId="77777777" w:rsidTr="009F5FEE">
        <w:tc>
          <w:tcPr>
            <w:tcW w:w="9026" w:type="dxa"/>
            <w:gridSpan w:val="2"/>
          </w:tcPr>
          <w:p w14:paraId="4F318F56" w14:textId="77777777" w:rsidR="00FB0A3F" w:rsidRDefault="00000000">
            <w:pPr>
              <w:pStyle w:val="Caption"/>
              <w:spacing w:after="0"/>
            </w:pPr>
            <w:bookmarkStart w:id="412" w:name="_Toc149571912"/>
            <w:bookmarkStart w:id="413" w:name="_Toc192777313"/>
            <w:r>
              <w:lastRenderedPageBreak/>
              <w:t>Size frequency distributions for the Back Beaches SMU from (A) 2003 to 2021 for all sites and (B) from 2003 to 2023 for the three Top 15 sites. Black bars represent undersize abalone, grey bars represent (current) legal size abalone. FIS data were not collected in 2022.</w:t>
            </w:r>
            <w:bookmarkEnd w:id="412"/>
            <w:bookmarkEnd w:id="413"/>
          </w:p>
        </w:tc>
      </w:tr>
      <w:tr w:rsidR="00FB0A3F" w14:paraId="1C009420" w14:textId="77777777" w:rsidTr="009F5FEE">
        <w:tc>
          <w:tcPr>
            <w:tcW w:w="9026" w:type="dxa"/>
            <w:gridSpan w:val="2"/>
          </w:tcPr>
          <w:p w14:paraId="3DA5C843" w14:textId="77777777" w:rsidR="00FB0A3F" w:rsidRDefault="00000000">
            <w:pPr>
              <w:jc w:val="center"/>
            </w:pPr>
            <w:r>
              <w:t>(A)</w:t>
            </w:r>
          </w:p>
        </w:tc>
      </w:tr>
      <w:tr w:rsidR="00FB0A3F" w14:paraId="5F371DFE" w14:textId="77777777" w:rsidTr="009F5FEE">
        <w:tc>
          <w:tcPr>
            <w:tcW w:w="4513" w:type="dxa"/>
          </w:tcPr>
          <w:p w14:paraId="5D3F44AC" w14:textId="77777777" w:rsidR="00FB0A3F" w:rsidRDefault="00000000">
            <w:r>
              <w:rPr>
                <w:noProof/>
              </w:rPr>
              <w:drawing>
                <wp:inline distT="0" distB="0" distL="0" distR="0" wp14:anchorId="37E23C3D" wp14:editId="7D2DC2E1">
                  <wp:extent cx="2789555" cy="3488055"/>
                  <wp:effectExtent l="0" t="0" r="0" b="0"/>
                  <wp:docPr id="992172389" name="Picture" descr="Figure 21: Size frequency distributions for the Back Beaches SMU from 2003 to 2010. Black bars represent undersize abalone, grey bars represent legal size abalone, dark grey bar is where the LML (117 mm) crosses the size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172389" name="Picture" descr="Figure 21: Size frequency distributions for the Back Beaches SMU from 2003 to 2010. Black bars represent undersize abalone, grey bars represent legal size abalone, dark grey bar is where the LML (117 mm) crosses the size category."/>
                          <pic:cNvPicPr>
                            <a:picLocks noChangeAspect="1" noChangeArrowheads="1"/>
                          </pic:cNvPicPr>
                        </pic:nvPicPr>
                        <pic:blipFill>
                          <a:blip r:embed="rId78"/>
                          <a:stretch>
                            <a:fillRect/>
                          </a:stretch>
                        </pic:blipFill>
                        <pic:spPr>
                          <a:xfrm>
                            <a:off x="0" y="0"/>
                            <a:ext cx="2790000" cy="3488400"/>
                          </a:xfrm>
                          <a:prstGeom prst="rect">
                            <a:avLst/>
                          </a:prstGeom>
                          <a:noFill/>
                          <a:ln w="9525">
                            <a:noFill/>
                          </a:ln>
                        </pic:spPr>
                      </pic:pic>
                    </a:graphicData>
                  </a:graphic>
                </wp:inline>
              </w:drawing>
            </w:r>
          </w:p>
        </w:tc>
        <w:tc>
          <w:tcPr>
            <w:tcW w:w="4513" w:type="dxa"/>
          </w:tcPr>
          <w:p w14:paraId="5F3A6B66" w14:textId="77777777" w:rsidR="00FB0A3F" w:rsidRDefault="00000000">
            <w:r>
              <w:rPr>
                <w:noProof/>
              </w:rPr>
              <w:drawing>
                <wp:inline distT="0" distB="0" distL="0" distR="0" wp14:anchorId="5F9A1FF5" wp14:editId="36C8DB56">
                  <wp:extent cx="2789555" cy="3488055"/>
                  <wp:effectExtent l="0" t="0" r="0" b="0"/>
                  <wp:docPr id="954332843" name="Picture" descr="Figure 22: Size frequency distributions for the Back Beaches SMU from 2011 to 2019. Black bars represent undersize abalone, grey bars represent legal size abalone, dark grey bar is where the LML (117 mm) crosses the size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332843" name="Picture" descr="Figure 22: Size frequency distributions for the Back Beaches SMU from 2011 to 2019. Black bars represent undersize abalone, grey bars represent legal size abalone, dark grey bar is where the LML (117 mm) crosses the size category."/>
                          <pic:cNvPicPr>
                            <a:picLocks noChangeAspect="1" noChangeArrowheads="1"/>
                          </pic:cNvPicPr>
                        </pic:nvPicPr>
                        <pic:blipFill>
                          <a:blip r:embed="rId79"/>
                          <a:stretch>
                            <a:fillRect/>
                          </a:stretch>
                        </pic:blipFill>
                        <pic:spPr>
                          <a:xfrm>
                            <a:off x="0" y="0"/>
                            <a:ext cx="2790000" cy="3488400"/>
                          </a:xfrm>
                          <a:prstGeom prst="rect">
                            <a:avLst/>
                          </a:prstGeom>
                          <a:noFill/>
                          <a:ln w="9525">
                            <a:noFill/>
                          </a:ln>
                        </pic:spPr>
                      </pic:pic>
                    </a:graphicData>
                  </a:graphic>
                </wp:inline>
              </w:drawing>
            </w:r>
          </w:p>
        </w:tc>
      </w:tr>
      <w:tr w:rsidR="00FB0A3F" w14:paraId="206B37AD" w14:textId="77777777" w:rsidTr="009F5FEE">
        <w:tc>
          <w:tcPr>
            <w:tcW w:w="9026" w:type="dxa"/>
            <w:gridSpan w:val="2"/>
          </w:tcPr>
          <w:p w14:paraId="60866F5D" w14:textId="77777777" w:rsidR="00FB0A3F" w:rsidRDefault="00000000">
            <w:pPr>
              <w:jc w:val="center"/>
            </w:pPr>
            <w:r>
              <w:t>(B)</w:t>
            </w:r>
          </w:p>
        </w:tc>
      </w:tr>
      <w:tr w:rsidR="00FB0A3F" w14:paraId="651EE3EC" w14:textId="77777777" w:rsidTr="009F5FEE">
        <w:tc>
          <w:tcPr>
            <w:tcW w:w="4513" w:type="dxa"/>
          </w:tcPr>
          <w:p w14:paraId="4C43A91C" w14:textId="77777777" w:rsidR="00FB0A3F" w:rsidRDefault="00000000">
            <w:r>
              <w:rPr>
                <w:noProof/>
              </w:rPr>
              <w:drawing>
                <wp:inline distT="0" distB="0" distL="0" distR="0" wp14:anchorId="52934A35" wp14:editId="7792B688">
                  <wp:extent cx="2789555" cy="3488055"/>
                  <wp:effectExtent l="0" t="0" r="0" b="0"/>
                  <wp:docPr id="2046909071" name="Picture" descr="Figure 21: Size frequency distributions for the Back Beaches SMU from 2003 to 2010. Black bars represent undersize abalone, grey bars represent legal size abalone, dark grey bar is where the LML (117 mm) crosses the size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909071" name="Picture" descr="Figure 21: Size frequency distributions for the Back Beaches SMU from 2003 to 2010. Black bars represent undersize abalone, grey bars represent legal size abalone, dark grey bar is where the LML (117 mm) crosses the size category."/>
                          <pic:cNvPicPr>
                            <a:picLocks noChangeAspect="1" noChangeArrowheads="1"/>
                          </pic:cNvPicPr>
                        </pic:nvPicPr>
                        <pic:blipFill>
                          <a:blip r:embed="rId80"/>
                          <a:stretch>
                            <a:fillRect/>
                          </a:stretch>
                        </pic:blipFill>
                        <pic:spPr>
                          <a:xfrm>
                            <a:off x="0" y="0"/>
                            <a:ext cx="2790000" cy="3488400"/>
                          </a:xfrm>
                          <a:prstGeom prst="rect">
                            <a:avLst/>
                          </a:prstGeom>
                          <a:noFill/>
                          <a:ln w="9525">
                            <a:noFill/>
                          </a:ln>
                        </pic:spPr>
                      </pic:pic>
                    </a:graphicData>
                  </a:graphic>
                </wp:inline>
              </w:drawing>
            </w:r>
          </w:p>
        </w:tc>
        <w:tc>
          <w:tcPr>
            <w:tcW w:w="4513" w:type="dxa"/>
          </w:tcPr>
          <w:p w14:paraId="5ABB7907" w14:textId="77777777" w:rsidR="00FB0A3F" w:rsidRDefault="00000000">
            <w:r>
              <w:rPr>
                <w:noProof/>
              </w:rPr>
              <w:drawing>
                <wp:inline distT="0" distB="0" distL="0" distR="0" wp14:anchorId="52717318" wp14:editId="65594AF0">
                  <wp:extent cx="2789555" cy="3488055"/>
                  <wp:effectExtent l="0" t="0" r="0" b="0"/>
                  <wp:docPr id="1025989484" name="Picture" descr="Figure 22: Size frequency distributions for the Back Beaches SMU from 2011 to 2019. Black bars represent undersize abalone, grey bars represent legal size abalone, dark grey bar is where the LML (117 mm) crosses the size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989484" name="Picture" descr="Figure 22: Size frequency distributions for the Back Beaches SMU from 2011 to 2019. Black bars represent undersize abalone, grey bars represent legal size abalone, dark grey bar is where the LML (117 mm) crosses the size category."/>
                          <pic:cNvPicPr>
                            <a:picLocks noChangeAspect="1" noChangeArrowheads="1"/>
                          </pic:cNvPicPr>
                        </pic:nvPicPr>
                        <pic:blipFill>
                          <a:blip r:embed="rId81"/>
                          <a:stretch>
                            <a:fillRect/>
                          </a:stretch>
                        </pic:blipFill>
                        <pic:spPr>
                          <a:xfrm>
                            <a:off x="0" y="0"/>
                            <a:ext cx="2790000" cy="3488400"/>
                          </a:xfrm>
                          <a:prstGeom prst="rect">
                            <a:avLst/>
                          </a:prstGeom>
                          <a:noFill/>
                          <a:ln w="9525">
                            <a:noFill/>
                          </a:ln>
                        </pic:spPr>
                      </pic:pic>
                    </a:graphicData>
                  </a:graphic>
                </wp:inline>
              </w:drawing>
            </w:r>
          </w:p>
        </w:tc>
      </w:tr>
    </w:tbl>
    <w:p w14:paraId="6D1AC187" w14:textId="77777777" w:rsidR="00FB0A3F" w:rsidRDefault="00000000">
      <w:r>
        <w:rPr>
          <w:i/>
          <w:i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FB0A3F" w14:paraId="4CEDCBB4" w14:textId="77777777">
        <w:tc>
          <w:tcPr>
            <w:tcW w:w="9242" w:type="dxa"/>
            <w:gridSpan w:val="2"/>
          </w:tcPr>
          <w:p w14:paraId="367F4E5B" w14:textId="77777777" w:rsidR="00FB0A3F" w:rsidRDefault="00000000">
            <w:pPr>
              <w:pStyle w:val="Caption"/>
            </w:pPr>
            <w:bookmarkStart w:id="414" w:name="_Toc192777314"/>
            <w:r>
              <w:lastRenderedPageBreak/>
              <w:t>Size frequency distributions for the Phillip Island SMU from (A) 2003 to 2021 for all sites and (B) from 2003 to 2023 for the two Top 15 sites. Black bars represent undersize abalone, grey bars represent (current) legal size abalone. FIS data were not collected in 2022.</w:t>
            </w:r>
            <w:bookmarkEnd w:id="414"/>
          </w:p>
        </w:tc>
      </w:tr>
      <w:tr w:rsidR="00FB0A3F" w14:paraId="4E753BF5" w14:textId="77777777">
        <w:tc>
          <w:tcPr>
            <w:tcW w:w="9242" w:type="dxa"/>
            <w:gridSpan w:val="2"/>
            <w:tcBorders>
              <w:bottom w:val="single" w:sz="4" w:space="0" w:color="auto"/>
            </w:tcBorders>
          </w:tcPr>
          <w:p w14:paraId="59AC9FA4" w14:textId="77777777" w:rsidR="00FB0A3F" w:rsidRDefault="00000000">
            <w:pPr>
              <w:jc w:val="center"/>
            </w:pPr>
            <w:r>
              <w:t>(A)</w:t>
            </w:r>
          </w:p>
        </w:tc>
      </w:tr>
      <w:tr w:rsidR="00FB0A3F" w14:paraId="546404EB" w14:textId="77777777">
        <w:tc>
          <w:tcPr>
            <w:tcW w:w="4633" w:type="dxa"/>
            <w:tcBorders>
              <w:top w:val="single" w:sz="4" w:space="0" w:color="auto"/>
              <w:left w:val="single" w:sz="4" w:space="0" w:color="auto"/>
              <w:bottom w:val="single" w:sz="4" w:space="0" w:color="auto"/>
              <w:right w:val="single" w:sz="4" w:space="0" w:color="auto"/>
            </w:tcBorders>
          </w:tcPr>
          <w:p w14:paraId="0289F6A1" w14:textId="77777777" w:rsidR="00FB0A3F" w:rsidRDefault="00000000">
            <w:r>
              <w:rPr>
                <w:noProof/>
              </w:rPr>
              <w:drawing>
                <wp:inline distT="0" distB="0" distL="0" distR="0" wp14:anchorId="2D9CD69E" wp14:editId="74E247C8">
                  <wp:extent cx="2789555" cy="3488055"/>
                  <wp:effectExtent l="0" t="0" r="0" b="0"/>
                  <wp:docPr id="1871672323" name="Picture" descr="Figure 11: Size frequency distributions for the Phillip Island SMU from 2003 to 2011. Black bars represent undersize abalone, grey bars represent legal size ab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72323" name="Picture" descr="Figure 11: Size frequency distributions for the Phillip Island SMU from 2003 to 2011. Black bars represent undersize abalone, grey bars represent legal size abalone."/>
                          <pic:cNvPicPr>
                            <a:picLocks noChangeAspect="1" noChangeArrowheads="1"/>
                          </pic:cNvPicPr>
                        </pic:nvPicPr>
                        <pic:blipFill>
                          <a:blip r:embed="rId82"/>
                          <a:stretch>
                            <a:fillRect/>
                          </a:stretch>
                        </pic:blipFill>
                        <pic:spPr>
                          <a:xfrm>
                            <a:off x="0" y="0"/>
                            <a:ext cx="2790000" cy="3488400"/>
                          </a:xfrm>
                          <a:prstGeom prst="rect">
                            <a:avLst/>
                          </a:prstGeom>
                          <a:noFill/>
                          <a:ln w="9525">
                            <a:noFill/>
                          </a:ln>
                        </pic:spPr>
                      </pic:pic>
                    </a:graphicData>
                  </a:graphic>
                </wp:inline>
              </w:drawing>
            </w:r>
          </w:p>
        </w:tc>
        <w:tc>
          <w:tcPr>
            <w:tcW w:w="4609" w:type="dxa"/>
            <w:tcBorders>
              <w:top w:val="single" w:sz="4" w:space="0" w:color="auto"/>
              <w:left w:val="single" w:sz="4" w:space="0" w:color="auto"/>
              <w:bottom w:val="single" w:sz="4" w:space="0" w:color="auto"/>
              <w:right w:val="single" w:sz="4" w:space="0" w:color="auto"/>
            </w:tcBorders>
          </w:tcPr>
          <w:p w14:paraId="01C7430D" w14:textId="77777777" w:rsidR="00FB0A3F" w:rsidRDefault="00000000">
            <w:r>
              <w:rPr>
                <w:noProof/>
              </w:rPr>
              <w:drawing>
                <wp:inline distT="0" distB="0" distL="0" distR="0" wp14:anchorId="27E8C270" wp14:editId="2778030D">
                  <wp:extent cx="2789555" cy="3488055"/>
                  <wp:effectExtent l="0" t="0" r="0" b="0"/>
                  <wp:docPr id="1755448686" name="Picture" descr="Figure 12: Size frequency distributions for the Phillip Island SMU from 2012 to 2019. Black bars represent undersize abalone, grey bars represent legal size ab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448686" name="Picture" descr="Figure 12: Size frequency distributions for the Phillip Island SMU from 2012 to 2019. Black bars represent undersize abalone, grey bars represent legal size abalone."/>
                          <pic:cNvPicPr>
                            <a:picLocks noChangeAspect="1" noChangeArrowheads="1"/>
                          </pic:cNvPicPr>
                        </pic:nvPicPr>
                        <pic:blipFill>
                          <a:blip r:embed="rId83"/>
                          <a:stretch>
                            <a:fillRect/>
                          </a:stretch>
                        </pic:blipFill>
                        <pic:spPr>
                          <a:xfrm>
                            <a:off x="0" y="0"/>
                            <a:ext cx="2790000" cy="3488400"/>
                          </a:xfrm>
                          <a:prstGeom prst="rect">
                            <a:avLst/>
                          </a:prstGeom>
                          <a:noFill/>
                          <a:ln w="9525">
                            <a:noFill/>
                          </a:ln>
                        </pic:spPr>
                      </pic:pic>
                    </a:graphicData>
                  </a:graphic>
                </wp:inline>
              </w:drawing>
            </w:r>
          </w:p>
        </w:tc>
      </w:tr>
      <w:tr w:rsidR="00FB0A3F" w14:paraId="3418E5F2" w14:textId="77777777">
        <w:tc>
          <w:tcPr>
            <w:tcW w:w="9242" w:type="dxa"/>
            <w:gridSpan w:val="2"/>
            <w:tcBorders>
              <w:top w:val="single" w:sz="4" w:space="0" w:color="auto"/>
            </w:tcBorders>
          </w:tcPr>
          <w:p w14:paraId="1C1D88E1" w14:textId="77777777" w:rsidR="00FB0A3F" w:rsidRDefault="00000000">
            <w:pPr>
              <w:jc w:val="center"/>
            </w:pPr>
            <w:r>
              <w:t>(B)</w:t>
            </w:r>
          </w:p>
        </w:tc>
      </w:tr>
      <w:tr w:rsidR="00FB0A3F" w14:paraId="2287A65E" w14:textId="77777777">
        <w:tc>
          <w:tcPr>
            <w:tcW w:w="4633" w:type="dxa"/>
          </w:tcPr>
          <w:p w14:paraId="3A3A5652" w14:textId="77777777" w:rsidR="00FB0A3F" w:rsidRDefault="00000000">
            <w:r>
              <w:rPr>
                <w:noProof/>
              </w:rPr>
              <w:drawing>
                <wp:inline distT="0" distB="0" distL="0" distR="0" wp14:anchorId="4219E4B0" wp14:editId="7666FB0B">
                  <wp:extent cx="2789555" cy="3488055"/>
                  <wp:effectExtent l="0" t="0" r="0" b="0"/>
                  <wp:docPr id="68" name="Picture" descr="Figure 11: Size frequency distributions for the Phillip Island SMU from 2005 to 2012. Black bars represent undersize abalone, grey bars represent legal size ab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descr="Figure 11: Size frequency distributions for the Phillip Island SMU from 2005 to 2012. Black bars represent undersize abalone, grey bars represent legal size abalone."/>
                          <pic:cNvPicPr>
                            <a:picLocks noChangeAspect="1" noChangeArrowheads="1"/>
                          </pic:cNvPicPr>
                        </pic:nvPicPr>
                        <pic:blipFill>
                          <a:blip r:embed="rId84"/>
                          <a:stretch>
                            <a:fillRect/>
                          </a:stretch>
                        </pic:blipFill>
                        <pic:spPr>
                          <a:xfrm>
                            <a:off x="0" y="0"/>
                            <a:ext cx="2790000" cy="3488400"/>
                          </a:xfrm>
                          <a:prstGeom prst="rect">
                            <a:avLst/>
                          </a:prstGeom>
                          <a:noFill/>
                          <a:ln w="9525">
                            <a:noFill/>
                          </a:ln>
                        </pic:spPr>
                      </pic:pic>
                    </a:graphicData>
                  </a:graphic>
                </wp:inline>
              </w:drawing>
            </w:r>
          </w:p>
        </w:tc>
        <w:tc>
          <w:tcPr>
            <w:tcW w:w="4609" w:type="dxa"/>
          </w:tcPr>
          <w:p w14:paraId="6B0E66B9" w14:textId="77777777" w:rsidR="00FB0A3F" w:rsidRDefault="00000000">
            <w:r>
              <w:rPr>
                <w:noProof/>
              </w:rPr>
              <w:drawing>
                <wp:inline distT="0" distB="0" distL="0" distR="0" wp14:anchorId="67B9BD4B" wp14:editId="5B9FE074">
                  <wp:extent cx="2789555" cy="3488055"/>
                  <wp:effectExtent l="0" t="0" r="0" b="0"/>
                  <wp:docPr id="71" name="Picture" descr="Figure 12: Size frequency distributions for the Phillip Island SMU from 2013 to 2023. Black bars represent undersize abalone, grey bars represent legal size ab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descr="Figure 12: Size frequency distributions for the Phillip Island SMU from 2013 to 2023. Black bars represent undersize abalone, grey bars represent legal size abalone."/>
                          <pic:cNvPicPr>
                            <a:picLocks noChangeAspect="1" noChangeArrowheads="1"/>
                          </pic:cNvPicPr>
                        </pic:nvPicPr>
                        <pic:blipFill>
                          <a:blip r:embed="rId85"/>
                          <a:stretch>
                            <a:fillRect/>
                          </a:stretch>
                        </pic:blipFill>
                        <pic:spPr>
                          <a:xfrm>
                            <a:off x="0" y="0"/>
                            <a:ext cx="2790000" cy="3488400"/>
                          </a:xfrm>
                          <a:prstGeom prst="rect">
                            <a:avLst/>
                          </a:prstGeom>
                          <a:noFill/>
                          <a:ln w="9525">
                            <a:noFill/>
                          </a:ln>
                        </pic:spPr>
                      </pic:pic>
                    </a:graphicData>
                  </a:graphic>
                </wp:inline>
              </w:drawing>
            </w:r>
          </w:p>
        </w:tc>
      </w:tr>
    </w:tbl>
    <w:p w14:paraId="49063200" w14:textId="77777777" w:rsidR="00FB0A3F" w:rsidRDefault="00000000">
      <w:r>
        <w:rPr>
          <w:i/>
          <w:i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FB0A3F" w14:paraId="0C3FD304" w14:textId="77777777">
        <w:tc>
          <w:tcPr>
            <w:tcW w:w="9242" w:type="dxa"/>
            <w:gridSpan w:val="2"/>
          </w:tcPr>
          <w:p w14:paraId="0DB8F947" w14:textId="77777777" w:rsidR="00FB0A3F" w:rsidRDefault="00000000">
            <w:pPr>
              <w:pStyle w:val="Caption"/>
            </w:pPr>
            <w:bookmarkStart w:id="415" w:name="_Toc192777315"/>
            <w:r>
              <w:lastRenderedPageBreak/>
              <w:t>Size frequency distributions for the Shipwreck Coast SMU from (A) 2003 to 2021 for all sites and (B) from 2003 to 2023 for the two Top 15 sites. Black bars represent undersize abalone, grey bars represent (current) legal size abalone. FIS data were not collected in 2022.</w:t>
            </w:r>
            <w:bookmarkEnd w:id="415"/>
          </w:p>
        </w:tc>
      </w:tr>
      <w:tr w:rsidR="00FB0A3F" w14:paraId="12F71A36" w14:textId="77777777">
        <w:tc>
          <w:tcPr>
            <w:tcW w:w="9242" w:type="dxa"/>
            <w:gridSpan w:val="2"/>
          </w:tcPr>
          <w:p w14:paraId="078EF91A" w14:textId="77777777" w:rsidR="00FB0A3F" w:rsidRDefault="00000000">
            <w:pPr>
              <w:jc w:val="center"/>
            </w:pPr>
            <w:r>
              <w:t>(A)</w:t>
            </w:r>
          </w:p>
        </w:tc>
      </w:tr>
      <w:tr w:rsidR="00FB0A3F" w14:paraId="5E484276" w14:textId="77777777">
        <w:tc>
          <w:tcPr>
            <w:tcW w:w="4633" w:type="dxa"/>
          </w:tcPr>
          <w:p w14:paraId="2CB55333" w14:textId="77777777" w:rsidR="00FB0A3F" w:rsidRDefault="00000000">
            <w:r>
              <w:rPr>
                <w:noProof/>
              </w:rPr>
              <w:drawing>
                <wp:inline distT="0" distB="0" distL="0" distR="0" wp14:anchorId="1F72A5CC" wp14:editId="0C4F4CEB">
                  <wp:extent cx="2789555" cy="3488055"/>
                  <wp:effectExtent l="0" t="0" r="0" b="0"/>
                  <wp:docPr id="952815548" name="Picture" descr="Figure 26: Size frequency distributions for the Flinders SMU from 2003 to 2010. Black bars represent undersize abalone, grey bars represent legal size ab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15548" name="Picture" descr="Figure 26: Size frequency distributions for the Flinders SMU from 2003 to 2010. Black bars represent undersize abalone, grey bars represent legal size abalone."/>
                          <pic:cNvPicPr>
                            <a:picLocks noChangeAspect="1" noChangeArrowheads="1"/>
                          </pic:cNvPicPr>
                        </pic:nvPicPr>
                        <pic:blipFill>
                          <a:blip r:embed="rId86"/>
                          <a:stretch>
                            <a:fillRect/>
                          </a:stretch>
                        </pic:blipFill>
                        <pic:spPr>
                          <a:xfrm>
                            <a:off x="0" y="0"/>
                            <a:ext cx="2790000" cy="3488400"/>
                          </a:xfrm>
                          <a:prstGeom prst="rect">
                            <a:avLst/>
                          </a:prstGeom>
                          <a:noFill/>
                          <a:ln w="9525">
                            <a:noFill/>
                          </a:ln>
                        </pic:spPr>
                      </pic:pic>
                    </a:graphicData>
                  </a:graphic>
                </wp:inline>
              </w:drawing>
            </w:r>
          </w:p>
        </w:tc>
        <w:tc>
          <w:tcPr>
            <w:tcW w:w="4609" w:type="dxa"/>
          </w:tcPr>
          <w:p w14:paraId="43458D3D" w14:textId="77777777" w:rsidR="00FB0A3F" w:rsidRDefault="00000000">
            <w:r>
              <w:rPr>
                <w:noProof/>
              </w:rPr>
              <w:drawing>
                <wp:inline distT="0" distB="0" distL="0" distR="0" wp14:anchorId="594683A0" wp14:editId="01346A12">
                  <wp:extent cx="2789555" cy="3488055"/>
                  <wp:effectExtent l="0" t="0" r="0" b="0"/>
                  <wp:docPr id="1892751943" name="Picture" descr="Figure 27: Size frequency distributions for the Flinders SMU from 2011 to 2019. Black bars represent undersize abalone, grey bars represent legal size ab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751943" name="Picture" descr="Figure 27: Size frequency distributions for the Flinders SMU from 2011 to 2019. Black bars represent undersize abalone, grey bars represent legal size abalone."/>
                          <pic:cNvPicPr>
                            <a:picLocks noChangeAspect="1" noChangeArrowheads="1"/>
                          </pic:cNvPicPr>
                        </pic:nvPicPr>
                        <pic:blipFill>
                          <a:blip r:embed="rId87"/>
                          <a:stretch>
                            <a:fillRect/>
                          </a:stretch>
                        </pic:blipFill>
                        <pic:spPr>
                          <a:xfrm>
                            <a:off x="0" y="0"/>
                            <a:ext cx="2790000" cy="3488400"/>
                          </a:xfrm>
                          <a:prstGeom prst="rect">
                            <a:avLst/>
                          </a:prstGeom>
                          <a:noFill/>
                          <a:ln w="9525">
                            <a:noFill/>
                          </a:ln>
                        </pic:spPr>
                      </pic:pic>
                    </a:graphicData>
                  </a:graphic>
                </wp:inline>
              </w:drawing>
            </w:r>
          </w:p>
        </w:tc>
      </w:tr>
      <w:tr w:rsidR="00FB0A3F" w14:paraId="1E380526" w14:textId="77777777">
        <w:tc>
          <w:tcPr>
            <w:tcW w:w="9242" w:type="dxa"/>
            <w:gridSpan w:val="2"/>
          </w:tcPr>
          <w:p w14:paraId="152A98E3" w14:textId="77777777" w:rsidR="00FB0A3F" w:rsidRDefault="00000000">
            <w:pPr>
              <w:jc w:val="center"/>
            </w:pPr>
            <w:r>
              <w:t>(B)</w:t>
            </w:r>
          </w:p>
        </w:tc>
      </w:tr>
      <w:tr w:rsidR="00FB0A3F" w14:paraId="55B8DCB0" w14:textId="77777777">
        <w:tc>
          <w:tcPr>
            <w:tcW w:w="4633" w:type="dxa"/>
          </w:tcPr>
          <w:p w14:paraId="662A3D9F" w14:textId="77777777" w:rsidR="00FB0A3F" w:rsidRDefault="00000000">
            <w:r>
              <w:rPr>
                <w:noProof/>
              </w:rPr>
              <w:drawing>
                <wp:inline distT="0" distB="0" distL="0" distR="0" wp14:anchorId="52D5D8F4" wp14:editId="70F0ED1E">
                  <wp:extent cx="2789555" cy="3488055"/>
                  <wp:effectExtent l="0" t="0" r="0" b="0"/>
                  <wp:docPr id="1727824519" name="Picture" descr="Figure 16: Size frequency distributions for the Shipwreck Coast SMU from 2005 to 2012. Black bars represent undersize abalone, grey bars represent legal size ab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824519" name="Picture" descr="Figure 16: Size frequency distributions for the Shipwreck Coast SMU from 2005 to 2012. Black bars represent undersize abalone, grey bars represent legal size abalone."/>
                          <pic:cNvPicPr>
                            <a:picLocks noChangeAspect="1" noChangeArrowheads="1"/>
                          </pic:cNvPicPr>
                        </pic:nvPicPr>
                        <pic:blipFill>
                          <a:blip r:embed="rId88"/>
                          <a:stretch>
                            <a:fillRect/>
                          </a:stretch>
                        </pic:blipFill>
                        <pic:spPr>
                          <a:xfrm>
                            <a:off x="0" y="0"/>
                            <a:ext cx="2790000" cy="3488400"/>
                          </a:xfrm>
                          <a:prstGeom prst="rect">
                            <a:avLst/>
                          </a:prstGeom>
                          <a:noFill/>
                          <a:ln w="9525">
                            <a:noFill/>
                          </a:ln>
                        </pic:spPr>
                      </pic:pic>
                    </a:graphicData>
                  </a:graphic>
                </wp:inline>
              </w:drawing>
            </w:r>
          </w:p>
        </w:tc>
        <w:tc>
          <w:tcPr>
            <w:tcW w:w="4609" w:type="dxa"/>
          </w:tcPr>
          <w:p w14:paraId="7D8AED27" w14:textId="77777777" w:rsidR="00FB0A3F" w:rsidRDefault="00000000">
            <w:r>
              <w:rPr>
                <w:noProof/>
              </w:rPr>
              <w:drawing>
                <wp:inline distT="0" distB="0" distL="0" distR="0" wp14:anchorId="65C59374" wp14:editId="67B6B735">
                  <wp:extent cx="2789555" cy="3488055"/>
                  <wp:effectExtent l="0" t="0" r="0" b="0"/>
                  <wp:docPr id="13385688" name="Picture" descr="Figure 17: Size frequency distributions for the Shipwreck Coast SMU from 2013 to 2023. Black bars represent undersize abalone, grey bars represent legal size ab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5688" name="Picture" descr="Figure 17: Size frequency distributions for the Shipwreck Coast SMU from 2013 to 2023. Black bars represent undersize abalone, grey bars represent legal size abalone."/>
                          <pic:cNvPicPr>
                            <a:picLocks noChangeAspect="1" noChangeArrowheads="1"/>
                          </pic:cNvPicPr>
                        </pic:nvPicPr>
                        <pic:blipFill>
                          <a:blip r:embed="rId89"/>
                          <a:stretch>
                            <a:fillRect/>
                          </a:stretch>
                        </pic:blipFill>
                        <pic:spPr>
                          <a:xfrm>
                            <a:off x="0" y="0"/>
                            <a:ext cx="2790000" cy="3488400"/>
                          </a:xfrm>
                          <a:prstGeom prst="rect">
                            <a:avLst/>
                          </a:prstGeom>
                          <a:noFill/>
                          <a:ln w="9525">
                            <a:noFill/>
                          </a:ln>
                        </pic:spPr>
                      </pic:pic>
                    </a:graphicData>
                  </a:graphic>
                </wp:inline>
              </w:drawing>
            </w:r>
          </w:p>
        </w:tc>
      </w:tr>
    </w:tbl>
    <w:p w14:paraId="2FF73EF4" w14:textId="77777777" w:rsidR="00FB0A3F" w:rsidRDefault="00000000">
      <w:r>
        <w:rPr>
          <w:i/>
          <w:i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FB0A3F" w14:paraId="44A91C62" w14:textId="77777777">
        <w:tc>
          <w:tcPr>
            <w:tcW w:w="9242" w:type="dxa"/>
            <w:gridSpan w:val="2"/>
          </w:tcPr>
          <w:p w14:paraId="3B36E983" w14:textId="77777777" w:rsidR="00FB0A3F" w:rsidRDefault="00000000">
            <w:pPr>
              <w:pStyle w:val="Caption"/>
            </w:pPr>
            <w:bookmarkStart w:id="416" w:name="_Toc192777316"/>
            <w:r>
              <w:lastRenderedPageBreak/>
              <w:t>Size frequency distributions for the Flinders SMU from (A) 2003 to 2021 for all sites and (B) from 2003 to 2023 for the two Top 15 sites. Black bars represent undersize abalone, grey bars represent (current) legal size abalone. FIS data were not collected in 2022.</w:t>
            </w:r>
            <w:bookmarkEnd w:id="416"/>
          </w:p>
        </w:tc>
      </w:tr>
      <w:tr w:rsidR="00FB0A3F" w14:paraId="30C7E325" w14:textId="77777777">
        <w:tc>
          <w:tcPr>
            <w:tcW w:w="9242" w:type="dxa"/>
            <w:gridSpan w:val="2"/>
          </w:tcPr>
          <w:p w14:paraId="26B2B49E" w14:textId="77777777" w:rsidR="00FB0A3F" w:rsidRDefault="00000000">
            <w:pPr>
              <w:jc w:val="center"/>
            </w:pPr>
            <w:r>
              <w:t>(A)</w:t>
            </w:r>
          </w:p>
        </w:tc>
      </w:tr>
      <w:tr w:rsidR="00FB0A3F" w14:paraId="54F1A5F7" w14:textId="77777777">
        <w:tc>
          <w:tcPr>
            <w:tcW w:w="4633" w:type="dxa"/>
          </w:tcPr>
          <w:p w14:paraId="7F61E2CC" w14:textId="77777777" w:rsidR="00FB0A3F" w:rsidRDefault="00000000">
            <w:r>
              <w:rPr>
                <w:noProof/>
              </w:rPr>
              <w:drawing>
                <wp:inline distT="0" distB="0" distL="0" distR="0" wp14:anchorId="679F65EF" wp14:editId="6916816D">
                  <wp:extent cx="2789555" cy="3488055"/>
                  <wp:effectExtent l="0" t="0" r="0" b="0"/>
                  <wp:docPr id="1532133753" name="Picture" descr="Figure 26: Size frequency distributions for the Flinders SMU from 2003 to 2010. Black bars represent undersize abalone, grey bars represent legal size ab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33753" name="Picture" descr="Figure 26: Size frequency distributions for the Flinders SMU from 2003 to 2010. Black bars represent undersize abalone, grey bars represent legal size abalone."/>
                          <pic:cNvPicPr>
                            <a:picLocks noChangeAspect="1" noChangeArrowheads="1"/>
                          </pic:cNvPicPr>
                        </pic:nvPicPr>
                        <pic:blipFill>
                          <a:blip r:embed="rId86"/>
                          <a:stretch>
                            <a:fillRect/>
                          </a:stretch>
                        </pic:blipFill>
                        <pic:spPr>
                          <a:xfrm>
                            <a:off x="0" y="0"/>
                            <a:ext cx="2790000" cy="3488400"/>
                          </a:xfrm>
                          <a:prstGeom prst="rect">
                            <a:avLst/>
                          </a:prstGeom>
                          <a:noFill/>
                          <a:ln w="9525">
                            <a:noFill/>
                          </a:ln>
                        </pic:spPr>
                      </pic:pic>
                    </a:graphicData>
                  </a:graphic>
                </wp:inline>
              </w:drawing>
            </w:r>
          </w:p>
        </w:tc>
        <w:tc>
          <w:tcPr>
            <w:tcW w:w="4609" w:type="dxa"/>
          </w:tcPr>
          <w:p w14:paraId="69469C93" w14:textId="77777777" w:rsidR="00FB0A3F" w:rsidRDefault="00000000">
            <w:r>
              <w:rPr>
                <w:noProof/>
              </w:rPr>
              <w:drawing>
                <wp:inline distT="0" distB="0" distL="0" distR="0" wp14:anchorId="1F701940" wp14:editId="2A85803F">
                  <wp:extent cx="2789555" cy="3488055"/>
                  <wp:effectExtent l="0" t="0" r="0" b="0"/>
                  <wp:docPr id="1997419159" name="Picture" descr="Figure 27: Size frequency distributions for the Flinders SMU from 2011 to 2019. Black bars represent undersize abalone, grey bars represent legal size ab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419159" name="Picture" descr="Figure 27: Size frequency distributions for the Flinders SMU from 2011 to 2019. Black bars represent undersize abalone, grey bars represent legal size abalone."/>
                          <pic:cNvPicPr>
                            <a:picLocks noChangeAspect="1" noChangeArrowheads="1"/>
                          </pic:cNvPicPr>
                        </pic:nvPicPr>
                        <pic:blipFill>
                          <a:blip r:embed="rId87"/>
                          <a:stretch>
                            <a:fillRect/>
                          </a:stretch>
                        </pic:blipFill>
                        <pic:spPr>
                          <a:xfrm>
                            <a:off x="0" y="0"/>
                            <a:ext cx="2790000" cy="3488400"/>
                          </a:xfrm>
                          <a:prstGeom prst="rect">
                            <a:avLst/>
                          </a:prstGeom>
                          <a:noFill/>
                          <a:ln w="9525">
                            <a:noFill/>
                          </a:ln>
                        </pic:spPr>
                      </pic:pic>
                    </a:graphicData>
                  </a:graphic>
                </wp:inline>
              </w:drawing>
            </w:r>
          </w:p>
        </w:tc>
      </w:tr>
      <w:tr w:rsidR="00FB0A3F" w14:paraId="1AC9B87A" w14:textId="77777777">
        <w:tc>
          <w:tcPr>
            <w:tcW w:w="9242" w:type="dxa"/>
            <w:gridSpan w:val="2"/>
          </w:tcPr>
          <w:p w14:paraId="5578EA84" w14:textId="77777777" w:rsidR="00FB0A3F" w:rsidRDefault="00000000">
            <w:pPr>
              <w:jc w:val="center"/>
            </w:pPr>
            <w:r>
              <w:t>(B)</w:t>
            </w:r>
          </w:p>
        </w:tc>
      </w:tr>
      <w:tr w:rsidR="00FB0A3F" w14:paraId="76AB7E87" w14:textId="77777777">
        <w:tc>
          <w:tcPr>
            <w:tcW w:w="4633" w:type="dxa"/>
          </w:tcPr>
          <w:p w14:paraId="47B6D0B9" w14:textId="77777777" w:rsidR="00FB0A3F" w:rsidRDefault="00000000">
            <w:r>
              <w:rPr>
                <w:noProof/>
              </w:rPr>
              <w:drawing>
                <wp:inline distT="0" distB="0" distL="0" distR="0" wp14:anchorId="5E95BC1D" wp14:editId="315E8C76">
                  <wp:extent cx="2789555" cy="3488055"/>
                  <wp:effectExtent l="0" t="0" r="0" b="0"/>
                  <wp:docPr id="839075224" name="Picture" descr="Figure 26: Size frequency distributions for the Flinders SMU from 2005 to 2012. Black bars represent undersize abalone, grey bars represent legal size ab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075224" name="Picture" descr="Figure 26: Size frequency distributions for the Flinders SMU from 2005 to 2012. Black bars represent undersize abalone, grey bars represent legal size abalone."/>
                          <pic:cNvPicPr>
                            <a:picLocks noChangeAspect="1" noChangeArrowheads="1"/>
                          </pic:cNvPicPr>
                        </pic:nvPicPr>
                        <pic:blipFill>
                          <a:blip r:embed="rId90"/>
                          <a:stretch>
                            <a:fillRect/>
                          </a:stretch>
                        </pic:blipFill>
                        <pic:spPr>
                          <a:xfrm>
                            <a:off x="0" y="0"/>
                            <a:ext cx="2790000" cy="3488400"/>
                          </a:xfrm>
                          <a:prstGeom prst="rect">
                            <a:avLst/>
                          </a:prstGeom>
                          <a:noFill/>
                          <a:ln w="9525">
                            <a:noFill/>
                          </a:ln>
                        </pic:spPr>
                      </pic:pic>
                    </a:graphicData>
                  </a:graphic>
                </wp:inline>
              </w:drawing>
            </w:r>
          </w:p>
        </w:tc>
        <w:tc>
          <w:tcPr>
            <w:tcW w:w="4609" w:type="dxa"/>
          </w:tcPr>
          <w:p w14:paraId="4B723015" w14:textId="77777777" w:rsidR="00FB0A3F" w:rsidRDefault="00000000">
            <w:r>
              <w:rPr>
                <w:noProof/>
              </w:rPr>
              <w:drawing>
                <wp:inline distT="0" distB="0" distL="0" distR="0" wp14:anchorId="133F623D" wp14:editId="01A869B3">
                  <wp:extent cx="2789555" cy="3488055"/>
                  <wp:effectExtent l="0" t="0" r="0" b="0"/>
                  <wp:docPr id="2089075263" name="Picture" descr="Figure 27: Size frequency distributions for the Flinders SMU from 2013 to 2023. Black bars represent undersize abalone, grey bars represent legal size ab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75263" name="Picture" descr="Figure 27: Size frequency distributions for the Flinders SMU from 2013 to 2023. Black bars represent undersize abalone, grey bars represent legal size abalone."/>
                          <pic:cNvPicPr>
                            <a:picLocks noChangeAspect="1" noChangeArrowheads="1"/>
                          </pic:cNvPicPr>
                        </pic:nvPicPr>
                        <pic:blipFill>
                          <a:blip r:embed="rId91"/>
                          <a:stretch>
                            <a:fillRect/>
                          </a:stretch>
                        </pic:blipFill>
                        <pic:spPr>
                          <a:xfrm>
                            <a:off x="0" y="0"/>
                            <a:ext cx="2790000" cy="3488400"/>
                          </a:xfrm>
                          <a:prstGeom prst="rect">
                            <a:avLst/>
                          </a:prstGeom>
                          <a:noFill/>
                          <a:ln w="9525">
                            <a:noFill/>
                          </a:ln>
                        </pic:spPr>
                      </pic:pic>
                    </a:graphicData>
                  </a:graphic>
                </wp:inline>
              </w:drawing>
            </w:r>
          </w:p>
        </w:tc>
      </w:tr>
    </w:tbl>
    <w:p w14:paraId="2C21E646" w14:textId="77777777" w:rsidR="00FB0A3F" w:rsidRDefault="00000000">
      <w:r>
        <w:rPr>
          <w:i/>
          <w:i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FB0A3F" w14:paraId="2D720192" w14:textId="77777777">
        <w:tc>
          <w:tcPr>
            <w:tcW w:w="9242" w:type="dxa"/>
            <w:gridSpan w:val="2"/>
          </w:tcPr>
          <w:p w14:paraId="2B8BCE31" w14:textId="77777777" w:rsidR="00FB0A3F" w:rsidRDefault="00000000">
            <w:pPr>
              <w:pStyle w:val="Caption"/>
            </w:pPr>
            <w:bookmarkStart w:id="417" w:name="_Toc161910259"/>
            <w:bookmarkStart w:id="418" w:name="_Toc192777317"/>
            <w:r>
              <w:lastRenderedPageBreak/>
              <w:t>Size frequency distributions for the Prom West SMU from (A) 2003 to 2021 for all sites and (B) from 2003 to 2023 for the two Top 15 sites. Black bars represent undersize abalone, grey bars represent (current) legal size abalone. FIS data were not collected in 2022.</w:t>
            </w:r>
            <w:bookmarkEnd w:id="417"/>
            <w:bookmarkEnd w:id="418"/>
          </w:p>
        </w:tc>
      </w:tr>
      <w:tr w:rsidR="00FB0A3F" w14:paraId="37151F7F" w14:textId="77777777">
        <w:tc>
          <w:tcPr>
            <w:tcW w:w="9242" w:type="dxa"/>
            <w:gridSpan w:val="2"/>
          </w:tcPr>
          <w:p w14:paraId="09B31ABB" w14:textId="77777777" w:rsidR="00FB0A3F" w:rsidRDefault="00000000">
            <w:pPr>
              <w:jc w:val="center"/>
            </w:pPr>
            <w:r>
              <w:t>(A)</w:t>
            </w:r>
          </w:p>
        </w:tc>
      </w:tr>
      <w:tr w:rsidR="00FB0A3F" w14:paraId="1AA64C6A" w14:textId="77777777">
        <w:tc>
          <w:tcPr>
            <w:tcW w:w="4633" w:type="dxa"/>
          </w:tcPr>
          <w:p w14:paraId="40662161" w14:textId="77777777" w:rsidR="00FB0A3F" w:rsidRDefault="00000000">
            <w:r>
              <w:rPr>
                <w:noProof/>
              </w:rPr>
              <w:drawing>
                <wp:inline distT="0" distB="0" distL="0" distR="0" wp14:anchorId="34EB9999" wp14:editId="4D704472">
                  <wp:extent cx="2789555" cy="3488055"/>
                  <wp:effectExtent l="0" t="0" r="0" b="0"/>
                  <wp:docPr id="2145845457" name="Picture" descr="Figure 32: Size frequency distributions for the Prom Westside SMU from 2003 to 2010. Black bars represent undersize abalone, grey bars represent legal size ab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845457" name="Picture" descr="Figure 32: Size frequency distributions for the Prom Westside SMU from 2003 to 2010. Black bars represent undersize abalone, grey bars represent legal size abalone."/>
                          <pic:cNvPicPr>
                            <a:picLocks noChangeAspect="1" noChangeArrowheads="1"/>
                          </pic:cNvPicPr>
                        </pic:nvPicPr>
                        <pic:blipFill>
                          <a:blip r:embed="rId92"/>
                          <a:stretch>
                            <a:fillRect/>
                          </a:stretch>
                        </pic:blipFill>
                        <pic:spPr>
                          <a:xfrm>
                            <a:off x="0" y="0"/>
                            <a:ext cx="2790000" cy="3488400"/>
                          </a:xfrm>
                          <a:prstGeom prst="rect">
                            <a:avLst/>
                          </a:prstGeom>
                          <a:noFill/>
                          <a:ln w="9525">
                            <a:noFill/>
                          </a:ln>
                        </pic:spPr>
                      </pic:pic>
                    </a:graphicData>
                  </a:graphic>
                </wp:inline>
              </w:drawing>
            </w:r>
          </w:p>
        </w:tc>
        <w:tc>
          <w:tcPr>
            <w:tcW w:w="4609" w:type="dxa"/>
          </w:tcPr>
          <w:p w14:paraId="291B62B4" w14:textId="77777777" w:rsidR="00FB0A3F" w:rsidRDefault="00000000">
            <w:r>
              <w:rPr>
                <w:noProof/>
              </w:rPr>
              <w:drawing>
                <wp:inline distT="0" distB="0" distL="0" distR="0" wp14:anchorId="66FEA1CA" wp14:editId="5191B8C5">
                  <wp:extent cx="2789555" cy="3488055"/>
                  <wp:effectExtent l="0" t="0" r="0" b="0"/>
                  <wp:docPr id="1447428340" name="Picture" descr="Figure 33: Size frequency distributions for the Prom Westside SMU from 2011 to 2019. Black bars represent undersize abalone, grey bars represent legal size ab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428340" name="Picture" descr="Figure 33: Size frequency distributions for the Prom Westside SMU from 2011 to 2019. Black bars represent undersize abalone, grey bars represent legal size abalone."/>
                          <pic:cNvPicPr>
                            <a:picLocks noChangeAspect="1" noChangeArrowheads="1"/>
                          </pic:cNvPicPr>
                        </pic:nvPicPr>
                        <pic:blipFill>
                          <a:blip r:embed="rId93"/>
                          <a:stretch>
                            <a:fillRect/>
                          </a:stretch>
                        </pic:blipFill>
                        <pic:spPr>
                          <a:xfrm>
                            <a:off x="0" y="0"/>
                            <a:ext cx="2790000" cy="3488400"/>
                          </a:xfrm>
                          <a:prstGeom prst="rect">
                            <a:avLst/>
                          </a:prstGeom>
                          <a:noFill/>
                          <a:ln w="9525">
                            <a:noFill/>
                          </a:ln>
                        </pic:spPr>
                      </pic:pic>
                    </a:graphicData>
                  </a:graphic>
                </wp:inline>
              </w:drawing>
            </w:r>
          </w:p>
        </w:tc>
      </w:tr>
      <w:tr w:rsidR="00FB0A3F" w14:paraId="1AB0B317" w14:textId="77777777">
        <w:tc>
          <w:tcPr>
            <w:tcW w:w="9242" w:type="dxa"/>
            <w:gridSpan w:val="2"/>
          </w:tcPr>
          <w:p w14:paraId="78CE3ABF" w14:textId="77777777" w:rsidR="00FB0A3F" w:rsidRDefault="00000000">
            <w:pPr>
              <w:jc w:val="center"/>
            </w:pPr>
            <w:r>
              <w:t>(B)</w:t>
            </w:r>
          </w:p>
        </w:tc>
      </w:tr>
      <w:tr w:rsidR="00FB0A3F" w14:paraId="0A105980" w14:textId="77777777">
        <w:tc>
          <w:tcPr>
            <w:tcW w:w="4633" w:type="dxa"/>
          </w:tcPr>
          <w:p w14:paraId="07D33D05" w14:textId="77777777" w:rsidR="00FB0A3F" w:rsidRDefault="00000000">
            <w:r>
              <w:rPr>
                <w:noProof/>
              </w:rPr>
              <w:drawing>
                <wp:inline distT="0" distB="0" distL="0" distR="0" wp14:anchorId="5E6A371B" wp14:editId="2BD0E2F9">
                  <wp:extent cx="2789555" cy="3488055"/>
                  <wp:effectExtent l="0" t="0" r="0" b="0"/>
                  <wp:docPr id="149" name="Picture" descr="Figure 32: Size frequency distributions for the Prom Westside SMU from 2005 to 2012. Black bars represent undersize abalone, grey bars represent legal size ab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descr="Figure 32: Size frequency distributions for the Prom Westside SMU from 2005 to 2012. Black bars represent undersize abalone, grey bars represent legal size abalone."/>
                          <pic:cNvPicPr>
                            <a:picLocks noChangeAspect="1" noChangeArrowheads="1"/>
                          </pic:cNvPicPr>
                        </pic:nvPicPr>
                        <pic:blipFill>
                          <a:blip r:embed="rId94"/>
                          <a:stretch>
                            <a:fillRect/>
                          </a:stretch>
                        </pic:blipFill>
                        <pic:spPr>
                          <a:xfrm>
                            <a:off x="0" y="0"/>
                            <a:ext cx="2790000" cy="3488400"/>
                          </a:xfrm>
                          <a:prstGeom prst="rect">
                            <a:avLst/>
                          </a:prstGeom>
                          <a:noFill/>
                          <a:ln w="9525">
                            <a:noFill/>
                          </a:ln>
                        </pic:spPr>
                      </pic:pic>
                    </a:graphicData>
                  </a:graphic>
                </wp:inline>
              </w:drawing>
            </w:r>
          </w:p>
        </w:tc>
        <w:tc>
          <w:tcPr>
            <w:tcW w:w="4609" w:type="dxa"/>
          </w:tcPr>
          <w:p w14:paraId="4DD89D1E" w14:textId="77777777" w:rsidR="00FB0A3F" w:rsidRDefault="00000000">
            <w:r>
              <w:rPr>
                <w:noProof/>
              </w:rPr>
              <w:drawing>
                <wp:inline distT="0" distB="0" distL="0" distR="0" wp14:anchorId="07A02DF9" wp14:editId="27104FD2">
                  <wp:extent cx="2789555" cy="3488055"/>
                  <wp:effectExtent l="0" t="0" r="0" b="0"/>
                  <wp:docPr id="152" name="Picture" descr="Figure 33: Size frequency distributions for the Prom Westside SMU from 2013 to 2023. Black bars represent undersize abalone, grey bars represent legal size ab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descr="Figure 33: Size frequency distributions for the Prom Westside SMU from 2013 to 2023. Black bars represent undersize abalone, grey bars represent legal size abalone."/>
                          <pic:cNvPicPr>
                            <a:picLocks noChangeAspect="1" noChangeArrowheads="1"/>
                          </pic:cNvPicPr>
                        </pic:nvPicPr>
                        <pic:blipFill>
                          <a:blip r:embed="rId95"/>
                          <a:stretch>
                            <a:fillRect/>
                          </a:stretch>
                        </pic:blipFill>
                        <pic:spPr>
                          <a:xfrm>
                            <a:off x="0" y="0"/>
                            <a:ext cx="2790000" cy="3488400"/>
                          </a:xfrm>
                          <a:prstGeom prst="rect">
                            <a:avLst/>
                          </a:prstGeom>
                          <a:noFill/>
                          <a:ln w="9525">
                            <a:noFill/>
                          </a:ln>
                        </pic:spPr>
                      </pic:pic>
                    </a:graphicData>
                  </a:graphic>
                </wp:inline>
              </w:drawing>
            </w:r>
          </w:p>
        </w:tc>
      </w:tr>
    </w:tbl>
    <w:p w14:paraId="30462F8F" w14:textId="77777777" w:rsidR="00FB0A3F" w:rsidRDefault="00000000">
      <w:r>
        <w:rPr>
          <w:i/>
          <w:i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FB0A3F" w14:paraId="54D755FC" w14:textId="77777777">
        <w:tc>
          <w:tcPr>
            <w:tcW w:w="9242" w:type="dxa"/>
            <w:gridSpan w:val="2"/>
          </w:tcPr>
          <w:p w14:paraId="0F9B534C" w14:textId="77777777" w:rsidR="00FB0A3F" w:rsidRDefault="00000000">
            <w:pPr>
              <w:pStyle w:val="Caption"/>
            </w:pPr>
            <w:bookmarkStart w:id="419" w:name="_Toc161910260"/>
            <w:bookmarkStart w:id="420" w:name="_Toc192777318"/>
            <w:r>
              <w:lastRenderedPageBreak/>
              <w:t>Size frequency distributions for the Cape Liptrap SMU from 2003 to 2021 for all sites. Black bars represent undersize abalone, grey bars represent (current) legal size abalone. FIS data were not collected in 2022 or 2023.</w:t>
            </w:r>
            <w:bookmarkEnd w:id="419"/>
            <w:bookmarkEnd w:id="420"/>
          </w:p>
        </w:tc>
      </w:tr>
      <w:tr w:rsidR="00FB0A3F" w14:paraId="771C92B6" w14:textId="77777777">
        <w:tc>
          <w:tcPr>
            <w:tcW w:w="4633" w:type="dxa"/>
          </w:tcPr>
          <w:p w14:paraId="640A9A68" w14:textId="77777777" w:rsidR="00FB0A3F" w:rsidRDefault="00000000">
            <w:r>
              <w:rPr>
                <w:noProof/>
              </w:rPr>
              <w:drawing>
                <wp:inline distT="0" distB="0" distL="0" distR="0" wp14:anchorId="37D30521" wp14:editId="357894A9">
                  <wp:extent cx="2789555" cy="3488055"/>
                  <wp:effectExtent l="0" t="0" r="0" b="0"/>
                  <wp:docPr id="578307384" name="Picture" descr="Figure 39: Size frequency distributions for the Cape Liptrap SMU from 2004 to 2011. Black bars represent undersize abalone, grey bars represent legal size ab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307384" name="Picture" descr="Figure 39: Size frequency distributions for the Cape Liptrap SMU from 2004 to 2011. Black bars represent undersize abalone, grey bars represent legal size abalone."/>
                          <pic:cNvPicPr>
                            <a:picLocks noChangeAspect="1" noChangeArrowheads="1"/>
                          </pic:cNvPicPr>
                        </pic:nvPicPr>
                        <pic:blipFill>
                          <a:blip r:embed="rId96"/>
                          <a:stretch>
                            <a:fillRect/>
                          </a:stretch>
                        </pic:blipFill>
                        <pic:spPr>
                          <a:xfrm>
                            <a:off x="0" y="0"/>
                            <a:ext cx="2790000" cy="3488400"/>
                          </a:xfrm>
                          <a:prstGeom prst="rect">
                            <a:avLst/>
                          </a:prstGeom>
                          <a:noFill/>
                          <a:ln w="9525">
                            <a:noFill/>
                          </a:ln>
                        </pic:spPr>
                      </pic:pic>
                    </a:graphicData>
                  </a:graphic>
                </wp:inline>
              </w:drawing>
            </w:r>
          </w:p>
        </w:tc>
        <w:tc>
          <w:tcPr>
            <w:tcW w:w="4609" w:type="dxa"/>
          </w:tcPr>
          <w:p w14:paraId="05D27D46" w14:textId="77777777" w:rsidR="00FB0A3F" w:rsidRDefault="00000000">
            <w:r>
              <w:rPr>
                <w:noProof/>
              </w:rPr>
              <w:drawing>
                <wp:inline distT="0" distB="0" distL="0" distR="0" wp14:anchorId="6DEBF0C8" wp14:editId="0F811D3F">
                  <wp:extent cx="2789555" cy="3488055"/>
                  <wp:effectExtent l="0" t="0" r="0" b="0"/>
                  <wp:docPr id="2011199338" name="Picture" descr="Figure 40: Size frequency distributions for the Cape Liptrap SMU from 2012 to 2019. Black bars represent undersize abalone, grey bars represent legal size ab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99338" name="Picture" descr="Figure 40: Size frequency distributions for the Cape Liptrap SMU from 2012 to 2019. Black bars represent undersize abalone, grey bars represent legal size abalone."/>
                          <pic:cNvPicPr>
                            <a:picLocks noChangeAspect="1" noChangeArrowheads="1"/>
                          </pic:cNvPicPr>
                        </pic:nvPicPr>
                        <pic:blipFill>
                          <a:blip r:embed="rId97"/>
                          <a:stretch>
                            <a:fillRect/>
                          </a:stretch>
                        </pic:blipFill>
                        <pic:spPr>
                          <a:xfrm>
                            <a:off x="0" y="0"/>
                            <a:ext cx="2790000" cy="3488400"/>
                          </a:xfrm>
                          <a:prstGeom prst="rect">
                            <a:avLst/>
                          </a:prstGeom>
                          <a:noFill/>
                          <a:ln w="9525">
                            <a:noFill/>
                          </a:ln>
                        </pic:spPr>
                      </pic:pic>
                    </a:graphicData>
                  </a:graphic>
                </wp:inline>
              </w:drawing>
            </w:r>
          </w:p>
        </w:tc>
      </w:tr>
    </w:tbl>
    <w:p w14:paraId="1E35375F" w14:textId="77777777" w:rsidR="00FB0A3F" w:rsidRDefault="00FB0A3F">
      <w:pPr>
        <w:tabs>
          <w:tab w:val="left" w:pos="3660"/>
        </w:tabs>
      </w:pPr>
    </w:p>
    <w:p w14:paraId="7A99F6AC" w14:textId="77777777" w:rsidR="00FB0A3F" w:rsidRDefault="00000000">
      <w:pPr>
        <w:spacing w:before="0" w:after="160" w:line="259" w:lineRule="auto"/>
      </w:pPr>
      <w:r>
        <w:br w:type="page"/>
      </w:r>
    </w:p>
    <w:p w14:paraId="7F992967" w14:textId="49C1A194" w:rsidR="00FB0A3F" w:rsidRDefault="00000000" w:rsidP="009F5FEE">
      <w:pPr>
        <w:pStyle w:val="Heading2"/>
      </w:pPr>
      <w:bookmarkStart w:id="421" w:name="_Toc192777260"/>
      <w:r>
        <w:lastRenderedPageBreak/>
        <w:t xml:space="preserve">Appendix </w:t>
      </w:r>
      <w:r w:rsidR="009F5FEE">
        <w:t>2</w:t>
      </w:r>
      <w:r>
        <w:t>: Comparison of size structure data gathered in FIS since 2003.</w:t>
      </w:r>
      <w:bookmarkEnd w:id="421"/>
    </w:p>
    <w:p w14:paraId="31D65D9D" w14:textId="77777777" w:rsidR="00FB0A3F" w:rsidRDefault="00000000">
      <w:pPr>
        <w:rPr>
          <w:lang w:val="en-US"/>
        </w:rPr>
      </w:pPr>
      <w:r>
        <w:rPr>
          <w:lang w:val="en-US"/>
        </w:rPr>
        <w:t xml:space="preserve">The </w:t>
      </w:r>
      <w:proofErr w:type="gramStart"/>
      <w:r>
        <w:rPr>
          <w:lang w:val="en-US"/>
        </w:rPr>
        <w:t>manner in which</w:t>
      </w:r>
      <w:proofErr w:type="gramEnd"/>
      <w:r>
        <w:rPr>
          <w:lang w:val="en-US"/>
        </w:rPr>
        <w:t xml:space="preserve"> length frequency data were gathered from historic FIS changed considerably over time. Originally, all abalone encountered on a transect were collected and brought to the surface to be measured before being returned to the bottom at the same site. This approach was modified when concerns were raised that collecting abalone from within the site may affect the abundance within the site the following year. On this basis, from 2000/01 all abalone encountered on transects were instead counted </w:t>
      </w:r>
      <w:r>
        <w:rPr>
          <w:i/>
          <w:iCs/>
          <w:lang w:val="en-US"/>
        </w:rPr>
        <w:t>in situ</w:t>
      </w:r>
      <w:r>
        <w:rPr>
          <w:lang w:val="en-US"/>
        </w:rPr>
        <w:t xml:space="preserve"> in size categories (VFA 2019). At the end of each transect, divers were then instructed to collect the first 25 abalone randomly encountered. VFA (2019) state “</w:t>
      </w:r>
      <w:r>
        <w:rPr>
          <w:i/>
          <w:iCs/>
        </w:rPr>
        <w:t xml:space="preserve">At the end of each transect 25 abalone are collected as far as possible without bias”. </w:t>
      </w:r>
      <w:r>
        <w:t xml:space="preserve">On this basis, it appears the </w:t>
      </w:r>
      <w:r>
        <w:rPr>
          <w:lang w:val="en-US"/>
        </w:rPr>
        <w:t xml:space="preserve">objective of the random collection was to gather an independent length-frequency sample that was representative of the surveyed population within transects. </w:t>
      </w:r>
    </w:p>
    <w:p w14:paraId="07D219FE" w14:textId="77777777" w:rsidR="00FB0A3F" w:rsidRDefault="00000000">
      <w:pPr>
        <w:rPr>
          <w:lang w:val="en-US"/>
        </w:rPr>
      </w:pPr>
      <w:r>
        <w:rPr>
          <w:lang w:val="en-US"/>
        </w:rPr>
        <w:t xml:space="preserve">To examine how well the length frequency samples reflected the abundance on transects by size category, we converted the length-frequency data into recruit and pre-recruit abundances and compared the proportion of recruits versus pre-recruits (juvenile counts were excluded) for each data source from data gathered for the Eastern and Central Zones between 2017 and 2020. To reduce the variation in these results, sites were excluded if the total abundance encountered on transects was less than 50 abalone, which approximately halved the number of data points available for the analysis to 222 total. As a result of this reduction, the total counts from length frequency samples ranged between 95 and 158 per site. </w:t>
      </w:r>
    </w:p>
    <w:p w14:paraId="223BE377" w14:textId="77777777" w:rsidR="00FB0A3F" w:rsidRDefault="00000000">
      <w:pPr>
        <w:rPr>
          <w:lang w:val="en-US"/>
        </w:rPr>
      </w:pPr>
      <w:r>
        <w:rPr>
          <w:lang w:val="en-US"/>
        </w:rPr>
        <w:t xml:space="preserve">Figure 2 shows the proportion of recruits versus pre-recruits expressed as percentage of recruits for all data combined. The dashed grey line represents the line of best fit for these data. The solid black line that runs from the origin of the axis should be the theoretical line of best fit if there was no bias in these data collection methods. Clearly, there is a strong bias towards collecting larger abalone (i.e. recruits) when gathering length frequency samples at the end of each transect. This bias is strongest when the proportion of recruits observed during transects is low. Figure 3 breaks the dataset into Central and Eastern Zones, and the size limits 110 and 120 mm. The same bias exists at all spatial scales. Interestingly, data gathered from the Central and Eastern Zones were gathered by two different groups of research divers during this period, yet both showed the same trends suggesting this is more to do with the methods of data collection than the individuals involved. </w:t>
      </w:r>
    </w:p>
    <w:p w14:paraId="6E921CED" w14:textId="77777777" w:rsidR="00FB0A3F" w:rsidRDefault="00000000">
      <w:pPr>
        <w:rPr>
          <w:i/>
          <w:iCs/>
        </w:rPr>
      </w:pPr>
      <w:r>
        <w:rPr>
          <w:lang w:val="en-US"/>
        </w:rPr>
        <w:t xml:space="preserve">It is considered unlikely that bias in size structure would result from the in situ transect counts as abalone are encountered in a systematic manner. This is supported by </w:t>
      </w:r>
      <w:r>
        <w:t>Gorfine (1998) who states “</w:t>
      </w:r>
      <w:r>
        <w:rPr>
          <w:i/>
          <w:iCs/>
        </w:rPr>
        <w:t xml:space="preserve">Because the application of radial transacts avoids targeting some emergent abalone to the exclusion of others, there is less potential for divers to bias their sample towards larger abalone as may occur with time searches…. Time searches do not necessarily permit this separation of pre recruits from post recruits because of the potential for divers to collect larger, more accessible abalone at the expense of smaller abalone”. </w:t>
      </w:r>
      <w:r>
        <w:t>It seems logical to conclude that the bias in length frequency counts has resulted from divers collecting in the manner of a timed-swim and not “</w:t>
      </w:r>
      <w:r>
        <w:rPr>
          <w:i/>
          <w:iCs/>
        </w:rPr>
        <w:t>as far as possible without bias”</w:t>
      </w:r>
      <w:r>
        <w:t xml:space="preserve">. </w:t>
      </w:r>
    </w:p>
    <w:p w14:paraId="766CA1FC" w14:textId="4DF73C71" w:rsidR="00FB0A3F" w:rsidRDefault="00000000">
      <w:pPr>
        <w:rPr>
          <w:lang w:val="en-US"/>
        </w:rPr>
      </w:pPr>
      <w:r>
        <w:rPr>
          <w:lang w:val="en-US"/>
        </w:rPr>
        <w:t xml:space="preserve">The bias suggests that caution should be applied in the analysis of trends in length frequency data gathered from historic surveys, including the pre-recruit measure in the </w:t>
      </w:r>
      <w:r w:rsidR="00C27633">
        <w:rPr>
          <w:lang w:val="en-US"/>
        </w:rPr>
        <w:t>Draft Harvest Strategy</w:t>
      </w:r>
      <w:r>
        <w:rPr>
          <w:lang w:val="en-US"/>
        </w:rPr>
        <w:t>. Further, if independent length frequency samples are to be gathered away from fixed transects in any future surveys, strict methods for collection must be applied to ensure a systematic, unbiased, representative size structure is attained.</w:t>
      </w:r>
    </w:p>
    <w:p w14:paraId="408F4459" w14:textId="77777777" w:rsidR="00FB0A3F" w:rsidRDefault="00000000">
      <w:pPr>
        <w:jc w:val="center"/>
        <w:rPr>
          <w:lang w:val="en-US"/>
        </w:rPr>
      </w:pPr>
      <w:r>
        <w:rPr>
          <w:noProof/>
        </w:rPr>
        <w:lastRenderedPageBreak/>
        <w:drawing>
          <wp:inline distT="0" distB="0" distL="0" distR="0" wp14:anchorId="674BC5A3" wp14:editId="60E9F08E">
            <wp:extent cx="5191125" cy="3383280"/>
            <wp:effectExtent l="0" t="0" r="9525" b="7620"/>
            <wp:docPr id="4631869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186940" name="Picture 1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5226864" cy="3406205"/>
                    </a:xfrm>
                    <a:prstGeom prst="rect">
                      <a:avLst/>
                    </a:prstGeom>
                    <a:noFill/>
                    <a:ln>
                      <a:noFill/>
                    </a:ln>
                  </pic:spPr>
                </pic:pic>
              </a:graphicData>
            </a:graphic>
          </wp:inline>
        </w:drawing>
      </w:r>
    </w:p>
    <w:p w14:paraId="533DD14A" w14:textId="77777777" w:rsidR="00FB0A3F" w:rsidRDefault="00000000">
      <w:pPr>
        <w:rPr>
          <w:i/>
          <w:iCs/>
          <w:sz w:val="18"/>
          <w:szCs w:val="18"/>
        </w:rPr>
      </w:pPr>
      <w:bookmarkStart w:id="422" w:name="_Toc143810739"/>
      <w:r>
        <w:rPr>
          <w:i/>
          <w:iCs/>
          <w:sz w:val="18"/>
          <w:szCs w:val="18"/>
        </w:rPr>
        <w:t>The proportion of recruits versus pre-recruits, expressed as percentage of recruits. The dashed grey line, equation and R squared represents the line of best fit for these data. The solid black line that runs from the origin of the axis should be the theoretical line of best fit if there was no bias in these data collection methods.</w:t>
      </w:r>
      <w:bookmarkEnd w:id="422"/>
    </w:p>
    <w:p w14:paraId="0592DE40" w14:textId="77777777" w:rsidR="00FB0A3F" w:rsidRDefault="00FB0A3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12"/>
      </w:tblGrid>
      <w:tr w:rsidR="00FB0A3F" w14:paraId="31D549A2" w14:textId="77777777">
        <w:tc>
          <w:tcPr>
            <w:tcW w:w="4508" w:type="dxa"/>
          </w:tcPr>
          <w:p w14:paraId="6E64F2F9" w14:textId="77777777" w:rsidR="00FB0A3F" w:rsidRDefault="00000000">
            <w:pPr>
              <w:rPr>
                <w:lang w:val="en-US"/>
              </w:rPr>
            </w:pPr>
            <w:r>
              <w:rPr>
                <w:noProof/>
                <w:lang w:val="en-US"/>
              </w:rPr>
              <w:drawing>
                <wp:inline distT="0" distB="0" distL="0" distR="0" wp14:anchorId="09BE5879" wp14:editId="6654C81C">
                  <wp:extent cx="2724785" cy="1775460"/>
                  <wp:effectExtent l="0" t="0" r="0" b="0"/>
                  <wp:docPr id="32668119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81190" name="Picture 1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a:xfrm>
                            <a:off x="0" y="0"/>
                            <a:ext cx="2743646" cy="1787748"/>
                          </a:xfrm>
                          <a:prstGeom prst="rect">
                            <a:avLst/>
                          </a:prstGeom>
                          <a:noFill/>
                          <a:ln>
                            <a:noFill/>
                          </a:ln>
                        </pic:spPr>
                      </pic:pic>
                    </a:graphicData>
                  </a:graphic>
                </wp:inline>
              </w:drawing>
            </w:r>
          </w:p>
        </w:tc>
        <w:tc>
          <w:tcPr>
            <w:tcW w:w="4508" w:type="dxa"/>
          </w:tcPr>
          <w:p w14:paraId="31CA1D5D" w14:textId="77777777" w:rsidR="00FB0A3F" w:rsidRDefault="00000000">
            <w:pPr>
              <w:rPr>
                <w:lang w:val="en-US"/>
              </w:rPr>
            </w:pPr>
            <w:r>
              <w:rPr>
                <w:noProof/>
                <w:lang w:val="en-US"/>
              </w:rPr>
              <w:drawing>
                <wp:inline distT="0" distB="0" distL="0" distR="0" wp14:anchorId="5D8DD62D" wp14:editId="255E6DCB">
                  <wp:extent cx="2727960" cy="1777365"/>
                  <wp:effectExtent l="0" t="0" r="0" b="0"/>
                  <wp:docPr id="6409536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953669" name="Picture 1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2733091" cy="1780870"/>
                          </a:xfrm>
                          <a:prstGeom prst="rect">
                            <a:avLst/>
                          </a:prstGeom>
                          <a:noFill/>
                          <a:ln>
                            <a:noFill/>
                          </a:ln>
                        </pic:spPr>
                      </pic:pic>
                    </a:graphicData>
                  </a:graphic>
                </wp:inline>
              </w:drawing>
            </w:r>
          </w:p>
        </w:tc>
      </w:tr>
      <w:tr w:rsidR="00FB0A3F" w14:paraId="05FF4066" w14:textId="77777777">
        <w:tc>
          <w:tcPr>
            <w:tcW w:w="4508" w:type="dxa"/>
          </w:tcPr>
          <w:p w14:paraId="5E76A550" w14:textId="77777777" w:rsidR="00FB0A3F" w:rsidRDefault="00000000">
            <w:pPr>
              <w:rPr>
                <w:lang w:val="en-US"/>
              </w:rPr>
            </w:pPr>
            <w:r>
              <w:rPr>
                <w:noProof/>
                <w:lang w:val="en-US"/>
              </w:rPr>
              <w:drawing>
                <wp:inline distT="0" distB="0" distL="0" distR="0" wp14:anchorId="32A6B85F" wp14:editId="40FBF41F">
                  <wp:extent cx="2705100" cy="1762125"/>
                  <wp:effectExtent l="0" t="0" r="0" b="9525"/>
                  <wp:docPr id="4111080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0800" name="Picture 1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2740609" cy="1785770"/>
                          </a:xfrm>
                          <a:prstGeom prst="rect">
                            <a:avLst/>
                          </a:prstGeom>
                          <a:noFill/>
                          <a:ln>
                            <a:noFill/>
                          </a:ln>
                        </pic:spPr>
                      </pic:pic>
                    </a:graphicData>
                  </a:graphic>
                </wp:inline>
              </w:drawing>
            </w:r>
          </w:p>
        </w:tc>
        <w:tc>
          <w:tcPr>
            <w:tcW w:w="4508" w:type="dxa"/>
          </w:tcPr>
          <w:p w14:paraId="08B0E99F" w14:textId="77777777" w:rsidR="00FB0A3F" w:rsidRDefault="00000000">
            <w:pPr>
              <w:rPr>
                <w:lang w:val="en-US"/>
              </w:rPr>
            </w:pPr>
            <w:r>
              <w:rPr>
                <w:noProof/>
                <w:lang w:val="en-US"/>
              </w:rPr>
              <w:drawing>
                <wp:inline distT="0" distB="0" distL="0" distR="0" wp14:anchorId="1CD11A69" wp14:editId="1CEEFD1F">
                  <wp:extent cx="2682240" cy="1747520"/>
                  <wp:effectExtent l="0" t="0" r="3810" b="5080"/>
                  <wp:docPr id="63029330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293305" name="Picture 1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0" y="0"/>
                            <a:ext cx="2688574" cy="1751864"/>
                          </a:xfrm>
                          <a:prstGeom prst="rect">
                            <a:avLst/>
                          </a:prstGeom>
                          <a:noFill/>
                          <a:ln>
                            <a:noFill/>
                          </a:ln>
                        </pic:spPr>
                      </pic:pic>
                    </a:graphicData>
                  </a:graphic>
                </wp:inline>
              </w:drawing>
            </w:r>
          </w:p>
        </w:tc>
      </w:tr>
    </w:tbl>
    <w:p w14:paraId="2C562F0B" w14:textId="77777777" w:rsidR="00FB0A3F" w:rsidRDefault="00000000">
      <w:bookmarkStart w:id="423" w:name="_Toc143810740"/>
      <w:r>
        <w:rPr>
          <w:i/>
          <w:iCs/>
          <w:sz w:val="18"/>
          <w:szCs w:val="18"/>
        </w:rPr>
        <w:t>The proportion of recruits versus pre-recruits, expressed as percentage of recruits for a) Central Zone, b) Eastern Zone, c) 120 mm LML and d) 110 mm LML. The dashed grey line represents the line of best fit for these data. The solid black line that runs from the origin of the axis should be the theoretical line of best fit if there was no bias in these data collection methods.</w:t>
      </w:r>
      <w:bookmarkEnd w:id="423"/>
      <w:r>
        <w:tab/>
      </w:r>
    </w:p>
    <w:p w14:paraId="18300757" w14:textId="24A5287F" w:rsidR="00FB0A3F" w:rsidRDefault="00000000" w:rsidP="009F5FEE">
      <w:pPr>
        <w:pStyle w:val="Heading2"/>
      </w:pPr>
      <w:bookmarkStart w:id="424" w:name="_Toc192777261"/>
      <w:r>
        <w:lastRenderedPageBreak/>
        <w:t xml:space="preserve">Appendix </w:t>
      </w:r>
      <w:r w:rsidR="009F5FEE">
        <w:t>3</w:t>
      </w:r>
      <w:r>
        <w:t>: Summary of abalone length measuring in CZ updated to December 202</w:t>
      </w:r>
      <w:r w:rsidR="00383A7C">
        <w:t>4</w:t>
      </w:r>
      <w:r>
        <w:t>.</w:t>
      </w:r>
      <w:bookmarkEnd w:id="424"/>
    </w:p>
    <w:p w14:paraId="059645C3" w14:textId="42B57435" w:rsidR="00FB0A3F" w:rsidRDefault="00000000">
      <w:r>
        <w:t xml:space="preserve">Prepared by Dr Duncan Worthington, </w:t>
      </w:r>
      <w:r w:rsidR="00383A7C">
        <w:t>28</w:t>
      </w:r>
      <w:r>
        <w:t xml:space="preserve"> </w:t>
      </w:r>
      <w:r w:rsidR="00383A7C">
        <w:t xml:space="preserve">February </w:t>
      </w:r>
      <w:r>
        <w:t>202</w:t>
      </w:r>
      <w:r w:rsidR="00383A7C">
        <w:t>5</w:t>
      </w:r>
    </w:p>
    <w:p w14:paraId="70FF0ECF" w14:textId="77777777" w:rsidR="00FB0A3F" w:rsidRDefault="00000000">
      <w:pPr>
        <w:rPr>
          <w:i/>
          <w:iCs/>
        </w:rPr>
      </w:pPr>
      <w:r>
        <w:rPr>
          <w:i/>
          <w:iCs/>
        </w:rPr>
        <w:t xml:space="preserve">Background </w:t>
      </w:r>
    </w:p>
    <w:p w14:paraId="792CC61F" w14:textId="77777777" w:rsidR="007C13C4" w:rsidRDefault="007C13C4">
      <w:r w:rsidRPr="007C13C4">
        <w:t xml:space="preserve">Following a request from MRAG and ACV, an updated summary of the Central Zone (CZ) length measuring program at the scale of SMUs was completed, including all data available from the fishery until December 2024. This document will be attached as Appendix 3 to an earlier more detailed document summarising the measuring program and approach to analysis, which was first completed in June 2020 and last updated in February 2021 and with Appendix 1 and 2 added in April 2023 and April 2024. This document provides a brief update and summary of the available data, with fine-scale standardisation summarised at the scale of SMU, brief interpretation and recommendations for further development, particularly including interpretation at finer spatial and temporal scales, and importantly together with other fishery indicators and diver interpretation. This document updates the data summarised in April 2024 from December 2023 to December 2024 (i.e. new data from about 110k measured abalone for the two most recent fishing periods in 2023-24 and 2024-25). </w:t>
      </w:r>
    </w:p>
    <w:p w14:paraId="42C3F22A" w14:textId="45B99B7B" w:rsidR="00FB0A3F" w:rsidRDefault="007C13C4">
      <w:r w:rsidRPr="007C13C4">
        <w:t xml:space="preserve">Previous reports have described substantial increases in the average length of abalone landed by the commercial fishery in CZ from 2014 to 2023. This report describes further increases in the length of abalone landed in several SMU since December 2023. Increases in average length are often a positive indicator of change in the abalone stock, including from reduced fishing mortality and/or increasing biomass. Despite that, interpretation of trends in average length can also be confounded with several factors related to the stock and fishery (e.g. reduced recruitment, fishing to market preferred lengths), and the data summarised here should be further investigated and interpreted with other fishery indicators, diver interpretations, and in the broader stock assessment including at finer spatial scales. These data, showing an increase in the length of abalone landed by the commercial fishery, highlight the importance of also collecting estimates of abalone length from fishery-independent surveys in areas that are representative of the fishery. The large number of abalone measured can also provide significant information about finer-scale trends in abalone stocks (e.g. at scales of </w:t>
      </w:r>
      <w:proofErr w:type="spellStart"/>
      <w:r w:rsidRPr="007C13C4">
        <w:t>reefcode</w:t>
      </w:r>
      <w:proofErr w:type="spellEnd"/>
      <w:r w:rsidRPr="007C13C4">
        <w:t>, and sites within-</w:t>
      </w:r>
      <w:proofErr w:type="spellStart"/>
      <w:r w:rsidRPr="007C13C4">
        <w:t>reefcodes</w:t>
      </w:r>
      <w:proofErr w:type="spellEnd"/>
      <w:r w:rsidRPr="007C13C4">
        <w:t>).</w:t>
      </w:r>
    </w:p>
    <w:p w14:paraId="70FC0C01" w14:textId="77777777" w:rsidR="007C13C4" w:rsidRDefault="007C13C4">
      <w:r w:rsidRPr="007C13C4">
        <w:t xml:space="preserve">The CZ measuring program in recent years has seen a significant reduction in the number of abalone measured and available for analysis, the number of divers measuring (e.g. only 4 divers measured most of the new data), the spatial extent of their measuring, and the limited resources and management of the program. </w:t>
      </w:r>
      <w:proofErr w:type="gramStart"/>
      <w:r w:rsidRPr="007C13C4">
        <w:t>In particular, there</w:t>
      </w:r>
      <w:proofErr w:type="gramEnd"/>
      <w:r w:rsidRPr="007C13C4">
        <w:t xml:space="preserve"> has been reduced funding available for the QA/QC needed for appropriate management of the measuring board program, database management and analysis. Reduced and limited resources for the program adds greater uncertainty to the data, its representation of the stock and fishery, and as a result interpretations made from the data. This includes impacts on the utility of the data set, particularly estimates of length within some SMU and at finer scales, and development of the important data set used for stock assessment in CZ. </w:t>
      </w:r>
    </w:p>
    <w:p w14:paraId="06A5325B" w14:textId="47E9D779" w:rsidR="007C13C4" w:rsidRPr="007C13C4" w:rsidRDefault="007C13C4">
      <w:pPr>
        <w:rPr>
          <w:i/>
          <w:iCs/>
        </w:rPr>
      </w:pPr>
      <w:r w:rsidRPr="007C13C4">
        <w:rPr>
          <w:i/>
          <w:iCs/>
        </w:rPr>
        <w:t>The measuring program, trends in length and their interpretation</w:t>
      </w:r>
    </w:p>
    <w:p w14:paraId="619228F5" w14:textId="77777777" w:rsidR="00F93D72" w:rsidRDefault="007C13C4">
      <w:r w:rsidRPr="007C13C4">
        <w:t>From April 2014 until December 2024, over 1.54 million individual abalone (i.e. weighing &gt;550 t) have been measured with GPS-enabled measuring boards by commercial divers in the CZ abalone fishery (see Table 1 for count of abalone measured per SMU). Changes in legal minimum lengths have also occurred during this time, and a history of these within each SMU is shown in Table 2. Individual lengths and associated detail of collection time, date and location were initially downloaded from boards manually, then with upgraded internet-enabled measuring boards to an FTP site, and now mostly direct to a separate cloud-based MySQL database. Data were initially stored and combined with historical data in a SQL Server database, and now the FTP and MySQL files are transferred to the SQL Server database for summary and analysis. The data is</w:t>
      </w:r>
      <w:r w:rsidR="00F93D72">
        <w:t xml:space="preserve"> </w:t>
      </w:r>
      <w:r w:rsidR="00F93D72" w:rsidRPr="00F93D72">
        <w:t xml:space="preserve">filtered to remove outliers, and the average length of abalone landed per diver day within each of 134 Sites (i.e. initially </w:t>
      </w:r>
      <w:r w:rsidR="00F93D72" w:rsidRPr="00F93D72">
        <w:lastRenderedPageBreak/>
        <w:t xml:space="preserve">identified as spatial clusters of diver activity and measuring) is calculated and standardised by a GLM with factors including the Year (i.e. Quota Year), Diver, Site and SMU. A mixed-effect GLM has also been developed for analysis, consistent with changes to the catch rate standardisation in the stock assessment. Standardised estimates of mean length are normalised to the raw average length within each SMU during the most recent full year (see Appendix 1 for raw means), to standardise to a distribution of catch represented by the most recent full year. Note this normalises </w:t>
      </w:r>
      <w:proofErr w:type="spellStart"/>
      <w:r w:rsidR="00F93D72" w:rsidRPr="00F93D72">
        <w:t>PromW</w:t>
      </w:r>
      <w:proofErr w:type="spellEnd"/>
      <w:r w:rsidR="00F93D72" w:rsidRPr="00F93D72">
        <w:t xml:space="preserve"> to a higher length consistent with more catch and measuring from the islands, and analysis includes standardised trends through time modelled as consistent across length. </w:t>
      </w:r>
    </w:p>
    <w:p w14:paraId="333F637C" w14:textId="77777777" w:rsidR="007C13C4" w:rsidRDefault="00F93D72">
      <w:r w:rsidRPr="00F93D72">
        <w:t xml:space="preserve">During the current measuring program since 2014, the average length of abalone measured has increased in all SMU (see Figure 1 for standardised, and Figure 4 and Figure 10 for raw), except </w:t>
      </w:r>
      <w:proofErr w:type="spellStart"/>
      <w:r w:rsidRPr="00F93D72">
        <w:t>Cliffys</w:t>
      </w:r>
      <w:proofErr w:type="spellEnd"/>
      <w:r w:rsidRPr="00F93D72">
        <w:t xml:space="preserve"> where average length had declined by 2020-21 (i.e. and no data are available at </w:t>
      </w:r>
      <w:proofErr w:type="spellStart"/>
      <w:r w:rsidRPr="00F93D72">
        <w:t>Cliffys</w:t>
      </w:r>
      <w:proofErr w:type="spellEnd"/>
      <w:r w:rsidRPr="00F93D72">
        <w:t xml:space="preserve"> from July 2022 to Dec 2024). Increases in length were largest at Liptrap, Flinders, Back Beaches and Phillip Is, and lower at </w:t>
      </w:r>
      <w:proofErr w:type="spellStart"/>
      <w:r w:rsidRPr="00F93D72">
        <w:t>Kilkunda</w:t>
      </w:r>
      <w:proofErr w:type="spellEnd"/>
      <w:r w:rsidRPr="00F93D72">
        <w:t xml:space="preserve">. Increases in length in recent years have been larger than in the 2000-2007 data set in most of the SMU with larger catch, and except </w:t>
      </w:r>
      <w:proofErr w:type="spellStart"/>
      <w:r w:rsidRPr="00F93D72">
        <w:t>Kilkunda</w:t>
      </w:r>
      <w:proofErr w:type="spellEnd"/>
      <w:r w:rsidRPr="00F93D72">
        <w:t xml:space="preserve">, </w:t>
      </w:r>
      <w:proofErr w:type="spellStart"/>
      <w:r w:rsidRPr="00F93D72">
        <w:t>PromW</w:t>
      </w:r>
      <w:proofErr w:type="spellEnd"/>
      <w:r w:rsidRPr="00F93D72">
        <w:t xml:space="preserve">, </w:t>
      </w:r>
      <w:proofErr w:type="spellStart"/>
      <w:r w:rsidRPr="00F93D72">
        <w:t>PromE</w:t>
      </w:r>
      <w:proofErr w:type="spellEnd"/>
      <w:r w:rsidRPr="00F93D72">
        <w:t xml:space="preserve"> and </w:t>
      </w:r>
      <w:proofErr w:type="spellStart"/>
      <w:r w:rsidRPr="00F93D72">
        <w:t>Cliffys</w:t>
      </w:r>
      <w:proofErr w:type="spellEnd"/>
      <w:r w:rsidRPr="00F93D72">
        <w:t>. In most SMU, increase in average length occurred coincident with LML increases in some years, and similar increases in average length also occurred in years with no LML increase (Figure 1 and see Figure 2 which shows the impact of increased LML). In several SMU, the largest increase in average length occurred following the period of reduced catch in the 2020 calendar year (i.e. 109 t throughout CZ, related to Covid and weak markets), and LML increases in April 2020 (see Figure 2 and quarterly estimates in Figure 3).</w:t>
      </w:r>
      <w:r>
        <w:t xml:space="preserve"> </w:t>
      </w:r>
    </w:p>
    <w:p w14:paraId="067BBF1F" w14:textId="22861291" w:rsidR="00F93D72" w:rsidRDefault="00F93D72">
      <w:r w:rsidRPr="00F93D72">
        <w:t xml:space="preserve">Large increase in the length of abalone landed have been observed in most SMU in recent years. Increases in the length of abalone landed, imply proportional increases in their weight (see Figure 5 and 6) and regardless of the cause, lead to direct reductions in the number of abalone landed by the fishery for a given quota or TAC (see Figure 7 and 8). This should lead to more individual abalone being left on the reef for a given catch, which should help recovery. Landing of </w:t>
      </w:r>
      <w:proofErr w:type="gramStart"/>
      <w:r w:rsidRPr="00F93D72">
        <w:t>more larger</w:t>
      </w:r>
      <w:proofErr w:type="gramEnd"/>
      <w:r w:rsidRPr="00F93D72">
        <w:t xml:space="preserve"> abalone can also be caused by more directed and concentrated fishing at sites where abalone grow larger, which can increase fishing impacts at large-growing sites while reducing them at smaller-growing sites. Market preferences (and higher beach prices) can encourage divers to target sites where abalone grow larger, and to land and measure more large abalone. Length-frequency distributions when this occurs often include higher frequency length-classes well above the minimum size limit (i.e. and less frequency just above the LML), and such distributions are more common in recent years (e.g. Figure 9). While it is always difficult to discriminate between changes in length caused by fishing to market preferred lengths, and other changes in the stock, the large reduction in the number of divers measuring and abalone measured has made the measuring program more vulnerable to this uncertainty.</w:t>
      </w:r>
    </w:p>
    <w:p w14:paraId="3E76F301" w14:textId="74554973" w:rsidR="00F93D72" w:rsidRDefault="00F93D72">
      <w:pPr>
        <w:spacing w:before="0" w:after="0"/>
      </w:pPr>
      <w:r>
        <w:br w:type="page"/>
      </w:r>
    </w:p>
    <w:p w14:paraId="06EFA3B0" w14:textId="57097EE5" w:rsidR="00F93D72" w:rsidRPr="00063536" w:rsidRDefault="00F93D72">
      <w:pPr>
        <w:rPr>
          <w:sz w:val="20"/>
          <w:szCs w:val="20"/>
        </w:rPr>
      </w:pPr>
      <w:bookmarkStart w:id="425" w:name="_Hlk192768908"/>
      <w:r w:rsidRPr="00063536">
        <w:rPr>
          <w:sz w:val="20"/>
          <w:szCs w:val="20"/>
        </w:rPr>
        <w:lastRenderedPageBreak/>
        <w:t>Figure 1. Trends in the average length of abalone landed for each SMU since 2014, with error bars showing SE among diver-days, and standardised values normalised to the raw average in the most recent fishing period with data in each SMU. The range of annual un-standardised average length from the earlier 2000- 2007 dataset are also shown for individuals above the size limits in 2019-20.</w:t>
      </w:r>
    </w:p>
    <w:bookmarkEnd w:id="425"/>
    <w:p w14:paraId="434CBA0D" w14:textId="6BA03A20" w:rsidR="00F93D72" w:rsidRDefault="00F93D72" w:rsidP="00063536">
      <w:pPr>
        <w:jc w:val="center"/>
      </w:pPr>
      <w:r w:rsidRPr="00F93D72">
        <w:rPr>
          <w:noProof/>
        </w:rPr>
        <w:drawing>
          <wp:inline distT="0" distB="0" distL="0" distR="0" wp14:anchorId="7CE2DA3A" wp14:editId="408727AD">
            <wp:extent cx="4946072" cy="4805330"/>
            <wp:effectExtent l="0" t="0" r="6985" b="0"/>
            <wp:docPr id="1784873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873717" name=""/>
                    <pic:cNvPicPr/>
                  </pic:nvPicPr>
                  <pic:blipFill>
                    <a:blip r:embed="rId103"/>
                    <a:stretch>
                      <a:fillRect/>
                    </a:stretch>
                  </pic:blipFill>
                  <pic:spPr>
                    <a:xfrm>
                      <a:off x="0" y="0"/>
                      <a:ext cx="4970188" cy="4828759"/>
                    </a:xfrm>
                    <a:prstGeom prst="rect">
                      <a:avLst/>
                    </a:prstGeom>
                  </pic:spPr>
                </pic:pic>
              </a:graphicData>
            </a:graphic>
          </wp:inline>
        </w:drawing>
      </w:r>
    </w:p>
    <w:p w14:paraId="27239E56" w14:textId="48BF932E" w:rsidR="00F93D72" w:rsidRDefault="00F93D72">
      <w:r w:rsidRPr="00F93D72">
        <w:t xml:space="preserve">With the latest data in the most recent two Quota Years, the average length of abalone measured increased in all SMU with good data available, except </w:t>
      </w:r>
      <w:proofErr w:type="spellStart"/>
      <w:r w:rsidRPr="00F93D72">
        <w:t>Kilkunda</w:t>
      </w:r>
      <w:proofErr w:type="spellEnd"/>
      <w:r w:rsidRPr="00F93D72">
        <w:t xml:space="preserve"> where lengths were stable. Change in average length among adjacent SMU were similar, with strong inter-annual correlation at Flinders, Phillip Is and Back Beaches, in particular (Figure 1). Using the measured lengths to estimate weight, the weight of an individual abalone has also increased ranging from a &gt;20% increase at Shipwreck and Liptrap to a &gt;10% increase at Back Beaches, Flinders and Phillip Is, and a &gt;5% increase at </w:t>
      </w:r>
      <w:proofErr w:type="spellStart"/>
      <w:r w:rsidRPr="00F93D72">
        <w:t>Otways</w:t>
      </w:r>
      <w:proofErr w:type="spellEnd"/>
      <w:r w:rsidRPr="00F93D72">
        <w:t xml:space="preserve">, </w:t>
      </w:r>
      <w:proofErr w:type="spellStart"/>
      <w:r w:rsidRPr="00F93D72">
        <w:t>PromW</w:t>
      </w:r>
      <w:proofErr w:type="spellEnd"/>
      <w:r w:rsidRPr="00F93D72">
        <w:t xml:space="preserve"> and </w:t>
      </w:r>
      <w:proofErr w:type="spellStart"/>
      <w:r w:rsidRPr="00F93D72">
        <w:t>PromE</w:t>
      </w:r>
      <w:proofErr w:type="spellEnd"/>
      <w:r w:rsidRPr="00F93D72">
        <w:t xml:space="preserve">, to a 6% decline at </w:t>
      </w:r>
      <w:proofErr w:type="spellStart"/>
      <w:r w:rsidRPr="00F93D72">
        <w:t>Cliffys</w:t>
      </w:r>
      <w:proofErr w:type="spellEnd"/>
      <w:r w:rsidRPr="00F93D72">
        <w:t xml:space="preserve"> (see also Figure 7). An increase in the average weight of individuals leads to fewer individuals being landed for the same catch or TAC. For example, at current average lengths, a 5 mm increase in length can increase weight by 11-13%, and so reduce abalone landed to catch the TAC.</w:t>
      </w:r>
    </w:p>
    <w:p w14:paraId="4EDCCCC1" w14:textId="32E79998" w:rsidR="00F93D72" w:rsidRDefault="00F93D72">
      <w:r w:rsidRPr="00F93D72">
        <w:t xml:space="preserve">This document provides estimates of trends in the average length of abalone for interpretation in stock assessment, ideally together with other indicators. Increase in average length are often a positive indicator for change in fishing mortality and the abalone stock. Despite that, interpretation of trends in average length can be confounded by several factors. For example, average length can increase with more larger abalone (e.g. from lower fishing mortality), or fewer small abalone (e.g. a decline in recruitment to the fishery). To investigate this, further analysis should develop other indicators from the length-frequency distributions, including change in the frequency of smaller and larger abalone (e.g. recent recruits compared to larger abalone, as is done in WZ) and their </w:t>
      </w:r>
      <w:r w:rsidRPr="00F93D72">
        <w:lastRenderedPageBreak/>
        <w:t>relationship with other stock indicators. Change in average length can also be impacted by change in the spatial distribution of catch and measuring. Effects of spatial change in the distribution of catch and measuring have been standardised by making comparisons through time at 134 Sites throughout CZ (i.e. averaging length within sites, not across them). Trends in average length can also be impacted by change in the minimum length limit (LML), diver’s daily catches and abalone size preference (e.g. market driven), and recent change in total catch and stock biomass (i.e. local and broader fishing mortality). For example, total catch in CZ in the 3 fishing periods prior to the start of the 2014-2024 measuring program was ~300 t, compared to ~240 t and below in the 3 most recent periods. Some SMU have also seen significant change in catch and LML over the 2014-2024 measuring program.</w:t>
      </w:r>
    </w:p>
    <w:p w14:paraId="04456085" w14:textId="77777777" w:rsidR="00F93D72" w:rsidRDefault="00F93D72">
      <w:r w:rsidRPr="00F93D72">
        <w:t xml:space="preserve">Importantly, the large reduction in catch during the 2020 calendar year (i.e. 109 t throughout CZ), coincident with Covid impacts and LML increases, appears to have strongly influenced the length of abalone in several SMU. Despite the range of possible confounding factors, ongoing increases in the average length of abalone landed, particularly when temporally consistent with reductions in catch (e.g. during 2020 and among years) and correlated among SMU, are likely to be associated with reduced fishing mortality (i.e. the relationship between total catch and the availability of legal-sized abalone and stock biomass). Further, an increase in the average length and weight of individuals also leads to fewer individuals being landed for the same catch. While changes in length appear to have gained momentum during 2020, it is also important that the increases in length continue through more recent years, including 2024-25. </w:t>
      </w:r>
    </w:p>
    <w:p w14:paraId="0AD63FC8" w14:textId="2CBA5B18" w:rsidR="00F93D72" w:rsidRPr="00F93D72" w:rsidRDefault="00F93D72">
      <w:pPr>
        <w:rPr>
          <w:i/>
          <w:iCs/>
        </w:rPr>
      </w:pPr>
      <w:r w:rsidRPr="00F93D72">
        <w:rPr>
          <w:i/>
          <w:iCs/>
        </w:rPr>
        <w:t>Effect of change in minimum size limits</w:t>
      </w:r>
    </w:p>
    <w:p w14:paraId="34F1DF30" w14:textId="77777777" w:rsidR="00F93D72" w:rsidRDefault="00F93D72">
      <w:r w:rsidRPr="00F93D72">
        <w:t>During the time covered by the measuring program the LML within many SMU has changed (see Table 2 for history of LML changes). To estimate the effect of the LML changes on the average length of abalone landed, the standardisation was calculated for abalone at the LML active in each year, and then repeated for all years at the current LML (i.e. 2022-23) for 5 selected SMU (Figure 2). Increases in average length for the active LML each year (i.e. coloured lines in Figure 2) were greater than those from the average length in each year above the current LML (i.e. black lines in Figure 2). This suggests increases in LML have increased the average length of abalone landed, as expected, but that increases related to the LML changes are small compared to the ongoing increases in length. There have been increases in average length in most SMU and years that have not been related to LML increases (i.e. black lines in Figure 2). As described above, there are a range of possible factors contributing to increases in average length, in addition to increased LML and spatial changes in effort (i.e. with some removed in standardisation), including reduced fishing mortality and</w:t>
      </w:r>
      <w:r>
        <w:t xml:space="preserve"> </w:t>
      </w:r>
      <w:r w:rsidRPr="00F93D72">
        <w:t xml:space="preserve">other factors (e.g. recruitment changes and market preferences). Despite that, the consistency of patterns among SMU (e.g. particularly Flinders and Phillip Is) suggest broader-scale factors are also influencing the increase in average length within the CZ abalone fishery. </w:t>
      </w:r>
    </w:p>
    <w:p w14:paraId="7E726F5E" w14:textId="3E0C0895" w:rsidR="00F93D72" w:rsidRDefault="00F93D72">
      <w:r w:rsidRPr="00F93D72">
        <w:t>Historic length measuring data from 2002-07 were previously summarised using the 2019-20 LML, to aid comparison with more recent years. Since 2019-20, further LML changes have been made in several SMU, and the historic length-measuring data should be re-summarised consistent with the most recent LML. The historic length measuring data from 2002-07, also provides considerable information about the spatial location of the fishery in the early 2000s, to help interpret the spatial location of fishery-independent abundance survey sites.</w:t>
      </w:r>
      <w:r>
        <w:t xml:space="preserve"> </w:t>
      </w:r>
    </w:p>
    <w:p w14:paraId="40E7BDEE" w14:textId="156E2BA8" w:rsidR="00F93D72" w:rsidRDefault="00F93D72">
      <w:pPr>
        <w:spacing w:before="0" w:after="0"/>
      </w:pPr>
      <w:r>
        <w:br w:type="page"/>
      </w:r>
    </w:p>
    <w:p w14:paraId="3E8D777D" w14:textId="50BCF18B" w:rsidR="00F93D72" w:rsidRPr="00063536" w:rsidRDefault="00F93D72">
      <w:pPr>
        <w:rPr>
          <w:sz w:val="20"/>
          <w:szCs w:val="20"/>
        </w:rPr>
      </w:pPr>
      <w:r w:rsidRPr="00063536">
        <w:rPr>
          <w:sz w:val="20"/>
          <w:szCs w:val="20"/>
        </w:rPr>
        <w:lastRenderedPageBreak/>
        <w:t xml:space="preserve">Figure 2. Estimated effect of change in LML on trends in average length of abalone within 5 SMU. Coloured lines show length at the LML active in each year, and black lines show length above a constant minimum length equal to the LML in 2021-22 (i.e. Shipwreck 130 mm, </w:t>
      </w:r>
      <w:proofErr w:type="spellStart"/>
      <w:r w:rsidRPr="00063536">
        <w:rPr>
          <w:sz w:val="20"/>
          <w:szCs w:val="20"/>
        </w:rPr>
        <w:t>Otways</w:t>
      </w:r>
      <w:proofErr w:type="spellEnd"/>
      <w:r w:rsidRPr="00063536">
        <w:rPr>
          <w:sz w:val="20"/>
          <w:szCs w:val="20"/>
        </w:rPr>
        <w:t xml:space="preserve"> 125 mm, Back Beaches 119 mm, Flinders and Phillip Is 112 mm). The black line shows the estimated trend in average length if there was no change in LML.</w:t>
      </w:r>
    </w:p>
    <w:p w14:paraId="165A7E1D" w14:textId="189FBB84" w:rsidR="00F93D72" w:rsidRDefault="00F93D72" w:rsidP="00063536">
      <w:pPr>
        <w:jc w:val="center"/>
      </w:pPr>
      <w:r w:rsidRPr="00F93D72">
        <w:rPr>
          <w:noProof/>
        </w:rPr>
        <w:drawing>
          <wp:inline distT="0" distB="0" distL="0" distR="0" wp14:anchorId="42E975E5" wp14:editId="7E086D2D">
            <wp:extent cx="4530436" cy="4463019"/>
            <wp:effectExtent l="0" t="0" r="3810" b="0"/>
            <wp:docPr id="1341677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77387" name=""/>
                    <pic:cNvPicPr/>
                  </pic:nvPicPr>
                  <pic:blipFill>
                    <a:blip r:embed="rId104"/>
                    <a:stretch>
                      <a:fillRect/>
                    </a:stretch>
                  </pic:blipFill>
                  <pic:spPr>
                    <a:xfrm>
                      <a:off x="0" y="0"/>
                      <a:ext cx="4546846" cy="4479185"/>
                    </a:xfrm>
                    <a:prstGeom prst="rect">
                      <a:avLst/>
                    </a:prstGeom>
                  </pic:spPr>
                </pic:pic>
              </a:graphicData>
            </a:graphic>
          </wp:inline>
        </w:drawing>
      </w:r>
    </w:p>
    <w:p w14:paraId="6C024BED" w14:textId="77777777" w:rsidR="00F93D72" w:rsidRPr="00F93D72" w:rsidRDefault="00F93D72">
      <w:pPr>
        <w:rPr>
          <w:i/>
          <w:iCs/>
        </w:rPr>
      </w:pPr>
      <w:r w:rsidRPr="00F93D72">
        <w:rPr>
          <w:i/>
          <w:iCs/>
        </w:rPr>
        <w:t xml:space="preserve">Developing the approach to using length measuring </w:t>
      </w:r>
    </w:p>
    <w:p w14:paraId="59282EC5" w14:textId="2F27A135" w:rsidR="00F93D72" w:rsidRDefault="00F93D72">
      <w:r w:rsidRPr="00F93D72">
        <w:t xml:space="preserve">This report has repeated the previous approach of standardisation developed in </w:t>
      </w:r>
      <w:proofErr w:type="gramStart"/>
      <w:r w:rsidRPr="00F93D72">
        <w:t>2020, and</w:t>
      </w:r>
      <w:proofErr w:type="gramEnd"/>
      <w:r w:rsidRPr="00F93D72">
        <w:t xml:space="preserve"> applied in most years since then. As well as involving more divers in the collection of abalone length data while fishing, appropriate resources should be allocated to further develop and automate the approach for analysis and presentation of length measuring data in CZ. This should include development of indicators for smaller and larger abalone to aid interpretation (e.g. frequency of individuals near the LML, and length of abalone &gt;20 mm above the LML), summary of historic data with current LML applied, greater consideration and development of spatial structure and the impact of both daily catch and total catch per SMU in recent years, and include more fine-scale assessment (e.g. </w:t>
      </w:r>
      <w:proofErr w:type="spellStart"/>
      <w:r w:rsidRPr="00F93D72">
        <w:t>Reefcode</w:t>
      </w:r>
      <w:proofErr w:type="spellEnd"/>
      <w:r w:rsidRPr="00F93D72">
        <w:t xml:space="preserve"> and below, and within years). There has also been interest in the development of approaches like SPR, that combine demographic models with observed length data to provide estimates of likely stock depletion and their relationship to target lengths. Two technical issues also need further </w:t>
      </w:r>
      <w:proofErr w:type="gramStart"/>
      <w:r w:rsidRPr="00F93D72">
        <w:t>investigation, and</w:t>
      </w:r>
      <w:proofErr w:type="gramEnd"/>
      <w:r w:rsidRPr="00F93D72">
        <w:t xml:space="preserve"> are highlighted in Figure 3. First, the potential for quarterly standardisation of data within the Back Beaches SMU on the left, and second, on the right the impacts of a potential malfunctioning measuring board are demonstrated at the </w:t>
      </w:r>
      <w:proofErr w:type="spellStart"/>
      <w:r w:rsidRPr="00F93D72">
        <w:t>Otways</w:t>
      </w:r>
      <w:proofErr w:type="spellEnd"/>
      <w:r w:rsidRPr="00F93D72">
        <w:t xml:space="preserve">, and both need further investigation. For example, in several SMU, quarterly assessment of several fishery indicators, including catch, catch rate and lengths appear to show significant change in the stock, and particularly increase in average length, coincident with reduced catch related to Covid impacts during the 2020 calendar year (e.g. 27 t average catch per quarter in 2020, compared to 65 t for </w:t>
      </w:r>
      <w:r w:rsidRPr="00F93D72">
        <w:lastRenderedPageBreak/>
        <w:t xml:space="preserve">previous and subsequent 2 years) and LML increase (Figure 2). This quarterly change in fishery indicators in several key </w:t>
      </w:r>
      <w:proofErr w:type="gramStart"/>
      <w:r w:rsidRPr="00F93D72">
        <w:t>SMU, and</w:t>
      </w:r>
      <w:proofErr w:type="gramEnd"/>
      <w:r w:rsidRPr="00F93D72">
        <w:t xml:space="preserve"> catch at several spatial and time-scales (i.e. within 2020, and pre-2014 to recent years), each potentially related to reduction in fishing mortality suggested by the coincidence of reduced catch and increasing average length, does not appear to be considered in previous fishery Stock Assessment.</w:t>
      </w:r>
      <w:r>
        <w:t xml:space="preserve"> </w:t>
      </w:r>
    </w:p>
    <w:p w14:paraId="6F898914" w14:textId="7D97F680" w:rsidR="00F93D72" w:rsidRPr="00063536" w:rsidRDefault="00F93D72">
      <w:pPr>
        <w:rPr>
          <w:sz w:val="20"/>
          <w:szCs w:val="20"/>
        </w:rPr>
      </w:pPr>
      <w:r w:rsidRPr="00063536">
        <w:rPr>
          <w:sz w:val="20"/>
          <w:szCs w:val="20"/>
        </w:rPr>
        <w:t xml:space="preserve">Figure 3. Trends in average length in two SMU, when standardised quarterly at Back Beaches, and when a possibly malfunctioning board is removed from the data set at </w:t>
      </w:r>
      <w:proofErr w:type="spellStart"/>
      <w:r w:rsidRPr="00063536">
        <w:rPr>
          <w:sz w:val="20"/>
          <w:szCs w:val="20"/>
        </w:rPr>
        <w:t>Otways</w:t>
      </w:r>
      <w:proofErr w:type="spellEnd"/>
      <w:r w:rsidRPr="00063536">
        <w:rPr>
          <w:sz w:val="20"/>
          <w:szCs w:val="20"/>
        </w:rPr>
        <w:t>.</w:t>
      </w:r>
    </w:p>
    <w:p w14:paraId="14E0A3A0" w14:textId="102A685C" w:rsidR="00F93D72" w:rsidRDefault="00F93D72" w:rsidP="00F93D72">
      <w:pPr>
        <w:jc w:val="center"/>
      </w:pPr>
      <w:r w:rsidRPr="00F93D72">
        <w:rPr>
          <w:noProof/>
        </w:rPr>
        <w:drawing>
          <wp:inline distT="0" distB="0" distL="0" distR="0" wp14:anchorId="45F24BDE" wp14:editId="1318EB4B">
            <wp:extent cx="4244708" cy="2110923"/>
            <wp:effectExtent l="0" t="0" r="3810" b="3810"/>
            <wp:docPr id="1962572594" name="Picture 1" descr="A graph of different types of grap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572594" name="Picture 1" descr="A graph of different types of graphs&#10;&#10;Description automatically generated with medium confidence"/>
                    <pic:cNvPicPr/>
                  </pic:nvPicPr>
                  <pic:blipFill>
                    <a:blip r:embed="rId105"/>
                    <a:stretch>
                      <a:fillRect/>
                    </a:stretch>
                  </pic:blipFill>
                  <pic:spPr>
                    <a:xfrm>
                      <a:off x="0" y="0"/>
                      <a:ext cx="4244708" cy="2110923"/>
                    </a:xfrm>
                    <a:prstGeom prst="rect">
                      <a:avLst/>
                    </a:prstGeom>
                  </pic:spPr>
                </pic:pic>
              </a:graphicData>
            </a:graphic>
          </wp:inline>
        </w:drawing>
      </w:r>
    </w:p>
    <w:p w14:paraId="6A9B228D" w14:textId="77777777" w:rsidR="00063536" w:rsidRDefault="00F93D72" w:rsidP="00063536">
      <w:pPr>
        <w:jc w:val="both"/>
      </w:pPr>
      <w:r w:rsidRPr="00F93D72">
        <w:t xml:space="preserve">Significant resources have already been committed by Industry to the collection of data in the recent length measuring program for almost a decade, despite the significant reduction in resources in recent years. Appropriate resources should be devoted to this important program, particularly including the number of divers measuring abalone lengths, </w:t>
      </w:r>
      <w:proofErr w:type="gramStart"/>
      <w:r w:rsidRPr="00F93D72">
        <w:t>and also</w:t>
      </w:r>
      <w:proofErr w:type="gramEnd"/>
      <w:r w:rsidRPr="00F93D72">
        <w:t xml:space="preserve"> be used to allow better analysis, summary and use of the now large and growing data set. Change in the length of abalone observed in the measuring program for the CZ fishery are already significant for interpretation and understanding of the fishery and stock dynamics, at SMU, </w:t>
      </w:r>
      <w:proofErr w:type="spellStart"/>
      <w:r w:rsidRPr="00F93D72">
        <w:t>Reefcode</w:t>
      </w:r>
      <w:proofErr w:type="spellEnd"/>
      <w:r w:rsidRPr="00F93D72">
        <w:t xml:space="preserve"> and smaller spatial scales, as well as trends within and among years. There is very limited other data or stock indicators in areas frequently used by the fishery, and particularly with the Fishery</w:t>
      </w:r>
      <w:r>
        <w:t xml:space="preserve"> </w:t>
      </w:r>
      <w:r w:rsidRPr="00F93D72">
        <w:t xml:space="preserve">Independent Survey sites not in areas frequently used by the fishery (i.e. as highlighter by FIS Review). As a </w:t>
      </w:r>
      <w:proofErr w:type="gramStart"/>
      <w:r w:rsidRPr="00F93D72">
        <w:t>consequence</w:t>
      </w:r>
      <w:proofErr w:type="gramEnd"/>
      <w:r w:rsidRPr="00F93D72">
        <w:t xml:space="preserve"> there is an urgent need to appropriately develop the length-measuring data and its interpretation into stock assessment approaches used by the fishery. An important part of this will be to encourage more divers to again ensure more </w:t>
      </w:r>
      <w:proofErr w:type="gramStart"/>
      <w:r w:rsidRPr="00F93D72">
        <w:t>abalone</w:t>
      </w:r>
      <w:proofErr w:type="gramEnd"/>
      <w:r w:rsidRPr="00F93D72">
        <w:t xml:space="preserve"> are measured throughout all SMU, and that appropriate resources are allocated for QA/QC, data management and analysis of this important data.</w:t>
      </w:r>
    </w:p>
    <w:p w14:paraId="52155CC1" w14:textId="3FD1B1B4" w:rsidR="00063536" w:rsidRDefault="00063536" w:rsidP="00063536">
      <w:pPr>
        <w:jc w:val="both"/>
      </w:pPr>
      <w:r w:rsidRPr="00063536">
        <w:rPr>
          <w:sz w:val="20"/>
          <w:szCs w:val="20"/>
        </w:rPr>
        <w:tab/>
        <w:t xml:space="preserve">Table 1. Number of abalone measured within each SMU and Fishing Period from 2014 until </w:t>
      </w:r>
      <w:proofErr w:type="gramStart"/>
      <w:r w:rsidRPr="00063536">
        <w:rPr>
          <w:sz w:val="20"/>
          <w:szCs w:val="20"/>
        </w:rPr>
        <w:t>December 2024, and</w:t>
      </w:r>
      <w:proofErr w:type="gramEnd"/>
      <w:r w:rsidRPr="00063536">
        <w:rPr>
          <w:sz w:val="20"/>
          <w:szCs w:val="20"/>
        </w:rPr>
        <w:t xml:space="preserve"> used in the standardisation. Note, this includes filtering the lengths of abalone, and several other filters for sample consistency, including a spatial location within the </w:t>
      </w:r>
      <w:proofErr w:type="spellStart"/>
      <w:r w:rsidRPr="00063536">
        <w:rPr>
          <w:sz w:val="20"/>
          <w:szCs w:val="20"/>
        </w:rPr>
        <w:t>Reefcodes</w:t>
      </w:r>
      <w:proofErr w:type="spellEnd"/>
      <w:r w:rsidRPr="00063536">
        <w:rPr>
          <w:sz w:val="20"/>
          <w:szCs w:val="20"/>
        </w:rPr>
        <w:t xml:space="preserve"> and SMU (i.e. not a GPS outside the </w:t>
      </w:r>
      <w:proofErr w:type="spellStart"/>
      <w:r w:rsidRPr="00063536">
        <w:rPr>
          <w:sz w:val="20"/>
          <w:szCs w:val="20"/>
        </w:rPr>
        <w:t>Reefcodes</w:t>
      </w:r>
      <w:proofErr w:type="spellEnd"/>
      <w:r w:rsidRPr="00063536">
        <w:rPr>
          <w:sz w:val="20"/>
          <w:szCs w:val="20"/>
        </w:rPr>
        <w:t>).</w:t>
      </w:r>
    </w:p>
    <w:p w14:paraId="189440DE" w14:textId="77777777" w:rsidR="00063536" w:rsidRDefault="00063536" w:rsidP="00063536">
      <w:pPr>
        <w:spacing w:before="0" w:after="0"/>
      </w:pPr>
      <w:r w:rsidRPr="00063536">
        <w:rPr>
          <w:noProof/>
        </w:rPr>
        <w:drawing>
          <wp:inline distT="0" distB="0" distL="0" distR="0" wp14:anchorId="4CD939B2" wp14:editId="630D16E0">
            <wp:extent cx="5541818" cy="2127912"/>
            <wp:effectExtent l="0" t="0" r="1905" b="5715"/>
            <wp:docPr id="1049350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350307" name=""/>
                    <pic:cNvPicPr/>
                  </pic:nvPicPr>
                  <pic:blipFill>
                    <a:blip r:embed="rId106"/>
                    <a:stretch>
                      <a:fillRect/>
                    </a:stretch>
                  </pic:blipFill>
                  <pic:spPr>
                    <a:xfrm>
                      <a:off x="0" y="0"/>
                      <a:ext cx="5547429" cy="2130067"/>
                    </a:xfrm>
                    <a:prstGeom prst="rect">
                      <a:avLst/>
                    </a:prstGeom>
                  </pic:spPr>
                </pic:pic>
              </a:graphicData>
            </a:graphic>
          </wp:inline>
        </w:drawing>
      </w:r>
    </w:p>
    <w:p w14:paraId="00B1FE20" w14:textId="33F961D7" w:rsidR="00063536" w:rsidRDefault="00063536" w:rsidP="00063536">
      <w:pPr>
        <w:spacing w:before="0" w:after="0"/>
      </w:pPr>
      <w:r w:rsidRPr="00063536">
        <w:rPr>
          <w:sz w:val="20"/>
          <w:szCs w:val="20"/>
        </w:rPr>
        <w:lastRenderedPageBreak/>
        <w:t>Figure 4. Trends in the raw average length of abalone landed for each SMU since 2014, with error bars showing SE (i.e. SD among means). The range of annual raw average length from the earlier 2000-2007 dataset are also shown for individuals above the size limits in 2019-20 (i.e. before the most recent LML increases).</w:t>
      </w:r>
    </w:p>
    <w:p w14:paraId="31FB55D0" w14:textId="5788220F" w:rsidR="00063536" w:rsidRDefault="00063536" w:rsidP="00063536">
      <w:pPr>
        <w:spacing w:before="0" w:after="0"/>
      </w:pPr>
      <w:r w:rsidRPr="00063536">
        <w:rPr>
          <w:noProof/>
        </w:rPr>
        <w:drawing>
          <wp:inline distT="0" distB="0" distL="0" distR="0" wp14:anchorId="1C8F8BB8" wp14:editId="7F593C02">
            <wp:extent cx="5731510" cy="5624195"/>
            <wp:effectExtent l="0" t="0" r="2540" b="0"/>
            <wp:docPr id="1929683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683746" name=""/>
                    <pic:cNvPicPr/>
                  </pic:nvPicPr>
                  <pic:blipFill>
                    <a:blip r:embed="rId107"/>
                    <a:stretch>
                      <a:fillRect/>
                    </a:stretch>
                  </pic:blipFill>
                  <pic:spPr>
                    <a:xfrm>
                      <a:off x="0" y="0"/>
                      <a:ext cx="5731510" cy="5624195"/>
                    </a:xfrm>
                    <a:prstGeom prst="rect">
                      <a:avLst/>
                    </a:prstGeom>
                  </pic:spPr>
                </pic:pic>
              </a:graphicData>
            </a:graphic>
          </wp:inline>
        </w:drawing>
      </w:r>
    </w:p>
    <w:p w14:paraId="3B630618" w14:textId="3D633ED8" w:rsidR="00157FA2" w:rsidRDefault="00157FA2">
      <w:pPr>
        <w:spacing w:before="0" w:after="0"/>
      </w:pPr>
      <w:r>
        <w:br w:type="page"/>
      </w:r>
    </w:p>
    <w:p w14:paraId="236EAC07" w14:textId="766BFE57" w:rsidR="00063536" w:rsidRPr="00157FA2" w:rsidRDefault="00157FA2" w:rsidP="00063536">
      <w:pPr>
        <w:spacing w:before="0" w:after="0"/>
        <w:rPr>
          <w:sz w:val="20"/>
          <w:szCs w:val="20"/>
        </w:rPr>
      </w:pPr>
      <w:r w:rsidRPr="00157FA2">
        <w:rPr>
          <w:sz w:val="20"/>
          <w:szCs w:val="20"/>
        </w:rPr>
        <w:lastRenderedPageBreak/>
        <w:t>Figure 5. Standardised average length (+SE) of measured abalone by SMU.</w:t>
      </w:r>
    </w:p>
    <w:p w14:paraId="4628CA63" w14:textId="333E054B" w:rsidR="00157FA2" w:rsidRDefault="00157FA2" w:rsidP="00063536">
      <w:pPr>
        <w:spacing w:before="0" w:after="0"/>
      </w:pPr>
      <w:r w:rsidRPr="00157FA2">
        <w:rPr>
          <w:noProof/>
        </w:rPr>
        <w:drawing>
          <wp:inline distT="0" distB="0" distL="0" distR="0" wp14:anchorId="6D5DE3F6" wp14:editId="45FF4CC7">
            <wp:extent cx="5692633" cy="5654530"/>
            <wp:effectExtent l="0" t="0" r="3810" b="3810"/>
            <wp:docPr id="2070854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854439" name=""/>
                    <pic:cNvPicPr/>
                  </pic:nvPicPr>
                  <pic:blipFill>
                    <a:blip r:embed="rId108"/>
                    <a:stretch>
                      <a:fillRect/>
                    </a:stretch>
                  </pic:blipFill>
                  <pic:spPr>
                    <a:xfrm>
                      <a:off x="0" y="0"/>
                      <a:ext cx="5692633" cy="5654530"/>
                    </a:xfrm>
                    <a:prstGeom prst="rect">
                      <a:avLst/>
                    </a:prstGeom>
                  </pic:spPr>
                </pic:pic>
              </a:graphicData>
            </a:graphic>
          </wp:inline>
        </w:drawing>
      </w:r>
    </w:p>
    <w:p w14:paraId="731398BF" w14:textId="51D7C767" w:rsidR="00157FA2" w:rsidRDefault="00157FA2">
      <w:pPr>
        <w:spacing w:before="0" w:after="0"/>
      </w:pPr>
      <w:r>
        <w:br w:type="page"/>
      </w:r>
    </w:p>
    <w:p w14:paraId="5E09A989" w14:textId="18DAECC3" w:rsidR="00157FA2" w:rsidRDefault="00157FA2" w:rsidP="00063536">
      <w:pPr>
        <w:spacing w:before="0" w:after="0"/>
      </w:pPr>
      <w:r w:rsidRPr="00157FA2">
        <w:rPr>
          <w:sz w:val="20"/>
          <w:szCs w:val="20"/>
        </w:rPr>
        <w:lastRenderedPageBreak/>
        <w:t>Figure 6. Standardised average weight of measured abalone by SMU, from standardised lengths and a length weight relationship.</w:t>
      </w:r>
    </w:p>
    <w:p w14:paraId="497B438A" w14:textId="40AE0E08" w:rsidR="00157FA2" w:rsidRDefault="00157FA2" w:rsidP="00063536">
      <w:pPr>
        <w:spacing w:before="0" w:after="0"/>
      </w:pPr>
      <w:r w:rsidRPr="00157FA2">
        <w:rPr>
          <w:noProof/>
        </w:rPr>
        <w:drawing>
          <wp:inline distT="0" distB="0" distL="0" distR="0" wp14:anchorId="705D1209" wp14:editId="58236BE6">
            <wp:extent cx="5731510" cy="5753735"/>
            <wp:effectExtent l="0" t="0" r="2540" b="0"/>
            <wp:docPr id="1575901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901114" name=""/>
                    <pic:cNvPicPr/>
                  </pic:nvPicPr>
                  <pic:blipFill>
                    <a:blip r:embed="rId109"/>
                    <a:stretch>
                      <a:fillRect/>
                    </a:stretch>
                  </pic:blipFill>
                  <pic:spPr>
                    <a:xfrm>
                      <a:off x="0" y="0"/>
                      <a:ext cx="5731510" cy="5753735"/>
                    </a:xfrm>
                    <a:prstGeom prst="rect">
                      <a:avLst/>
                    </a:prstGeom>
                  </pic:spPr>
                </pic:pic>
              </a:graphicData>
            </a:graphic>
          </wp:inline>
        </w:drawing>
      </w:r>
    </w:p>
    <w:p w14:paraId="2EFE116D" w14:textId="78B64078" w:rsidR="00F3723E" w:rsidRDefault="00F3723E">
      <w:pPr>
        <w:spacing w:before="0" w:after="0"/>
      </w:pPr>
      <w:r>
        <w:br w:type="page"/>
      </w:r>
    </w:p>
    <w:p w14:paraId="02D438CE" w14:textId="61A22EBE" w:rsidR="00157FA2" w:rsidRDefault="00F3723E" w:rsidP="00063536">
      <w:pPr>
        <w:spacing w:before="0" w:after="0"/>
        <w:rPr>
          <w:sz w:val="20"/>
          <w:szCs w:val="20"/>
        </w:rPr>
      </w:pPr>
      <w:r w:rsidRPr="00F3723E">
        <w:rPr>
          <w:sz w:val="20"/>
          <w:szCs w:val="20"/>
        </w:rPr>
        <w:lastRenderedPageBreak/>
        <w:t>Figure 7. Standardised average weight change (i.e. as a proportion of those in 2016-17, shown by vertical blue line = 1.0) of measured abalone by SMU, from standardised lengths and a length-weight relationship. For example, the standardised average weight of an abalone measured at Flinders in 2024-25 is estimated about 25% larger (i.e. 1.25) than in 2016-17.</w:t>
      </w:r>
    </w:p>
    <w:p w14:paraId="56463BC0" w14:textId="2B9A58CC" w:rsidR="00F3723E" w:rsidRDefault="00F3723E" w:rsidP="00063536">
      <w:pPr>
        <w:spacing w:before="0" w:after="0"/>
        <w:rPr>
          <w:sz w:val="20"/>
          <w:szCs w:val="20"/>
        </w:rPr>
      </w:pPr>
      <w:r w:rsidRPr="00F3723E">
        <w:rPr>
          <w:noProof/>
          <w:sz w:val="20"/>
          <w:szCs w:val="20"/>
        </w:rPr>
        <w:drawing>
          <wp:inline distT="0" distB="0" distL="0" distR="0" wp14:anchorId="5B4D61D9" wp14:editId="42AFB692">
            <wp:extent cx="5730737" cy="5654530"/>
            <wp:effectExtent l="0" t="0" r="3810" b="3810"/>
            <wp:docPr id="1745503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503467" name=""/>
                    <pic:cNvPicPr/>
                  </pic:nvPicPr>
                  <pic:blipFill>
                    <a:blip r:embed="rId110"/>
                    <a:stretch>
                      <a:fillRect/>
                    </a:stretch>
                  </pic:blipFill>
                  <pic:spPr>
                    <a:xfrm>
                      <a:off x="0" y="0"/>
                      <a:ext cx="5730737" cy="5654530"/>
                    </a:xfrm>
                    <a:prstGeom prst="rect">
                      <a:avLst/>
                    </a:prstGeom>
                  </pic:spPr>
                </pic:pic>
              </a:graphicData>
            </a:graphic>
          </wp:inline>
        </w:drawing>
      </w:r>
    </w:p>
    <w:p w14:paraId="7DB641AA" w14:textId="54021EC0" w:rsidR="00F3723E" w:rsidRDefault="00F3723E">
      <w:pPr>
        <w:spacing w:before="0" w:after="0"/>
        <w:rPr>
          <w:sz w:val="20"/>
          <w:szCs w:val="20"/>
        </w:rPr>
      </w:pPr>
      <w:r>
        <w:rPr>
          <w:sz w:val="20"/>
          <w:szCs w:val="20"/>
        </w:rPr>
        <w:br w:type="page"/>
      </w:r>
    </w:p>
    <w:p w14:paraId="70629FA9" w14:textId="20905026" w:rsidR="00F3723E" w:rsidRDefault="00F3723E" w:rsidP="00063536">
      <w:pPr>
        <w:spacing w:before="0" w:after="0"/>
        <w:rPr>
          <w:sz w:val="20"/>
          <w:szCs w:val="20"/>
        </w:rPr>
      </w:pPr>
      <w:r w:rsidRPr="00F3723E">
        <w:rPr>
          <w:sz w:val="20"/>
          <w:szCs w:val="20"/>
        </w:rPr>
        <w:lastRenderedPageBreak/>
        <w:t>Figure 8. Estimated number of abalone per t of catch or TAC, from standardised length and weight of measured abalone by SMU.</w:t>
      </w:r>
    </w:p>
    <w:p w14:paraId="03855D50" w14:textId="034B7E01" w:rsidR="00F3723E" w:rsidRDefault="00F3723E" w:rsidP="00063536">
      <w:pPr>
        <w:spacing w:before="0" w:after="0"/>
        <w:rPr>
          <w:sz w:val="20"/>
          <w:szCs w:val="20"/>
        </w:rPr>
      </w:pPr>
      <w:r w:rsidRPr="00F3723E">
        <w:rPr>
          <w:noProof/>
          <w:sz w:val="20"/>
          <w:szCs w:val="20"/>
        </w:rPr>
        <w:drawing>
          <wp:inline distT="0" distB="0" distL="0" distR="0" wp14:anchorId="022D95E1" wp14:editId="29DB7DFB">
            <wp:extent cx="5692633" cy="5616427"/>
            <wp:effectExtent l="0" t="0" r="3810" b="3810"/>
            <wp:docPr id="1633437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37707" name=""/>
                    <pic:cNvPicPr/>
                  </pic:nvPicPr>
                  <pic:blipFill>
                    <a:blip r:embed="rId111"/>
                    <a:stretch>
                      <a:fillRect/>
                    </a:stretch>
                  </pic:blipFill>
                  <pic:spPr>
                    <a:xfrm>
                      <a:off x="0" y="0"/>
                      <a:ext cx="5692633" cy="5616427"/>
                    </a:xfrm>
                    <a:prstGeom prst="rect">
                      <a:avLst/>
                    </a:prstGeom>
                  </pic:spPr>
                </pic:pic>
              </a:graphicData>
            </a:graphic>
          </wp:inline>
        </w:drawing>
      </w:r>
    </w:p>
    <w:p w14:paraId="24F2F220" w14:textId="173F75FE" w:rsidR="00F3723E" w:rsidRDefault="00F3723E">
      <w:pPr>
        <w:spacing w:before="0" w:after="0"/>
        <w:rPr>
          <w:sz w:val="20"/>
          <w:szCs w:val="20"/>
        </w:rPr>
      </w:pPr>
      <w:r>
        <w:rPr>
          <w:sz w:val="20"/>
          <w:szCs w:val="20"/>
        </w:rPr>
        <w:br w:type="page"/>
      </w:r>
    </w:p>
    <w:p w14:paraId="789E45DF" w14:textId="5B530F79" w:rsidR="00F3723E" w:rsidRDefault="00F3723E" w:rsidP="00063536">
      <w:pPr>
        <w:spacing w:before="0" w:after="0"/>
        <w:rPr>
          <w:sz w:val="20"/>
          <w:szCs w:val="20"/>
        </w:rPr>
      </w:pPr>
      <w:r w:rsidRPr="00F3723E">
        <w:rPr>
          <w:sz w:val="20"/>
          <w:szCs w:val="20"/>
        </w:rPr>
        <w:lastRenderedPageBreak/>
        <w:t xml:space="preserve">Figure 9. Length-frequency distributions at the scale of a site (i.e. </w:t>
      </w:r>
      <w:proofErr w:type="spellStart"/>
      <w:r w:rsidRPr="00F3723E">
        <w:rPr>
          <w:sz w:val="20"/>
          <w:szCs w:val="20"/>
        </w:rPr>
        <w:t>SiteID</w:t>
      </w:r>
      <w:proofErr w:type="spellEnd"/>
      <w:r w:rsidRPr="00F3723E">
        <w:rPr>
          <w:sz w:val="20"/>
          <w:szCs w:val="20"/>
        </w:rPr>
        <w:t xml:space="preserve"> 18) used for standardisation on the Back Beaches by Quota Year from 2017-2025, and with similar data from 2002-2007. Red text provides the number of abalone measured at the site each year, the number of diver-days, the average length, the length of the Top 10% (i.e. 90th percentile), and the % of abalone weight &gt;400 g (i.e. using a length to weight relationship).</w:t>
      </w:r>
    </w:p>
    <w:p w14:paraId="093D1910" w14:textId="46073465" w:rsidR="00F3723E" w:rsidRDefault="00F3723E" w:rsidP="00063536">
      <w:pPr>
        <w:spacing w:before="0" w:after="0"/>
        <w:rPr>
          <w:sz w:val="20"/>
          <w:szCs w:val="20"/>
        </w:rPr>
      </w:pPr>
      <w:r w:rsidRPr="00F3723E">
        <w:rPr>
          <w:noProof/>
          <w:sz w:val="20"/>
          <w:szCs w:val="20"/>
        </w:rPr>
        <w:drawing>
          <wp:inline distT="0" distB="0" distL="0" distR="0" wp14:anchorId="1D71D572" wp14:editId="3D831ED3">
            <wp:extent cx="5677178" cy="5140036"/>
            <wp:effectExtent l="0" t="0" r="0" b="3810"/>
            <wp:docPr id="1902791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791837" name=""/>
                    <pic:cNvPicPr/>
                  </pic:nvPicPr>
                  <pic:blipFill>
                    <a:blip r:embed="rId112"/>
                    <a:stretch>
                      <a:fillRect/>
                    </a:stretch>
                  </pic:blipFill>
                  <pic:spPr>
                    <a:xfrm>
                      <a:off x="0" y="0"/>
                      <a:ext cx="5696909" cy="5157900"/>
                    </a:xfrm>
                    <a:prstGeom prst="rect">
                      <a:avLst/>
                    </a:prstGeom>
                  </pic:spPr>
                </pic:pic>
              </a:graphicData>
            </a:graphic>
          </wp:inline>
        </w:drawing>
      </w:r>
    </w:p>
    <w:p w14:paraId="0E8EE0B1" w14:textId="1A4E99EE" w:rsidR="00F3723E" w:rsidRDefault="00F3723E">
      <w:pPr>
        <w:spacing w:before="0" w:after="0"/>
        <w:rPr>
          <w:sz w:val="20"/>
          <w:szCs w:val="20"/>
        </w:rPr>
      </w:pPr>
      <w:r>
        <w:rPr>
          <w:sz w:val="20"/>
          <w:szCs w:val="20"/>
        </w:rPr>
        <w:br w:type="page"/>
      </w:r>
    </w:p>
    <w:p w14:paraId="5473F8B5" w14:textId="3C1535CA" w:rsidR="00F3723E" w:rsidRDefault="00F3723E" w:rsidP="00063536">
      <w:pPr>
        <w:spacing w:before="0" w:after="0"/>
        <w:rPr>
          <w:sz w:val="20"/>
          <w:szCs w:val="20"/>
        </w:rPr>
      </w:pPr>
      <w:r w:rsidRPr="00F3723E">
        <w:rPr>
          <w:sz w:val="20"/>
          <w:szCs w:val="20"/>
        </w:rPr>
        <w:lastRenderedPageBreak/>
        <w:t>Figure 10. Raw average length per diver-day and site for measured abalone by SMU. Each dot represents a diver day within a defined site in each SMU with &gt;30 measured abalone.</w:t>
      </w:r>
    </w:p>
    <w:p w14:paraId="26D9F98D" w14:textId="18272B41" w:rsidR="00F3723E" w:rsidRDefault="00F3723E" w:rsidP="00063536">
      <w:pPr>
        <w:spacing w:before="0" w:after="0"/>
        <w:rPr>
          <w:sz w:val="20"/>
          <w:szCs w:val="20"/>
        </w:rPr>
      </w:pPr>
      <w:r w:rsidRPr="00F3723E">
        <w:rPr>
          <w:noProof/>
          <w:sz w:val="20"/>
          <w:szCs w:val="20"/>
        </w:rPr>
        <w:drawing>
          <wp:inline distT="0" distB="0" distL="0" distR="0" wp14:anchorId="31B31509" wp14:editId="50F7BDDD">
            <wp:extent cx="5731510" cy="4016375"/>
            <wp:effectExtent l="0" t="0" r="2540" b="3175"/>
            <wp:docPr id="208028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28823" name=""/>
                    <pic:cNvPicPr/>
                  </pic:nvPicPr>
                  <pic:blipFill>
                    <a:blip r:embed="rId113"/>
                    <a:stretch>
                      <a:fillRect/>
                    </a:stretch>
                  </pic:blipFill>
                  <pic:spPr>
                    <a:xfrm>
                      <a:off x="0" y="0"/>
                      <a:ext cx="5731510" cy="4016375"/>
                    </a:xfrm>
                    <a:prstGeom prst="rect">
                      <a:avLst/>
                    </a:prstGeom>
                  </pic:spPr>
                </pic:pic>
              </a:graphicData>
            </a:graphic>
          </wp:inline>
        </w:drawing>
      </w:r>
    </w:p>
    <w:p w14:paraId="68CA803F" w14:textId="77777777" w:rsidR="00F3723E" w:rsidRPr="00F3723E" w:rsidRDefault="00F3723E" w:rsidP="00063536">
      <w:pPr>
        <w:spacing w:before="0" w:after="0"/>
        <w:rPr>
          <w:sz w:val="20"/>
          <w:szCs w:val="20"/>
        </w:rPr>
      </w:pPr>
    </w:p>
    <w:p w14:paraId="55DBE797" w14:textId="77777777" w:rsidR="00F3723E" w:rsidRDefault="00F3723E" w:rsidP="00063536">
      <w:pPr>
        <w:spacing w:before="0" w:after="0"/>
      </w:pPr>
    </w:p>
    <w:p w14:paraId="722DFCD0" w14:textId="0A893595" w:rsidR="00F93D72" w:rsidRPr="00F93D72" w:rsidRDefault="00F93D72" w:rsidP="00063536">
      <w:pPr>
        <w:spacing w:before="0" w:after="0"/>
        <w:sectPr w:rsidR="00F93D72" w:rsidRPr="00F93D72" w:rsidSect="003D2180">
          <w:pgSz w:w="11906" w:h="16838"/>
          <w:pgMar w:top="1440" w:right="1440" w:bottom="1440" w:left="1440" w:header="708" w:footer="708" w:gutter="0"/>
          <w:cols w:space="708"/>
          <w:docGrid w:linePitch="360"/>
        </w:sectPr>
      </w:pPr>
    </w:p>
    <w:p w14:paraId="6948A34F" w14:textId="77777777" w:rsidR="00FB0A3F" w:rsidRDefault="00FB0A3F">
      <w:pPr>
        <w:pStyle w:val="ListParagraph"/>
        <w:keepNext/>
        <w:keepLines/>
        <w:numPr>
          <w:ilvl w:val="0"/>
          <w:numId w:val="5"/>
        </w:numPr>
        <w:spacing w:before="240"/>
        <w:contextualSpacing w:val="0"/>
        <w:outlineLvl w:val="1"/>
        <w:rPr>
          <w:rFonts w:asciiTheme="majorHAnsi" w:eastAsiaTheme="majorEastAsia" w:hAnsiTheme="majorHAnsi" w:cstheme="majorBidi"/>
          <w:vanish/>
          <w:color w:val="2E74B5" w:themeColor="accent1" w:themeShade="BF"/>
          <w:sz w:val="26"/>
          <w:szCs w:val="26"/>
          <w:lang w:val="en-US"/>
        </w:rPr>
      </w:pPr>
      <w:bookmarkStart w:id="426" w:name="_Toc98418548"/>
      <w:bookmarkStart w:id="427" w:name="_Toc98418627"/>
      <w:bookmarkStart w:id="428" w:name="_Toc98418758"/>
      <w:bookmarkStart w:id="429" w:name="_Toc98418886"/>
      <w:bookmarkStart w:id="430" w:name="_Toc98418823"/>
      <w:bookmarkStart w:id="431" w:name="_Toc98419298"/>
      <w:bookmarkStart w:id="432" w:name="_Toc98419009"/>
      <w:bookmarkStart w:id="433" w:name="_Toc98409787"/>
      <w:bookmarkStart w:id="434" w:name="_Toc98410286"/>
      <w:bookmarkStart w:id="435" w:name="_Toc98418317"/>
      <w:bookmarkStart w:id="436" w:name="_Toc98410491"/>
      <w:bookmarkStart w:id="437" w:name="_Toc98410358"/>
      <w:bookmarkStart w:id="438" w:name="_Toc98410556"/>
      <w:bookmarkStart w:id="439" w:name="_Toc98418187"/>
      <w:bookmarkStart w:id="440" w:name="_Toc98418252"/>
      <w:bookmarkStart w:id="441" w:name="_Toc98430421"/>
      <w:bookmarkStart w:id="442" w:name="_Toc127443550"/>
      <w:bookmarkStart w:id="443" w:name="_Toc127443394"/>
      <w:bookmarkStart w:id="444" w:name="_Toc128750581"/>
      <w:bookmarkStart w:id="445" w:name="_Toc160718335"/>
      <w:bookmarkStart w:id="446" w:name="_Toc128736869"/>
      <w:bookmarkStart w:id="447" w:name="_Toc98423778"/>
      <w:bookmarkStart w:id="448" w:name="_Toc160777308"/>
      <w:bookmarkStart w:id="449" w:name="_Toc161910372"/>
      <w:bookmarkStart w:id="450" w:name="_Toc192575644"/>
      <w:bookmarkStart w:id="451" w:name="_Toc192575798"/>
      <w:bookmarkStart w:id="452" w:name="_Toc192777262"/>
      <w:bookmarkStart w:id="453" w:name="appendix-2-summary-of-lml-changes"/>
      <w:bookmarkStart w:id="454" w:name="_Toc98408376"/>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p w14:paraId="22ADEF55" w14:textId="77777777" w:rsidR="00FB0A3F" w:rsidRDefault="00FB0A3F">
      <w:pPr>
        <w:pStyle w:val="ListParagraph"/>
        <w:keepNext/>
        <w:keepLines/>
        <w:numPr>
          <w:ilvl w:val="0"/>
          <w:numId w:val="5"/>
        </w:numPr>
        <w:spacing w:before="240"/>
        <w:contextualSpacing w:val="0"/>
        <w:outlineLvl w:val="1"/>
        <w:rPr>
          <w:rFonts w:asciiTheme="majorHAnsi" w:eastAsiaTheme="majorEastAsia" w:hAnsiTheme="majorHAnsi" w:cstheme="majorBidi"/>
          <w:vanish/>
          <w:color w:val="2E74B5" w:themeColor="accent1" w:themeShade="BF"/>
          <w:sz w:val="26"/>
          <w:szCs w:val="26"/>
          <w:lang w:val="en-US"/>
        </w:rPr>
      </w:pPr>
      <w:bookmarkStart w:id="455" w:name="_Toc127443395"/>
      <w:bookmarkStart w:id="456" w:name="_Toc98430422"/>
      <w:bookmarkStart w:id="457" w:name="_Toc98418824"/>
      <w:bookmarkStart w:id="458" w:name="_Toc127443551"/>
      <w:bookmarkStart w:id="459" w:name="_Toc98418318"/>
      <w:bookmarkStart w:id="460" w:name="_Toc98419010"/>
      <w:bookmarkStart w:id="461" w:name="_Toc128750582"/>
      <w:bookmarkStart w:id="462" w:name="_Toc160777309"/>
      <w:bookmarkStart w:id="463" w:name="_Toc98418549"/>
      <w:bookmarkStart w:id="464" w:name="_Toc98418759"/>
      <w:bookmarkStart w:id="465" w:name="_Toc98423779"/>
      <w:bookmarkStart w:id="466" w:name="_Toc98419299"/>
      <w:bookmarkStart w:id="467" w:name="_Toc128736870"/>
      <w:bookmarkStart w:id="468" w:name="_Toc98418628"/>
      <w:bookmarkStart w:id="469" w:name="_Toc98418887"/>
      <w:bookmarkStart w:id="470" w:name="_Toc160718336"/>
      <w:bookmarkStart w:id="471" w:name="_Toc161910373"/>
      <w:bookmarkStart w:id="472" w:name="_Toc192575645"/>
      <w:bookmarkStart w:id="473" w:name="_Toc192575799"/>
      <w:bookmarkStart w:id="474" w:name="_Toc192777263"/>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p w14:paraId="05C35D5C" w14:textId="77777777" w:rsidR="00FB0A3F" w:rsidRDefault="00FB0A3F">
      <w:pPr>
        <w:pStyle w:val="ListParagraph"/>
        <w:keepNext/>
        <w:keepLines/>
        <w:numPr>
          <w:ilvl w:val="0"/>
          <w:numId w:val="5"/>
        </w:numPr>
        <w:spacing w:before="240"/>
        <w:contextualSpacing w:val="0"/>
        <w:outlineLvl w:val="1"/>
        <w:rPr>
          <w:rFonts w:asciiTheme="majorHAnsi" w:eastAsiaTheme="majorEastAsia" w:hAnsiTheme="majorHAnsi" w:cstheme="majorBidi"/>
          <w:vanish/>
          <w:color w:val="2E74B5" w:themeColor="accent1" w:themeShade="BF"/>
          <w:sz w:val="26"/>
          <w:szCs w:val="26"/>
          <w:lang w:val="en-US"/>
        </w:rPr>
      </w:pPr>
      <w:bookmarkStart w:id="475" w:name="_Toc127443396"/>
      <w:bookmarkStart w:id="476" w:name="_Toc127443552"/>
      <w:bookmarkStart w:id="477" w:name="_Toc98418760"/>
      <w:bookmarkStart w:id="478" w:name="_Toc128736871"/>
      <w:bookmarkStart w:id="479" w:name="_Toc160718337"/>
      <w:bookmarkStart w:id="480" w:name="_Toc98418550"/>
      <w:bookmarkStart w:id="481" w:name="_Toc160777310"/>
      <w:bookmarkStart w:id="482" w:name="_Toc128750583"/>
      <w:bookmarkStart w:id="483" w:name="_Toc98418888"/>
      <w:bookmarkStart w:id="484" w:name="_Toc98419011"/>
      <w:bookmarkStart w:id="485" w:name="_Toc98418629"/>
      <w:bookmarkStart w:id="486" w:name="_Toc98418319"/>
      <w:bookmarkStart w:id="487" w:name="_Toc98419300"/>
      <w:bookmarkStart w:id="488" w:name="_Toc98423780"/>
      <w:bookmarkStart w:id="489" w:name="_Toc98418825"/>
      <w:bookmarkStart w:id="490" w:name="_Toc98430423"/>
      <w:bookmarkStart w:id="491" w:name="_Toc161910374"/>
      <w:bookmarkStart w:id="492" w:name="_Toc192575646"/>
      <w:bookmarkStart w:id="493" w:name="_Toc192575800"/>
      <w:bookmarkStart w:id="494" w:name="_Toc19277726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14:paraId="32E13EDB" w14:textId="77777777" w:rsidR="00FB0A3F" w:rsidRDefault="00FB0A3F">
      <w:pPr>
        <w:pStyle w:val="ListParagraph"/>
        <w:keepNext/>
        <w:keepLines/>
        <w:numPr>
          <w:ilvl w:val="1"/>
          <w:numId w:val="5"/>
        </w:numPr>
        <w:spacing w:before="240"/>
        <w:contextualSpacing w:val="0"/>
        <w:outlineLvl w:val="1"/>
        <w:rPr>
          <w:rFonts w:asciiTheme="majorHAnsi" w:eastAsiaTheme="majorEastAsia" w:hAnsiTheme="majorHAnsi" w:cstheme="majorBidi"/>
          <w:vanish/>
          <w:color w:val="2E74B5" w:themeColor="accent1" w:themeShade="BF"/>
          <w:sz w:val="26"/>
          <w:szCs w:val="26"/>
          <w:lang w:val="en-US"/>
        </w:rPr>
      </w:pPr>
      <w:bookmarkStart w:id="495" w:name="_Toc98418551"/>
      <w:bookmarkStart w:id="496" w:name="_Toc98418889"/>
      <w:bookmarkStart w:id="497" w:name="_Toc128750584"/>
      <w:bookmarkStart w:id="498" w:name="_Toc160718338"/>
      <w:bookmarkStart w:id="499" w:name="_Toc98418761"/>
      <w:bookmarkStart w:id="500" w:name="_Toc98418320"/>
      <w:bookmarkStart w:id="501" w:name="_Toc98418630"/>
      <w:bookmarkStart w:id="502" w:name="_Toc98419012"/>
      <w:bookmarkStart w:id="503" w:name="_Toc98419301"/>
      <w:bookmarkStart w:id="504" w:name="_Toc98430424"/>
      <w:bookmarkStart w:id="505" w:name="_Toc98423781"/>
      <w:bookmarkStart w:id="506" w:name="_Toc98418826"/>
      <w:bookmarkStart w:id="507" w:name="_Toc127443397"/>
      <w:bookmarkStart w:id="508" w:name="_Toc127443553"/>
      <w:bookmarkStart w:id="509" w:name="_Toc128736872"/>
      <w:bookmarkStart w:id="510" w:name="_Toc160777311"/>
      <w:bookmarkStart w:id="511" w:name="_Toc161910375"/>
      <w:bookmarkStart w:id="512" w:name="_Toc192575647"/>
      <w:bookmarkStart w:id="513" w:name="_Toc192575801"/>
      <w:bookmarkStart w:id="514" w:name="_Toc192777265"/>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p>
    <w:p w14:paraId="01BBD609" w14:textId="2C5B6200" w:rsidR="00FB0A3F" w:rsidRDefault="00000000" w:rsidP="009F5FEE">
      <w:pPr>
        <w:pStyle w:val="Heading2"/>
      </w:pPr>
      <w:bookmarkStart w:id="515" w:name="_Toc192777266"/>
      <w:r>
        <w:t xml:space="preserve">Appendix </w:t>
      </w:r>
      <w:r w:rsidR="009F5FEE">
        <w:t>4</w:t>
      </w:r>
      <w:r>
        <w:t>: Summary of LML changes</w:t>
      </w:r>
      <w:bookmarkEnd w:id="453"/>
      <w:bookmarkEnd w:id="454"/>
      <w:bookmarkEnd w:id="515"/>
    </w:p>
    <w:p w14:paraId="1E0ED4CA" w14:textId="1881D910" w:rsidR="00FB0A3F" w:rsidRDefault="00000000">
      <w:pPr>
        <w:pStyle w:val="TableCaption"/>
      </w:pPr>
      <w:bookmarkStart w:id="516" w:name="_Toc192762298"/>
      <w:r>
        <w:t xml:space="preserve">Table </w:t>
      </w:r>
      <w:r w:rsidR="009F7062">
        <w:t>30</w:t>
      </w:r>
      <w:r>
        <w:t xml:space="preserve">: Summary of changes in LML for the Central Zone. All measurements are in millimetres. Multiple LMLs indicate different LMLs for </w:t>
      </w:r>
      <w:proofErr w:type="spellStart"/>
      <w:r>
        <w:t>reefcodes</w:t>
      </w:r>
      <w:proofErr w:type="spellEnd"/>
      <w:r>
        <w:t xml:space="preserve"> within an SMU.</w:t>
      </w:r>
      <w:bookmarkEnd w:id="516"/>
    </w:p>
    <w:tbl>
      <w:tblPr>
        <w:tblW w:w="14040" w:type="dxa"/>
        <w:jc w:val="center"/>
        <w:tblLayout w:type="fixed"/>
        <w:tblLook w:val="04A0" w:firstRow="1" w:lastRow="0" w:firstColumn="1" w:lastColumn="0" w:noHBand="0" w:noVBand="1"/>
      </w:tblPr>
      <w:tblGrid>
        <w:gridCol w:w="1080"/>
        <w:gridCol w:w="1080"/>
        <w:gridCol w:w="1080"/>
        <w:gridCol w:w="1080"/>
        <w:gridCol w:w="1080"/>
        <w:gridCol w:w="1080"/>
        <w:gridCol w:w="1080"/>
        <w:gridCol w:w="1080"/>
        <w:gridCol w:w="1080"/>
        <w:gridCol w:w="1080"/>
        <w:gridCol w:w="1080"/>
        <w:gridCol w:w="1080"/>
        <w:gridCol w:w="1080"/>
      </w:tblGrid>
      <w:tr w:rsidR="00FB0A3F" w14:paraId="7BF81D52" w14:textId="77777777">
        <w:trPr>
          <w:cantSplit/>
          <w:tblHeader/>
          <w:jc w:val="center"/>
        </w:trPr>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A0601BB" w14:textId="77777777" w:rsidR="00FB0A3F" w:rsidRDefault="00000000">
            <w:pPr>
              <w:spacing w:before="40" w:after="40"/>
              <w:ind w:left="100" w:right="100"/>
              <w:jc w:val="center"/>
            </w:pPr>
            <w:bookmarkStart w:id="517" w:name="_Hlk98504880"/>
            <w:r>
              <w:rPr>
                <w:rFonts w:ascii="Arial" w:eastAsia="Arial" w:hAnsi="Arial" w:cs="Arial"/>
                <w:color w:val="111111"/>
                <w:sz w:val="16"/>
                <w:szCs w:val="16"/>
              </w:rPr>
              <w:t>Date from</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37D4432" w14:textId="77777777" w:rsidR="00FB0A3F" w:rsidRDefault="00000000">
            <w:pPr>
              <w:spacing w:before="40" w:after="40"/>
              <w:ind w:left="100" w:right="100"/>
              <w:jc w:val="center"/>
            </w:pPr>
            <w:r>
              <w:rPr>
                <w:rFonts w:ascii="Arial" w:eastAsia="Arial" w:hAnsi="Arial" w:cs="Arial"/>
                <w:color w:val="111111"/>
                <w:sz w:val="16"/>
                <w:szCs w:val="16"/>
              </w:rPr>
              <w:t>Shipwreck Coast</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7ADDCCC" w14:textId="77777777" w:rsidR="00FB0A3F" w:rsidRDefault="00000000">
            <w:pPr>
              <w:spacing w:before="40" w:after="40"/>
              <w:ind w:left="100" w:right="100"/>
              <w:jc w:val="center"/>
            </w:pPr>
            <w:r>
              <w:rPr>
                <w:rFonts w:ascii="Arial" w:eastAsia="Arial" w:hAnsi="Arial" w:cs="Arial"/>
                <w:color w:val="111111"/>
                <w:sz w:val="16"/>
                <w:szCs w:val="16"/>
              </w:rPr>
              <w:t>Cape Otway</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3FC6582" w14:textId="77777777" w:rsidR="00FB0A3F" w:rsidRDefault="00000000">
            <w:pPr>
              <w:spacing w:before="40" w:after="40"/>
              <w:ind w:left="100" w:right="100"/>
              <w:jc w:val="center"/>
            </w:pPr>
            <w:r>
              <w:rPr>
                <w:rFonts w:ascii="Arial" w:eastAsia="Arial" w:hAnsi="Arial" w:cs="Arial"/>
                <w:color w:val="111111"/>
                <w:sz w:val="16"/>
                <w:szCs w:val="16"/>
              </w:rPr>
              <w:t>Surf Coast</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4CF1F8B" w14:textId="77777777" w:rsidR="00FB0A3F" w:rsidRDefault="00000000">
            <w:pPr>
              <w:spacing w:before="40" w:after="40"/>
              <w:ind w:left="100" w:right="100"/>
              <w:jc w:val="center"/>
            </w:pPr>
            <w:r>
              <w:rPr>
                <w:rFonts w:ascii="Arial" w:eastAsia="Arial" w:hAnsi="Arial" w:cs="Arial"/>
                <w:color w:val="111111"/>
                <w:sz w:val="16"/>
                <w:szCs w:val="16"/>
              </w:rPr>
              <w:t>PPB</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8F9DFF5" w14:textId="77777777" w:rsidR="00FB0A3F" w:rsidRDefault="00000000">
            <w:pPr>
              <w:spacing w:before="40" w:after="40"/>
              <w:ind w:left="100" w:right="100"/>
              <w:jc w:val="center"/>
            </w:pPr>
            <w:r>
              <w:rPr>
                <w:rFonts w:ascii="Arial" w:eastAsia="Arial" w:hAnsi="Arial" w:cs="Arial"/>
                <w:color w:val="111111"/>
                <w:sz w:val="16"/>
                <w:szCs w:val="16"/>
              </w:rPr>
              <w:t>Back Beaches</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5115FEA" w14:textId="77777777" w:rsidR="00FB0A3F" w:rsidRDefault="00000000">
            <w:pPr>
              <w:spacing w:before="40" w:after="40"/>
              <w:ind w:left="100" w:right="100"/>
              <w:jc w:val="center"/>
            </w:pPr>
            <w:r>
              <w:rPr>
                <w:rFonts w:ascii="Arial" w:eastAsia="Arial" w:hAnsi="Arial" w:cs="Arial"/>
                <w:color w:val="111111"/>
                <w:sz w:val="16"/>
                <w:szCs w:val="16"/>
              </w:rPr>
              <w:t>Flinders</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69990C4" w14:textId="77777777" w:rsidR="00FB0A3F" w:rsidRDefault="00000000">
            <w:pPr>
              <w:spacing w:before="40" w:after="40"/>
              <w:ind w:left="100" w:right="100"/>
              <w:jc w:val="center"/>
            </w:pPr>
            <w:r>
              <w:rPr>
                <w:rFonts w:ascii="Arial" w:eastAsia="Arial" w:hAnsi="Arial" w:cs="Arial"/>
                <w:color w:val="111111"/>
                <w:sz w:val="16"/>
                <w:szCs w:val="16"/>
              </w:rPr>
              <w:t>Phillip Island</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C537350" w14:textId="77777777" w:rsidR="00FB0A3F" w:rsidRDefault="00000000">
            <w:pPr>
              <w:spacing w:before="40" w:after="40"/>
              <w:ind w:left="100" w:right="100"/>
              <w:jc w:val="center"/>
            </w:pPr>
            <w:r>
              <w:rPr>
                <w:rFonts w:ascii="Arial" w:eastAsia="Arial" w:hAnsi="Arial" w:cs="Arial"/>
                <w:color w:val="111111"/>
                <w:sz w:val="16"/>
                <w:szCs w:val="16"/>
              </w:rPr>
              <w:t>Kilcunda</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87BA22C" w14:textId="77777777" w:rsidR="00FB0A3F" w:rsidRDefault="00000000">
            <w:pPr>
              <w:spacing w:before="40" w:after="40"/>
              <w:ind w:left="100" w:right="100"/>
              <w:jc w:val="center"/>
            </w:pPr>
            <w:r>
              <w:rPr>
                <w:rFonts w:ascii="Arial" w:eastAsia="Arial" w:hAnsi="Arial" w:cs="Arial"/>
                <w:color w:val="111111"/>
                <w:sz w:val="16"/>
                <w:szCs w:val="16"/>
              </w:rPr>
              <w:t>Cape Liptrap</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A095137" w14:textId="77777777" w:rsidR="00FB0A3F" w:rsidRDefault="00000000">
            <w:pPr>
              <w:spacing w:before="40" w:after="40"/>
              <w:ind w:left="100" w:right="100"/>
              <w:jc w:val="center"/>
            </w:pPr>
            <w:r>
              <w:rPr>
                <w:rFonts w:ascii="Arial" w:eastAsia="Arial" w:hAnsi="Arial" w:cs="Arial"/>
                <w:color w:val="111111"/>
                <w:sz w:val="16"/>
                <w:szCs w:val="16"/>
              </w:rPr>
              <w:t>Prom Westside</w:t>
            </w:r>
          </w:p>
        </w:tc>
        <w:tc>
          <w:tcPr>
            <w:tcW w:w="10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27DA604" w14:textId="77777777" w:rsidR="00FB0A3F" w:rsidRDefault="00000000">
            <w:pPr>
              <w:spacing w:before="40" w:after="40"/>
              <w:ind w:left="100" w:right="100"/>
              <w:jc w:val="center"/>
              <w:rPr>
                <w:rFonts w:ascii="Arial" w:eastAsia="Arial" w:hAnsi="Arial" w:cs="Arial"/>
                <w:color w:val="111111"/>
                <w:sz w:val="16"/>
                <w:szCs w:val="16"/>
              </w:rPr>
            </w:pPr>
            <w:r>
              <w:rPr>
                <w:rFonts w:ascii="Arial" w:eastAsia="Arial" w:hAnsi="Arial" w:cs="Arial"/>
                <w:color w:val="111111"/>
                <w:sz w:val="16"/>
                <w:szCs w:val="16"/>
              </w:rPr>
              <w:t xml:space="preserve">Prom </w:t>
            </w:r>
            <w:proofErr w:type="spellStart"/>
            <w:r>
              <w:rPr>
                <w:rFonts w:ascii="Arial" w:eastAsia="Arial" w:hAnsi="Arial" w:cs="Arial"/>
                <w:color w:val="111111"/>
                <w:sz w:val="16"/>
                <w:szCs w:val="16"/>
              </w:rPr>
              <w:t>Eastside</w:t>
            </w:r>
            <w:proofErr w:type="spellEnd"/>
          </w:p>
        </w:tc>
        <w:tc>
          <w:tcPr>
            <w:tcW w:w="10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956A4AC" w14:textId="77777777" w:rsidR="00FB0A3F" w:rsidRDefault="00000000">
            <w:pPr>
              <w:spacing w:before="40" w:after="40"/>
              <w:ind w:left="100" w:right="100"/>
              <w:jc w:val="center"/>
              <w:rPr>
                <w:rFonts w:ascii="Arial" w:eastAsia="Arial" w:hAnsi="Arial" w:cs="Arial"/>
                <w:color w:val="111111"/>
                <w:sz w:val="16"/>
                <w:szCs w:val="16"/>
              </w:rPr>
            </w:pPr>
            <w:r>
              <w:rPr>
                <w:rFonts w:ascii="Arial" w:eastAsia="Arial" w:hAnsi="Arial" w:cs="Arial"/>
                <w:color w:val="111111"/>
                <w:sz w:val="16"/>
                <w:szCs w:val="16"/>
              </w:rPr>
              <w:t>Cliffy Group</w:t>
            </w:r>
          </w:p>
        </w:tc>
      </w:tr>
      <w:tr w:rsidR="00FB0A3F" w14:paraId="749EDE96" w14:textId="77777777">
        <w:trPr>
          <w:cantSplit/>
          <w:jc w:val="center"/>
        </w:trPr>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889C487" w14:textId="77777777" w:rsidR="00FB0A3F" w:rsidRDefault="00000000">
            <w:pPr>
              <w:spacing w:before="40" w:after="40"/>
              <w:ind w:left="100" w:right="100"/>
              <w:jc w:val="center"/>
            </w:pPr>
            <w:r>
              <w:rPr>
                <w:rFonts w:ascii="Arial" w:eastAsia="Arial" w:hAnsi="Arial" w:cs="Arial"/>
                <w:color w:val="111111"/>
                <w:sz w:val="16"/>
                <w:szCs w:val="16"/>
              </w:rPr>
              <w:t>1 Apr 1998</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845650E" w14:textId="77777777" w:rsidR="00FB0A3F" w:rsidRDefault="00000000">
            <w:pPr>
              <w:spacing w:before="40" w:after="40"/>
              <w:ind w:left="100" w:right="100"/>
              <w:jc w:val="center"/>
            </w:pPr>
            <w:r>
              <w:rPr>
                <w:rFonts w:ascii="Arial" w:eastAsia="Arial" w:hAnsi="Arial" w:cs="Arial"/>
                <w:color w:val="111111"/>
                <w:sz w:val="16"/>
                <w:szCs w:val="16"/>
              </w:rPr>
              <w:t>120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942A738" w14:textId="77777777" w:rsidR="00FB0A3F" w:rsidRDefault="00000000">
            <w:pPr>
              <w:spacing w:before="40" w:after="40"/>
              <w:ind w:left="100" w:right="100"/>
              <w:jc w:val="center"/>
            </w:pPr>
            <w:r>
              <w:rPr>
                <w:rFonts w:ascii="Arial" w:eastAsia="Arial" w:hAnsi="Arial" w:cs="Arial"/>
                <w:color w:val="111111"/>
                <w:sz w:val="16"/>
                <w:szCs w:val="16"/>
              </w:rPr>
              <w:t>120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D160715" w14:textId="77777777" w:rsidR="00FB0A3F" w:rsidRDefault="00000000">
            <w:pPr>
              <w:spacing w:before="40" w:after="40"/>
              <w:ind w:left="100" w:right="100"/>
              <w:jc w:val="center"/>
            </w:pPr>
            <w:r>
              <w:rPr>
                <w:rFonts w:ascii="Arial" w:eastAsia="Arial" w:hAnsi="Arial" w:cs="Arial"/>
                <w:color w:val="111111"/>
                <w:sz w:val="16"/>
                <w:szCs w:val="16"/>
              </w:rPr>
              <w:t>110 &amp; 120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11A6E4C" w14:textId="77777777" w:rsidR="00FB0A3F" w:rsidRDefault="00000000">
            <w:pPr>
              <w:spacing w:before="40" w:after="40"/>
              <w:ind w:left="100" w:right="100"/>
              <w:jc w:val="center"/>
            </w:pPr>
            <w:r>
              <w:rPr>
                <w:rFonts w:ascii="Arial" w:eastAsia="Arial" w:hAnsi="Arial" w:cs="Arial"/>
                <w:color w:val="111111"/>
                <w:sz w:val="16"/>
                <w:szCs w:val="16"/>
              </w:rPr>
              <w:t>100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E061FE5" w14:textId="77777777" w:rsidR="00FB0A3F" w:rsidRDefault="00000000">
            <w:pPr>
              <w:spacing w:before="40" w:after="40"/>
              <w:ind w:left="100" w:right="100"/>
              <w:jc w:val="center"/>
            </w:pPr>
            <w:r>
              <w:rPr>
                <w:rFonts w:ascii="Arial" w:eastAsia="Arial" w:hAnsi="Arial" w:cs="Arial"/>
                <w:color w:val="111111"/>
                <w:sz w:val="16"/>
                <w:szCs w:val="16"/>
              </w:rPr>
              <w:t>110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C025635" w14:textId="77777777" w:rsidR="00FB0A3F" w:rsidRDefault="00000000">
            <w:pPr>
              <w:spacing w:before="40" w:after="40"/>
              <w:ind w:left="100" w:right="100"/>
              <w:jc w:val="center"/>
            </w:pPr>
            <w:r>
              <w:rPr>
                <w:rFonts w:ascii="Arial" w:eastAsia="Arial" w:hAnsi="Arial" w:cs="Arial"/>
                <w:color w:val="111111"/>
                <w:sz w:val="16"/>
                <w:szCs w:val="16"/>
              </w:rPr>
              <w:t>110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0B1E3B5" w14:textId="77777777" w:rsidR="00FB0A3F" w:rsidRDefault="00000000">
            <w:pPr>
              <w:spacing w:before="40" w:after="40"/>
              <w:ind w:left="100" w:right="100"/>
              <w:jc w:val="center"/>
            </w:pPr>
            <w:r>
              <w:rPr>
                <w:rFonts w:ascii="Arial" w:eastAsia="Arial" w:hAnsi="Arial" w:cs="Arial"/>
                <w:color w:val="111111"/>
                <w:sz w:val="16"/>
                <w:szCs w:val="16"/>
              </w:rPr>
              <w:t>110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3794FEC" w14:textId="77777777" w:rsidR="00FB0A3F" w:rsidRDefault="00000000">
            <w:pPr>
              <w:spacing w:before="40" w:after="40"/>
              <w:ind w:left="100" w:right="100"/>
              <w:jc w:val="center"/>
            </w:pPr>
            <w:r>
              <w:rPr>
                <w:rFonts w:ascii="Arial" w:eastAsia="Arial" w:hAnsi="Arial" w:cs="Arial"/>
                <w:color w:val="111111"/>
                <w:sz w:val="16"/>
                <w:szCs w:val="16"/>
              </w:rPr>
              <w:t>110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FFC0147" w14:textId="77777777" w:rsidR="00FB0A3F" w:rsidRDefault="00000000">
            <w:pPr>
              <w:spacing w:before="40" w:after="40"/>
              <w:ind w:left="100" w:right="100"/>
              <w:jc w:val="center"/>
            </w:pPr>
            <w:r>
              <w:rPr>
                <w:rFonts w:ascii="Arial" w:eastAsia="Arial" w:hAnsi="Arial" w:cs="Arial"/>
                <w:color w:val="111111"/>
                <w:sz w:val="16"/>
                <w:szCs w:val="16"/>
              </w:rPr>
              <w:t>110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1C9D3E3" w14:textId="77777777" w:rsidR="00FB0A3F" w:rsidRDefault="00000000">
            <w:pPr>
              <w:spacing w:before="40" w:after="40"/>
              <w:ind w:left="100" w:right="100"/>
              <w:jc w:val="center"/>
            </w:pPr>
            <w:r>
              <w:rPr>
                <w:rFonts w:ascii="Arial" w:eastAsia="Arial" w:hAnsi="Arial" w:cs="Arial"/>
                <w:color w:val="111111"/>
                <w:sz w:val="16"/>
                <w:szCs w:val="16"/>
              </w:rPr>
              <w:t>110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6D29629" w14:textId="77777777" w:rsidR="00FB0A3F" w:rsidRDefault="00000000">
            <w:pPr>
              <w:spacing w:before="40" w:after="40"/>
              <w:ind w:left="100" w:right="100"/>
              <w:jc w:val="center"/>
              <w:rPr>
                <w:rFonts w:ascii="Arial" w:eastAsia="Arial" w:hAnsi="Arial" w:cs="Arial"/>
                <w:color w:val="111111"/>
                <w:sz w:val="16"/>
                <w:szCs w:val="16"/>
              </w:rPr>
            </w:pPr>
            <w:r>
              <w:rPr>
                <w:rFonts w:ascii="Arial" w:eastAsia="Arial" w:hAnsi="Arial" w:cs="Arial"/>
                <w:color w:val="111111"/>
                <w:sz w:val="16"/>
                <w:szCs w:val="16"/>
              </w:rPr>
              <w:t>110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7D795EA" w14:textId="77777777" w:rsidR="00FB0A3F" w:rsidRDefault="00000000">
            <w:pPr>
              <w:spacing w:before="40" w:after="40"/>
              <w:ind w:left="100" w:right="100"/>
              <w:jc w:val="center"/>
              <w:rPr>
                <w:rFonts w:ascii="Arial" w:eastAsia="Arial" w:hAnsi="Arial" w:cs="Arial"/>
                <w:color w:val="111111"/>
                <w:sz w:val="16"/>
                <w:szCs w:val="16"/>
              </w:rPr>
            </w:pPr>
            <w:r>
              <w:rPr>
                <w:rFonts w:ascii="Arial" w:eastAsia="Arial" w:hAnsi="Arial" w:cs="Arial"/>
                <w:color w:val="111111"/>
                <w:sz w:val="16"/>
                <w:szCs w:val="16"/>
              </w:rPr>
              <w:t>110</w:t>
            </w:r>
          </w:p>
        </w:tc>
      </w:tr>
      <w:tr w:rsidR="00FB0A3F" w14:paraId="4AE57B8F" w14:textId="77777777">
        <w:trPr>
          <w:cantSplit/>
          <w:jc w:val="center"/>
        </w:trPr>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DCE239F" w14:textId="77777777" w:rsidR="00FB0A3F" w:rsidRDefault="00000000">
            <w:pPr>
              <w:spacing w:before="40" w:after="40"/>
              <w:ind w:left="100" w:right="100"/>
              <w:jc w:val="center"/>
            </w:pPr>
            <w:r>
              <w:rPr>
                <w:rFonts w:ascii="Arial" w:eastAsia="Arial" w:hAnsi="Arial" w:cs="Arial"/>
                <w:color w:val="111111"/>
                <w:sz w:val="16"/>
                <w:szCs w:val="16"/>
              </w:rPr>
              <w:t>1 Feb 2007</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8393971" w14:textId="77777777" w:rsidR="00FB0A3F" w:rsidRDefault="00000000">
            <w:pPr>
              <w:spacing w:before="40" w:after="40"/>
              <w:ind w:left="100" w:right="100"/>
              <w:jc w:val="center"/>
            </w:pPr>
            <w:r>
              <w:rPr>
                <w:rFonts w:ascii="Arial" w:eastAsia="Arial" w:hAnsi="Arial" w:cs="Arial"/>
                <w:color w:val="111111"/>
                <w:sz w:val="16"/>
                <w:szCs w:val="16"/>
              </w:rPr>
              <w:t>123</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65D841D" w14:textId="77777777" w:rsidR="00FB0A3F" w:rsidRDefault="00000000">
            <w:pPr>
              <w:spacing w:before="40" w:after="40"/>
              <w:ind w:left="100" w:right="100"/>
              <w:jc w:val="center"/>
            </w:pPr>
            <w:r>
              <w:rPr>
                <w:rFonts w:ascii="Arial" w:eastAsia="Arial" w:hAnsi="Arial" w:cs="Arial"/>
                <w:color w:val="111111"/>
                <w:sz w:val="16"/>
                <w:szCs w:val="16"/>
              </w:rPr>
              <w:t>123</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CA1FAC4" w14:textId="77777777" w:rsidR="00FB0A3F" w:rsidRDefault="00000000">
            <w:pPr>
              <w:spacing w:before="40" w:after="40"/>
              <w:ind w:left="100" w:right="100"/>
              <w:jc w:val="center"/>
            </w:pPr>
            <w:r>
              <w:rPr>
                <w:rFonts w:ascii="Arial" w:eastAsia="Arial" w:hAnsi="Arial" w:cs="Arial"/>
                <w:color w:val="111111"/>
                <w:sz w:val="16"/>
                <w:szCs w:val="16"/>
              </w:rPr>
              <w:t>115 &amp; 123</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D1E0DD0" w14:textId="77777777" w:rsidR="00FB0A3F" w:rsidRDefault="00000000">
            <w:pPr>
              <w:spacing w:before="40" w:after="40"/>
              <w:ind w:left="100" w:right="100"/>
              <w:jc w:val="center"/>
            </w:pPr>
            <w:r>
              <w:rPr>
                <w:rFonts w:ascii="Arial" w:eastAsia="Arial" w:hAnsi="Arial" w:cs="Arial"/>
                <w:color w:val="111111"/>
                <w:sz w:val="16"/>
                <w:szCs w:val="16"/>
              </w:rPr>
              <w:t>100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504D1E3" w14:textId="77777777" w:rsidR="00FB0A3F" w:rsidRDefault="00000000">
            <w:pPr>
              <w:spacing w:before="40" w:after="40"/>
              <w:ind w:left="100" w:right="100"/>
              <w:jc w:val="center"/>
            </w:pPr>
            <w:r>
              <w:rPr>
                <w:rFonts w:ascii="Arial" w:eastAsia="Arial" w:hAnsi="Arial" w:cs="Arial"/>
                <w:color w:val="111111"/>
                <w:sz w:val="16"/>
                <w:szCs w:val="16"/>
              </w:rPr>
              <w:t>115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4F4A58B" w14:textId="77777777" w:rsidR="00FB0A3F" w:rsidRDefault="00000000">
            <w:pPr>
              <w:spacing w:before="40" w:after="40"/>
              <w:ind w:left="100" w:right="100"/>
              <w:jc w:val="center"/>
            </w:pPr>
            <w:r>
              <w:rPr>
                <w:rFonts w:ascii="Arial" w:eastAsia="Arial" w:hAnsi="Arial" w:cs="Arial"/>
                <w:color w:val="111111"/>
                <w:sz w:val="16"/>
                <w:szCs w:val="16"/>
              </w:rPr>
              <w:t>115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87F8230" w14:textId="77777777" w:rsidR="00FB0A3F" w:rsidRDefault="00000000">
            <w:pPr>
              <w:spacing w:before="40" w:after="40"/>
              <w:ind w:left="100" w:right="100"/>
              <w:jc w:val="center"/>
            </w:pPr>
            <w:r>
              <w:rPr>
                <w:rFonts w:ascii="Arial" w:eastAsia="Arial" w:hAnsi="Arial" w:cs="Arial"/>
                <w:color w:val="111111"/>
                <w:sz w:val="16"/>
                <w:szCs w:val="16"/>
              </w:rPr>
              <w:t>115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EB24A39" w14:textId="77777777" w:rsidR="00FB0A3F" w:rsidRDefault="00000000">
            <w:pPr>
              <w:spacing w:before="40" w:after="40"/>
              <w:ind w:left="100" w:right="100"/>
              <w:jc w:val="center"/>
            </w:pPr>
            <w:r>
              <w:rPr>
                <w:rFonts w:ascii="Arial" w:eastAsia="Arial" w:hAnsi="Arial" w:cs="Arial"/>
                <w:color w:val="111111"/>
                <w:sz w:val="16"/>
                <w:szCs w:val="16"/>
              </w:rPr>
              <w:t>115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8D63DEF" w14:textId="77777777" w:rsidR="00FB0A3F" w:rsidRDefault="00000000">
            <w:pPr>
              <w:spacing w:before="40" w:after="40"/>
              <w:ind w:left="100" w:right="100"/>
              <w:jc w:val="center"/>
            </w:pPr>
            <w:r>
              <w:rPr>
                <w:rFonts w:ascii="Arial" w:eastAsia="Arial" w:hAnsi="Arial" w:cs="Arial"/>
                <w:color w:val="111111"/>
                <w:sz w:val="16"/>
                <w:szCs w:val="16"/>
              </w:rPr>
              <w:t>115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E12A968" w14:textId="77777777" w:rsidR="00FB0A3F" w:rsidRDefault="00000000">
            <w:pPr>
              <w:spacing w:before="40" w:after="40"/>
              <w:ind w:left="100" w:right="100"/>
              <w:jc w:val="center"/>
            </w:pPr>
            <w:r>
              <w:rPr>
                <w:rFonts w:ascii="Arial" w:eastAsia="Arial" w:hAnsi="Arial" w:cs="Arial"/>
                <w:color w:val="111111"/>
                <w:sz w:val="16"/>
                <w:szCs w:val="16"/>
              </w:rPr>
              <w:t>115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CF9BB5E" w14:textId="77777777" w:rsidR="00FB0A3F" w:rsidRDefault="00000000">
            <w:pPr>
              <w:spacing w:before="40" w:after="40"/>
              <w:ind w:left="100" w:right="100"/>
              <w:jc w:val="center"/>
              <w:rPr>
                <w:rFonts w:ascii="Arial" w:eastAsia="Arial" w:hAnsi="Arial" w:cs="Arial"/>
                <w:color w:val="111111"/>
                <w:sz w:val="16"/>
                <w:szCs w:val="16"/>
              </w:rPr>
            </w:pPr>
            <w:r>
              <w:rPr>
                <w:rFonts w:ascii="Arial" w:eastAsia="Arial" w:hAnsi="Arial" w:cs="Arial"/>
                <w:color w:val="111111"/>
                <w:sz w:val="16"/>
                <w:szCs w:val="16"/>
              </w:rPr>
              <w:t>115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395F505" w14:textId="77777777" w:rsidR="00FB0A3F" w:rsidRDefault="00000000">
            <w:pPr>
              <w:spacing w:before="40" w:after="40"/>
              <w:ind w:left="100" w:right="100"/>
              <w:jc w:val="center"/>
              <w:rPr>
                <w:rFonts w:ascii="Arial" w:eastAsia="Arial" w:hAnsi="Arial" w:cs="Arial"/>
                <w:color w:val="111111"/>
                <w:sz w:val="16"/>
                <w:szCs w:val="16"/>
              </w:rPr>
            </w:pPr>
            <w:r>
              <w:rPr>
                <w:rFonts w:ascii="Arial" w:eastAsia="Arial" w:hAnsi="Arial" w:cs="Arial"/>
                <w:color w:val="111111"/>
                <w:sz w:val="16"/>
                <w:szCs w:val="16"/>
              </w:rPr>
              <w:t>115</w:t>
            </w:r>
          </w:p>
        </w:tc>
      </w:tr>
      <w:tr w:rsidR="00FB0A3F" w14:paraId="564B007C" w14:textId="77777777">
        <w:trPr>
          <w:cantSplit/>
          <w:jc w:val="center"/>
        </w:trPr>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0C2065F" w14:textId="77777777" w:rsidR="00FB0A3F" w:rsidRDefault="00000000">
            <w:pPr>
              <w:spacing w:before="40" w:after="40"/>
              <w:ind w:left="100" w:right="100"/>
              <w:jc w:val="center"/>
            </w:pPr>
            <w:r>
              <w:rPr>
                <w:rFonts w:ascii="Arial" w:eastAsia="Arial" w:hAnsi="Arial" w:cs="Arial"/>
                <w:color w:val="111111"/>
                <w:sz w:val="16"/>
                <w:szCs w:val="16"/>
              </w:rPr>
              <w:t>5 Mar 2009</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E7B5A29" w14:textId="77777777" w:rsidR="00FB0A3F" w:rsidRDefault="00000000">
            <w:pPr>
              <w:spacing w:before="40" w:after="40"/>
              <w:ind w:left="100" w:right="100"/>
              <w:jc w:val="center"/>
            </w:pPr>
            <w:r>
              <w:rPr>
                <w:rFonts w:ascii="Arial" w:eastAsia="Arial" w:hAnsi="Arial" w:cs="Arial"/>
                <w:color w:val="111111"/>
                <w:sz w:val="16"/>
                <w:szCs w:val="16"/>
              </w:rPr>
              <w:t>123</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D3E7CBC" w14:textId="77777777" w:rsidR="00FB0A3F" w:rsidRDefault="00000000">
            <w:pPr>
              <w:spacing w:before="40" w:after="40"/>
              <w:ind w:left="100" w:right="100"/>
              <w:jc w:val="center"/>
            </w:pPr>
            <w:r>
              <w:rPr>
                <w:rFonts w:ascii="Arial" w:eastAsia="Arial" w:hAnsi="Arial" w:cs="Arial"/>
                <w:color w:val="111111"/>
                <w:sz w:val="16"/>
                <w:szCs w:val="16"/>
              </w:rPr>
              <w:t>123</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14407B8" w14:textId="77777777" w:rsidR="00FB0A3F" w:rsidRDefault="00000000">
            <w:pPr>
              <w:spacing w:before="40" w:after="40"/>
              <w:ind w:left="100" w:right="100"/>
              <w:jc w:val="center"/>
            </w:pPr>
            <w:r>
              <w:rPr>
                <w:rFonts w:ascii="Arial" w:eastAsia="Arial" w:hAnsi="Arial" w:cs="Arial"/>
                <w:color w:val="111111"/>
                <w:sz w:val="16"/>
                <w:szCs w:val="16"/>
              </w:rPr>
              <w:t>115 &amp; 123</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9E90C5D" w14:textId="77777777" w:rsidR="00FB0A3F" w:rsidRDefault="00000000">
            <w:pPr>
              <w:spacing w:before="40" w:after="40"/>
              <w:ind w:left="100" w:right="100"/>
              <w:jc w:val="center"/>
            </w:pPr>
            <w:r>
              <w:rPr>
                <w:rFonts w:ascii="Arial" w:eastAsia="Arial" w:hAnsi="Arial" w:cs="Arial"/>
                <w:color w:val="111111"/>
                <w:sz w:val="16"/>
                <w:szCs w:val="16"/>
              </w:rPr>
              <w:t>105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C8C228D" w14:textId="77777777" w:rsidR="00FB0A3F" w:rsidRDefault="00000000">
            <w:pPr>
              <w:spacing w:before="40" w:after="40"/>
              <w:ind w:left="100" w:right="100"/>
              <w:jc w:val="center"/>
            </w:pPr>
            <w:r>
              <w:rPr>
                <w:rFonts w:ascii="Arial" w:eastAsia="Arial" w:hAnsi="Arial" w:cs="Arial"/>
                <w:color w:val="111111"/>
                <w:sz w:val="16"/>
                <w:szCs w:val="16"/>
              </w:rPr>
              <w:t>120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7166219" w14:textId="77777777" w:rsidR="00FB0A3F" w:rsidRDefault="00000000">
            <w:pPr>
              <w:spacing w:before="40" w:after="40"/>
              <w:ind w:left="100" w:right="100"/>
              <w:jc w:val="center"/>
            </w:pPr>
            <w:r>
              <w:rPr>
                <w:rFonts w:ascii="Arial" w:eastAsia="Arial" w:hAnsi="Arial" w:cs="Arial"/>
                <w:color w:val="111111"/>
                <w:sz w:val="16"/>
                <w:szCs w:val="16"/>
              </w:rPr>
              <w:t>115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0BE41FB" w14:textId="77777777" w:rsidR="00FB0A3F" w:rsidRDefault="00000000">
            <w:pPr>
              <w:spacing w:before="40" w:after="40"/>
              <w:ind w:left="100" w:right="100"/>
              <w:jc w:val="center"/>
            </w:pPr>
            <w:r>
              <w:rPr>
                <w:rFonts w:ascii="Arial" w:eastAsia="Arial" w:hAnsi="Arial" w:cs="Arial"/>
                <w:color w:val="111111"/>
                <w:sz w:val="16"/>
                <w:szCs w:val="16"/>
              </w:rPr>
              <w:t>113 &amp; 115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DF61F69" w14:textId="77777777" w:rsidR="00FB0A3F" w:rsidRDefault="00000000">
            <w:pPr>
              <w:spacing w:before="40" w:after="40"/>
              <w:ind w:left="100" w:right="100"/>
              <w:jc w:val="center"/>
            </w:pPr>
            <w:r>
              <w:rPr>
                <w:rFonts w:ascii="Arial" w:eastAsia="Arial" w:hAnsi="Arial" w:cs="Arial"/>
                <w:color w:val="111111"/>
                <w:sz w:val="16"/>
                <w:szCs w:val="16"/>
              </w:rPr>
              <w:t>113 &amp; 115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61FE831" w14:textId="77777777" w:rsidR="00FB0A3F" w:rsidRDefault="00000000">
            <w:pPr>
              <w:spacing w:before="40" w:after="40"/>
              <w:ind w:left="100" w:right="100"/>
              <w:jc w:val="center"/>
            </w:pPr>
            <w:r>
              <w:rPr>
                <w:rFonts w:ascii="Arial" w:eastAsia="Arial" w:hAnsi="Arial" w:cs="Arial"/>
                <w:color w:val="111111"/>
                <w:sz w:val="16"/>
                <w:szCs w:val="16"/>
              </w:rPr>
              <w:t>105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11B931D" w14:textId="77777777" w:rsidR="00FB0A3F" w:rsidRDefault="00000000">
            <w:pPr>
              <w:spacing w:before="40" w:after="40"/>
              <w:ind w:left="100" w:right="100"/>
              <w:jc w:val="center"/>
            </w:pPr>
            <w:r>
              <w:rPr>
                <w:rFonts w:ascii="Arial" w:eastAsia="Arial" w:hAnsi="Arial" w:cs="Arial"/>
                <w:color w:val="111111"/>
                <w:sz w:val="16"/>
                <w:szCs w:val="16"/>
              </w:rPr>
              <w:t>115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9E7AE47" w14:textId="77777777" w:rsidR="00FB0A3F" w:rsidRDefault="00000000">
            <w:pPr>
              <w:spacing w:before="40" w:after="40"/>
              <w:ind w:left="100" w:right="100"/>
              <w:jc w:val="center"/>
              <w:rPr>
                <w:rFonts w:ascii="Arial" w:eastAsia="Arial" w:hAnsi="Arial" w:cs="Arial"/>
                <w:color w:val="111111"/>
                <w:sz w:val="16"/>
                <w:szCs w:val="16"/>
              </w:rPr>
            </w:pPr>
            <w:r>
              <w:rPr>
                <w:rFonts w:ascii="Arial" w:eastAsia="Arial" w:hAnsi="Arial" w:cs="Arial"/>
                <w:color w:val="111111"/>
                <w:sz w:val="16"/>
                <w:szCs w:val="16"/>
              </w:rPr>
              <w:t>115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815C59D" w14:textId="77777777" w:rsidR="00FB0A3F" w:rsidRDefault="00000000">
            <w:pPr>
              <w:spacing w:before="40" w:after="40"/>
              <w:ind w:left="100" w:right="100"/>
              <w:jc w:val="center"/>
              <w:rPr>
                <w:rFonts w:ascii="Arial" w:eastAsia="Arial" w:hAnsi="Arial" w:cs="Arial"/>
                <w:color w:val="111111"/>
                <w:sz w:val="16"/>
                <w:szCs w:val="16"/>
              </w:rPr>
            </w:pPr>
            <w:r>
              <w:rPr>
                <w:rFonts w:ascii="Arial" w:eastAsia="Arial" w:hAnsi="Arial" w:cs="Arial"/>
                <w:color w:val="111111"/>
                <w:sz w:val="16"/>
                <w:szCs w:val="16"/>
              </w:rPr>
              <w:t>115</w:t>
            </w:r>
          </w:p>
        </w:tc>
      </w:tr>
      <w:tr w:rsidR="00FB0A3F" w14:paraId="582CF101" w14:textId="77777777">
        <w:trPr>
          <w:cantSplit/>
          <w:jc w:val="center"/>
        </w:trPr>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65E76D5" w14:textId="77777777" w:rsidR="00FB0A3F" w:rsidRDefault="00000000">
            <w:pPr>
              <w:spacing w:before="40" w:after="40"/>
              <w:ind w:left="100" w:right="100"/>
              <w:jc w:val="center"/>
            </w:pPr>
            <w:r>
              <w:rPr>
                <w:rFonts w:ascii="Arial" w:eastAsia="Arial" w:hAnsi="Arial" w:cs="Arial"/>
                <w:color w:val="111111"/>
                <w:sz w:val="16"/>
                <w:szCs w:val="16"/>
              </w:rPr>
              <w:t>1 Apr 2010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1017E6E" w14:textId="77777777" w:rsidR="00FB0A3F" w:rsidRDefault="00000000">
            <w:pPr>
              <w:spacing w:before="40" w:after="40"/>
              <w:ind w:left="100" w:right="100"/>
              <w:jc w:val="center"/>
            </w:pPr>
            <w:r>
              <w:rPr>
                <w:rFonts w:ascii="Arial" w:eastAsia="Arial" w:hAnsi="Arial" w:cs="Arial"/>
                <w:color w:val="111111"/>
                <w:sz w:val="16"/>
                <w:szCs w:val="16"/>
              </w:rPr>
              <w:t>123</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15C0C83" w14:textId="77777777" w:rsidR="00FB0A3F" w:rsidRDefault="00000000">
            <w:pPr>
              <w:spacing w:before="40" w:after="40"/>
              <w:ind w:left="100" w:right="100"/>
              <w:jc w:val="center"/>
            </w:pPr>
            <w:r>
              <w:rPr>
                <w:rFonts w:ascii="Arial" w:eastAsia="Arial" w:hAnsi="Arial" w:cs="Arial"/>
                <w:color w:val="111111"/>
                <w:sz w:val="16"/>
                <w:szCs w:val="16"/>
              </w:rPr>
              <w:t>123</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358F386" w14:textId="77777777" w:rsidR="00FB0A3F" w:rsidRDefault="00000000">
            <w:pPr>
              <w:spacing w:before="40" w:after="40"/>
              <w:ind w:left="100" w:right="100"/>
              <w:jc w:val="center"/>
            </w:pPr>
            <w:r>
              <w:rPr>
                <w:rFonts w:ascii="Arial" w:eastAsia="Arial" w:hAnsi="Arial" w:cs="Arial"/>
                <w:color w:val="111111"/>
                <w:sz w:val="16"/>
                <w:szCs w:val="16"/>
              </w:rPr>
              <w:t>115 &amp; 123</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6835849" w14:textId="77777777" w:rsidR="00FB0A3F" w:rsidRDefault="00000000">
            <w:pPr>
              <w:spacing w:before="40" w:after="40"/>
              <w:ind w:left="100" w:right="100"/>
              <w:jc w:val="center"/>
            </w:pPr>
            <w:r>
              <w:rPr>
                <w:rFonts w:ascii="Arial" w:eastAsia="Arial" w:hAnsi="Arial" w:cs="Arial"/>
                <w:color w:val="111111"/>
                <w:sz w:val="16"/>
                <w:szCs w:val="16"/>
              </w:rPr>
              <w:t>105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7DEC50E" w14:textId="77777777" w:rsidR="00FB0A3F" w:rsidRDefault="00000000">
            <w:pPr>
              <w:spacing w:before="40" w:after="40"/>
              <w:ind w:left="100" w:right="100"/>
              <w:jc w:val="center"/>
            </w:pPr>
            <w:r>
              <w:rPr>
                <w:rFonts w:ascii="Arial" w:eastAsia="Arial" w:hAnsi="Arial" w:cs="Arial"/>
                <w:color w:val="111111"/>
                <w:sz w:val="16"/>
                <w:szCs w:val="16"/>
              </w:rPr>
              <w:t>120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83A9070" w14:textId="77777777" w:rsidR="00FB0A3F" w:rsidRDefault="00000000">
            <w:pPr>
              <w:spacing w:before="40" w:after="40"/>
              <w:ind w:left="100" w:right="100"/>
              <w:jc w:val="center"/>
            </w:pPr>
            <w:r>
              <w:rPr>
                <w:rFonts w:ascii="Arial" w:eastAsia="Arial" w:hAnsi="Arial" w:cs="Arial"/>
                <w:color w:val="111111"/>
                <w:sz w:val="16"/>
                <w:szCs w:val="16"/>
              </w:rPr>
              <w:t>115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9C3F72C" w14:textId="77777777" w:rsidR="00FB0A3F" w:rsidRDefault="00000000">
            <w:pPr>
              <w:spacing w:before="40" w:after="40"/>
              <w:ind w:left="100" w:right="100"/>
              <w:jc w:val="center"/>
            </w:pPr>
            <w:r>
              <w:rPr>
                <w:rFonts w:ascii="Arial" w:eastAsia="Arial" w:hAnsi="Arial" w:cs="Arial"/>
                <w:color w:val="111111"/>
                <w:sz w:val="16"/>
                <w:szCs w:val="16"/>
              </w:rPr>
              <w:t>113 &amp; 115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DEE2EB2" w14:textId="77777777" w:rsidR="00FB0A3F" w:rsidRDefault="00000000">
            <w:pPr>
              <w:spacing w:before="40" w:after="40"/>
              <w:ind w:left="100" w:right="100"/>
              <w:jc w:val="center"/>
            </w:pPr>
            <w:r>
              <w:rPr>
                <w:rFonts w:ascii="Arial" w:eastAsia="Arial" w:hAnsi="Arial" w:cs="Arial"/>
                <w:color w:val="111111"/>
                <w:sz w:val="16"/>
                <w:szCs w:val="16"/>
              </w:rPr>
              <w:t>110 &amp; 115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5824918" w14:textId="77777777" w:rsidR="00FB0A3F" w:rsidRDefault="00000000">
            <w:pPr>
              <w:spacing w:before="40" w:after="40"/>
              <w:ind w:left="100" w:right="100"/>
              <w:jc w:val="center"/>
            </w:pPr>
            <w:r>
              <w:rPr>
                <w:rFonts w:ascii="Arial" w:eastAsia="Arial" w:hAnsi="Arial" w:cs="Arial"/>
                <w:color w:val="111111"/>
                <w:sz w:val="16"/>
                <w:szCs w:val="16"/>
              </w:rPr>
              <w:t>105 &amp; 110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23ADCCF" w14:textId="77777777" w:rsidR="00FB0A3F" w:rsidRDefault="00000000">
            <w:pPr>
              <w:spacing w:before="40" w:after="40"/>
              <w:ind w:left="100" w:right="100"/>
              <w:jc w:val="center"/>
            </w:pPr>
            <w:r>
              <w:rPr>
                <w:rFonts w:ascii="Arial" w:eastAsia="Arial" w:hAnsi="Arial" w:cs="Arial"/>
                <w:color w:val="111111"/>
                <w:sz w:val="16"/>
                <w:szCs w:val="16"/>
              </w:rPr>
              <w:t>115 &amp; 120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Pr>
          <w:p w14:paraId="6735C8CA" w14:textId="77777777" w:rsidR="00FB0A3F" w:rsidRDefault="00000000">
            <w:pPr>
              <w:spacing w:before="40" w:after="40"/>
              <w:ind w:left="100" w:right="100"/>
              <w:jc w:val="center"/>
              <w:rPr>
                <w:rFonts w:ascii="Arial" w:eastAsia="Arial" w:hAnsi="Arial" w:cs="Arial"/>
                <w:color w:val="111111"/>
                <w:sz w:val="16"/>
                <w:szCs w:val="16"/>
              </w:rPr>
            </w:pPr>
            <w:r>
              <w:rPr>
                <w:rFonts w:ascii="Arial" w:eastAsia="Arial" w:hAnsi="Arial" w:cs="Arial"/>
                <w:color w:val="111111"/>
                <w:sz w:val="16"/>
                <w:szCs w:val="16"/>
              </w:rPr>
              <w:t>115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564D430" w14:textId="77777777" w:rsidR="00FB0A3F" w:rsidRDefault="00000000">
            <w:pPr>
              <w:spacing w:before="40" w:after="40"/>
              <w:ind w:left="100" w:right="100"/>
              <w:jc w:val="center"/>
              <w:rPr>
                <w:rFonts w:ascii="Arial" w:eastAsia="Arial" w:hAnsi="Arial" w:cs="Arial"/>
                <w:color w:val="111111"/>
                <w:sz w:val="16"/>
                <w:szCs w:val="16"/>
              </w:rPr>
            </w:pPr>
            <w:r>
              <w:rPr>
                <w:rFonts w:ascii="Arial" w:eastAsia="Arial" w:hAnsi="Arial" w:cs="Arial"/>
                <w:color w:val="111111"/>
                <w:sz w:val="16"/>
                <w:szCs w:val="16"/>
              </w:rPr>
              <w:t>115</w:t>
            </w:r>
          </w:p>
        </w:tc>
      </w:tr>
      <w:tr w:rsidR="00FB0A3F" w14:paraId="3ED6BBEB" w14:textId="77777777">
        <w:trPr>
          <w:cantSplit/>
          <w:jc w:val="center"/>
        </w:trPr>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F269CB6" w14:textId="77777777" w:rsidR="00FB0A3F" w:rsidRDefault="00000000">
            <w:pPr>
              <w:spacing w:before="40" w:after="40"/>
              <w:ind w:left="100" w:right="100"/>
              <w:jc w:val="center"/>
            </w:pPr>
            <w:r>
              <w:rPr>
                <w:rFonts w:ascii="Arial" w:eastAsia="Arial" w:hAnsi="Arial" w:cs="Arial"/>
                <w:color w:val="111111"/>
                <w:sz w:val="16"/>
                <w:szCs w:val="16"/>
              </w:rPr>
              <w:t>1 Apr 2012</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756DACB" w14:textId="77777777" w:rsidR="00FB0A3F" w:rsidRDefault="00000000">
            <w:pPr>
              <w:spacing w:before="40" w:after="40"/>
              <w:ind w:left="100" w:right="100"/>
              <w:jc w:val="center"/>
            </w:pPr>
            <w:r>
              <w:rPr>
                <w:rFonts w:ascii="Arial" w:eastAsia="Arial" w:hAnsi="Arial" w:cs="Arial"/>
                <w:color w:val="111111"/>
                <w:sz w:val="16"/>
                <w:szCs w:val="16"/>
              </w:rPr>
              <w:t>123</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A146E11" w14:textId="77777777" w:rsidR="00FB0A3F" w:rsidRDefault="00000000">
            <w:pPr>
              <w:spacing w:before="40" w:after="40"/>
              <w:ind w:left="100" w:right="100"/>
              <w:jc w:val="center"/>
            </w:pPr>
            <w:r>
              <w:rPr>
                <w:rFonts w:ascii="Arial" w:eastAsia="Arial" w:hAnsi="Arial" w:cs="Arial"/>
                <w:color w:val="111111"/>
                <w:sz w:val="16"/>
                <w:szCs w:val="16"/>
              </w:rPr>
              <w:t>123</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CCF7796" w14:textId="77777777" w:rsidR="00FB0A3F" w:rsidRDefault="00000000">
            <w:pPr>
              <w:spacing w:before="40" w:after="40"/>
              <w:ind w:left="100" w:right="100"/>
              <w:jc w:val="center"/>
            </w:pPr>
            <w:r>
              <w:rPr>
                <w:rFonts w:ascii="Arial" w:eastAsia="Arial" w:hAnsi="Arial" w:cs="Arial"/>
                <w:color w:val="111111"/>
                <w:sz w:val="16"/>
                <w:szCs w:val="16"/>
              </w:rPr>
              <w:t>110 &amp; 123</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E2BA79C" w14:textId="77777777" w:rsidR="00FB0A3F" w:rsidRDefault="00000000">
            <w:pPr>
              <w:spacing w:before="40" w:after="40"/>
              <w:ind w:left="100" w:right="100"/>
              <w:jc w:val="center"/>
            </w:pPr>
            <w:r>
              <w:rPr>
                <w:rFonts w:ascii="Arial" w:eastAsia="Arial" w:hAnsi="Arial" w:cs="Arial"/>
                <w:color w:val="111111"/>
                <w:sz w:val="16"/>
                <w:szCs w:val="16"/>
              </w:rPr>
              <w:t>105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BC9D7BA" w14:textId="77777777" w:rsidR="00FB0A3F" w:rsidRDefault="00000000">
            <w:pPr>
              <w:spacing w:before="40" w:after="40"/>
              <w:ind w:left="100" w:right="100"/>
              <w:jc w:val="center"/>
            </w:pPr>
            <w:r>
              <w:rPr>
                <w:rFonts w:ascii="Arial" w:eastAsia="Arial" w:hAnsi="Arial" w:cs="Arial"/>
                <w:color w:val="111111"/>
                <w:sz w:val="16"/>
                <w:szCs w:val="16"/>
              </w:rPr>
              <w:t>120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965BC0E" w14:textId="77777777" w:rsidR="00FB0A3F" w:rsidRDefault="00000000">
            <w:pPr>
              <w:spacing w:before="40" w:after="40"/>
              <w:ind w:left="100" w:right="100"/>
              <w:jc w:val="center"/>
            </w:pPr>
            <w:r>
              <w:rPr>
                <w:rFonts w:ascii="Arial" w:eastAsia="Arial" w:hAnsi="Arial" w:cs="Arial"/>
                <w:color w:val="111111"/>
                <w:sz w:val="16"/>
                <w:szCs w:val="16"/>
              </w:rPr>
              <w:t>115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EEC5BD9" w14:textId="77777777" w:rsidR="00FB0A3F" w:rsidRDefault="00000000">
            <w:pPr>
              <w:spacing w:before="40" w:after="40"/>
              <w:ind w:left="100" w:right="100"/>
              <w:jc w:val="center"/>
            </w:pPr>
            <w:r>
              <w:rPr>
                <w:rFonts w:ascii="Arial" w:eastAsia="Arial" w:hAnsi="Arial" w:cs="Arial"/>
                <w:color w:val="111111"/>
                <w:sz w:val="16"/>
                <w:szCs w:val="16"/>
              </w:rPr>
              <w:t>113 &amp; 115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C8C69EC" w14:textId="77777777" w:rsidR="00FB0A3F" w:rsidRDefault="00000000">
            <w:pPr>
              <w:spacing w:before="40" w:after="40"/>
              <w:ind w:left="100" w:right="100"/>
              <w:jc w:val="center"/>
            </w:pPr>
            <w:r>
              <w:rPr>
                <w:rFonts w:ascii="Arial" w:eastAsia="Arial" w:hAnsi="Arial" w:cs="Arial"/>
                <w:color w:val="111111"/>
                <w:sz w:val="16"/>
                <w:szCs w:val="16"/>
              </w:rPr>
              <w:t>110 &amp; 115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1C877A0" w14:textId="77777777" w:rsidR="00FB0A3F" w:rsidRDefault="00000000">
            <w:pPr>
              <w:spacing w:before="40" w:after="40"/>
              <w:ind w:left="100" w:right="100"/>
              <w:jc w:val="center"/>
            </w:pPr>
            <w:r>
              <w:rPr>
                <w:rFonts w:ascii="Arial" w:eastAsia="Arial" w:hAnsi="Arial" w:cs="Arial"/>
                <w:color w:val="111111"/>
                <w:sz w:val="16"/>
                <w:szCs w:val="16"/>
              </w:rPr>
              <w:t>105 &amp; 110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2A1F663" w14:textId="77777777" w:rsidR="00FB0A3F" w:rsidRDefault="00000000">
            <w:pPr>
              <w:spacing w:before="40" w:after="40"/>
              <w:ind w:left="100" w:right="100"/>
              <w:jc w:val="center"/>
            </w:pPr>
            <w:r>
              <w:rPr>
                <w:rFonts w:ascii="Arial" w:eastAsia="Arial" w:hAnsi="Arial" w:cs="Arial"/>
                <w:color w:val="111111"/>
                <w:sz w:val="16"/>
                <w:szCs w:val="16"/>
              </w:rPr>
              <w:t>115 &amp; 120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Pr>
          <w:p w14:paraId="2A7615D3" w14:textId="77777777" w:rsidR="00FB0A3F" w:rsidRDefault="00000000">
            <w:pPr>
              <w:spacing w:before="40" w:after="40"/>
              <w:ind w:left="100" w:right="100"/>
              <w:jc w:val="center"/>
              <w:rPr>
                <w:rFonts w:ascii="Arial" w:eastAsia="Arial" w:hAnsi="Arial" w:cs="Arial"/>
                <w:color w:val="111111"/>
                <w:sz w:val="16"/>
                <w:szCs w:val="16"/>
              </w:rPr>
            </w:pPr>
            <w:r>
              <w:rPr>
                <w:rFonts w:ascii="Arial" w:eastAsia="Arial" w:hAnsi="Arial" w:cs="Arial"/>
                <w:color w:val="111111"/>
                <w:sz w:val="16"/>
                <w:szCs w:val="16"/>
              </w:rPr>
              <w:t>115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Pr>
          <w:p w14:paraId="0F2FFBAC" w14:textId="77777777" w:rsidR="00FB0A3F" w:rsidRDefault="00000000">
            <w:pPr>
              <w:spacing w:before="40" w:after="40"/>
              <w:ind w:left="100" w:right="100"/>
              <w:jc w:val="center"/>
              <w:rPr>
                <w:rFonts w:ascii="Arial" w:eastAsia="Arial" w:hAnsi="Arial" w:cs="Arial"/>
                <w:color w:val="111111"/>
                <w:sz w:val="16"/>
                <w:szCs w:val="16"/>
              </w:rPr>
            </w:pPr>
            <w:r>
              <w:rPr>
                <w:rFonts w:ascii="Arial" w:eastAsia="Arial" w:hAnsi="Arial" w:cs="Arial"/>
                <w:color w:val="111111"/>
                <w:sz w:val="16"/>
                <w:szCs w:val="16"/>
              </w:rPr>
              <w:t>110</w:t>
            </w:r>
          </w:p>
        </w:tc>
      </w:tr>
      <w:tr w:rsidR="00FB0A3F" w14:paraId="4F637257" w14:textId="77777777">
        <w:trPr>
          <w:cantSplit/>
          <w:jc w:val="center"/>
        </w:trPr>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EF3F652" w14:textId="77777777" w:rsidR="00FB0A3F" w:rsidRDefault="00000000">
            <w:pPr>
              <w:spacing w:before="40" w:after="40"/>
              <w:ind w:left="100" w:right="100"/>
              <w:jc w:val="center"/>
            </w:pPr>
            <w:r>
              <w:rPr>
                <w:rFonts w:ascii="Arial" w:eastAsia="Arial" w:hAnsi="Arial" w:cs="Arial"/>
                <w:color w:val="111111"/>
                <w:sz w:val="16"/>
                <w:szCs w:val="16"/>
              </w:rPr>
              <w:t>1 Apr 2014</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03D7A5D" w14:textId="77777777" w:rsidR="00FB0A3F" w:rsidRDefault="00000000">
            <w:pPr>
              <w:spacing w:before="40" w:after="40"/>
              <w:ind w:left="100" w:right="100"/>
              <w:jc w:val="center"/>
            </w:pPr>
            <w:r>
              <w:rPr>
                <w:rFonts w:ascii="Arial" w:eastAsia="Arial" w:hAnsi="Arial" w:cs="Arial"/>
                <w:color w:val="111111"/>
                <w:sz w:val="16"/>
                <w:szCs w:val="16"/>
              </w:rPr>
              <w:t>123</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18BFBB4" w14:textId="77777777" w:rsidR="00FB0A3F" w:rsidRDefault="00000000">
            <w:pPr>
              <w:spacing w:before="40" w:after="40"/>
              <w:ind w:left="100" w:right="100"/>
              <w:jc w:val="center"/>
            </w:pPr>
            <w:r>
              <w:rPr>
                <w:rFonts w:ascii="Arial" w:eastAsia="Arial" w:hAnsi="Arial" w:cs="Arial"/>
                <w:color w:val="111111"/>
                <w:sz w:val="16"/>
                <w:szCs w:val="16"/>
              </w:rPr>
              <w:t>123</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24411E5" w14:textId="77777777" w:rsidR="00FB0A3F" w:rsidRDefault="00000000">
            <w:pPr>
              <w:spacing w:before="40" w:after="40"/>
              <w:ind w:left="100" w:right="100"/>
              <w:jc w:val="center"/>
            </w:pPr>
            <w:r>
              <w:rPr>
                <w:rFonts w:ascii="Arial" w:eastAsia="Arial" w:hAnsi="Arial" w:cs="Arial"/>
                <w:color w:val="111111"/>
                <w:sz w:val="16"/>
                <w:szCs w:val="16"/>
              </w:rPr>
              <w:t>110 &amp; 123</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86F3677" w14:textId="77777777" w:rsidR="00FB0A3F" w:rsidRDefault="00000000">
            <w:pPr>
              <w:spacing w:before="40" w:after="40"/>
              <w:ind w:left="100" w:right="100"/>
              <w:jc w:val="center"/>
            </w:pPr>
            <w:r>
              <w:rPr>
                <w:rFonts w:ascii="Arial" w:eastAsia="Arial" w:hAnsi="Arial" w:cs="Arial"/>
                <w:color w:val="111111"/>
                <w:sz w:val="16"/>
                <w:szCs w:val="16"/>
              </w:rPr>
              <w:t>105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D893685" w14:textId="77777777" w:rsidR="00FB0A3F" w:rsidRDefault="00000000">
            <w:pPr>
              <w:spacing w:before="40" w:after="40"/>
              <w:ind w:left="100" w:right="100"/>
              <w:jc w:val="center"/>
            </w:pPr>
            <w:r>
              <w:rPr>
                <w:rFonts w:ascii="Arial" w:eastAsia="Arial" w:hAnsi="Arial" w:cs="Arial"/>
                <w:color w:val="111111"/>
                <w:sz w:val="16"/>
                <w:szCs w:val="16"/>
              </w:rPr>
              <w:t>117</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3FD5B23" w14:textId="77777777" w:rsidR="00FB0A3F" w:rsidRDefault="00000000">
            <w:pPr>
              <w:spacing w:before="40" w:after="40"/>
              <w:ind w:left="100" w:right="100"/>
              <w:jc w:val="center"/>
            </w:pPr>
            <w:r>
              <w:rPr>
                <w:rFonts w:ascii="Arial" w:eastAsia="Arial" w:hAnsi="Arial" w:cs="Arial"/>
                <w:color w:val="111111"/>
                <w:sz w:val="16"/>
                <w:szCs w:val="16"/>
              </w:rPr>
              <w:t>110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99DF53E" w14:textId="77777777" w:rsidR="00FB0A3F" w:rsidRDefault="00000000">
            <w:pPr>
              <w:spacing w:before="40" w:after="40"/>
              <w:ind w:left="100" w:right="100"/>
              <w:jc w:val="center"/>
            </w:pPr>
            <w:r>
              <w:rPr>
                <w:rFonts w:ascii="Arial" w:eastAsia="Arial" w:hAnsi="Arial" w:cs="Arial"/>
                <w:color w:val="111111"/>
                <w:sz w:val="16"/>
                <w:szCs w:val="16"/>
              </w:rPr>
              <w:t>110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BD60B1A" w14:textId="77777777" w:rsidR="00FB0A3F" w:rsidRDefault="00000000">
            <w:pPr>
              <w:spacing w:before="40" w:after="40"/>
              <w:ind w:left="100" w:right="100"/>
              <w:jc w:val="center"/>
            </w:pPr>
            <w:r>
              <w:rPr>
                <w:rFonts w:ascii="Arial" w:eastAsia="Arial" w:hAnsi="Arial" w:cs="Arial"/>
                <w:color w:val="111111"/>
                <w:sz w:val="16"/>
                <w:szCs w:val="16"/>
              </w:rPr>
              <w:t>110 &amp; 115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D74AFC9" w14:textId="77777777" w:rsidR="00FB0A3F" w:rsidRDefault="00000000">
            <w:pPr>
              <w:spacing w:before="40" w:after="40"/>
              <w:ind w:left="100" w:right="100"/>
              <w:jc w:val="center"/>
            </w:pPr>
            <w:r>
              <w:rPr>
                <w:rFonts w:ascii="Arial" w:eastAsia="Arial" w:hAnsi="Arial" w:cs="Arial"/>
                <w:color w:val="111111"/>
                <w:sz w:val="16"/>
                <w:szCs w:val="16"/>
              </w:rPr>
              <w:t>105 &amp; 110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0889138" w14:textId="77777777" w:rsidR="00FB0A3F" w:rsidRDefault="00000000">
            <w:pPr>
              <w:spacing w:before="40" w:after="40"/>
              <w:ind w:left="100" w:right="100"/>
              <w:jc w:val="center"/>
            </w:pPr>
            <w:r>
              <w:rPr>
                <w:rFonts w:ascii="Arial" w:eastAsia="Arial" w:hAnsi="Arial" w:cs="Arial"/>
                <w:color w:val="111111"/>
                <w:sz w:val="16"/>
                <w:szCs w:val="16"/>
              </w:rPr>
              <w:t>115 &amp; 120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Pr>
          <w:p w14:paraId="6237CF62" w14:textId="77777777" w:rsidR="00FB0A3F" w:rsidRDefault="00000000">
            <w:pPr>
              <w:spacing w:before="40" w:after="40"/>
              <w:ind w:left="100" w:right="100"/>
              <w:jc w:val="center"/>
              <w:rPr>
                <w:rFonts w:ascii="Arial" w:eastAsia="Arial" w:hAnsi="Arial" w:cs="Arial"/>
                <w:color w:val="111111"/>
                <w:sz w:val="16"/>
                <w:szCs w:val="16"/>
              </w:rPr>
            </w:pPr>
            <w:r>
              <w:rPr>
                <w:rFonts w:ascii="Arial" w:eastAsia="Arial" w:hAnsi="Arial" w:cs="Arial"/>
                <w:color w:val="111111"/>
                <w:sz w:val="16"/>
                <w:szCs w:val="16"/>
              </w:rPr>
              <w:t>110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Pr>
          <w:p w14:paraId="121BCBBB" w14:textId="77777777" w:rsidR="00FB0A3F" w:rsidRDefault="00000000">
            <w:pPr>
              <w:spacing w:before="40" w:after="40"/>
              <w:ind w:left="100" w:right="100"/>
              <w:jc w:val="center"/>
              <w:rPr>
                <w:rFonts w:ascii="Arial" w:eastAsia="Arial" w:hAnsi="Arial" w:cs="Arial"/>
                <w:color w:val="111111"/>
                <w:sz w:val="16"/>
                <w:szCs w:val="16"/>
              </w:rPr>
            </w:pPr>
            <w:r>
              <w:rPr>
                <w:rFonts w:ascii="Arial" w:eastAsia="Arial" w:hAnsi="Arial" w:cs="Arial"/>
                <w:color w:val="111111"/>
                <w:sz w:val="16"/>
                <w:szCs w:val="16"/>
              </w:rPr>
              <w:t>110</w:t>
            </w:r>
          </w:p>
        </w:tc>
      </w:tr>
      <w:tr w:rsidR="00FB0A3F" w14:paraId="34A0AA94" w14:textId="77777777">
        <w:trPr>
          <w:cantSplit/>
          <w:jc w:val="center"/>
        </w:trPr>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526504B" w14:textId="77777777" w:rsidR="00FB0A3F" w:rsidRDefault="00000000">
            <w:pPr>
              <w:spacing w:before="40" w:after="40"/>
              <w:ind w:left="100" w:right="100"/>
              <w:jc w:val="center"/>
            </w:pPr>
            <w:r>
              <w:rPr>
                <w:rFonts w:ascii="Arial" w:eastAsia="Arial" w:hAnsi="Arial" w:cs="Arial"/>
                <w:color w:val="111111"/>
                <w:sz w:val="16"/>
                <w:szCs w:val="16"/>
              </w:rPr>
              <w:t>1 Apr 2016</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9E31B2D" w14:textId="77777777" w:rsidR="00FB0A3F" w:rsidRDefault="00000000">
            <w:pPr>
              <w:spacing w:before="40" w:after="40"/>
              <w:ind w:left="100" w:right="100"/>
              <w:jc w:val="center"/>
            </w:pPr>
            <w:r>
              <w:rPr>
                <w:rFonts w:ascii="Arial" w:eastAsia="Arial" w:hAnsi="Arial" w:cs="Arial"/>
                <w:color w:val="111111"/>
                <w:sz w:val="16"/>
                <w:szCs w:val="16"/>
              </w:rPr>
              <w:t>123</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8963D3A" w14:textId="77777777" w:rsidR="00FB0A3F" w:rsidRDefault="00000000">
            <w:pPr>
              <w:spacing w:before="40" w:after="40"/>
              <w:ind w:left="100" w:right="100"/>
              <w:jc w:val="center"/>
            </w:pPr>
            <w:r>
              <w:rPr>
                <w:rFonts w:ascii="Arial" w:eastAsia="Arial" w:hAnsi="Arial" w:cs="Arial"/>
                <w:color w:val="111111"/>
                <w:sz w:val="16"/>
                <w:szCs w:val="16"/>
              </w:rPr>
              <w:t>123</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6B7B687" w14:textId="77777777" w:rsidR="00FB0A3F" w:rsidRDefault="00000000">
            <w:pPr>
              <w:spacing w:before="40" w:after="40"/>
              <w:ind w:left="100" w:right="100"/>
              <w:jc w:val="center"/>
            </w:pPr>
            <w:r>
              <w:rPr>
                <w:rFonts w:ascii="Arial" w:eastAsia="Arial" w:hAnsi="Arial" w:cs="Arial"/>
                <w:color w:val="111111"/>
                <w:sz w:val="16"/>
                <w:szCs w:val="16"/>
              </w:rPr>
              <w:t>110 &amp; 123</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0E25ECB" w14:textId="77777777" w:rsidR="00FB0A3F" w:rsidRDefault="00000000">
            <w:pPr>
              <w:spacing w:before="40" w:after="40"/>
              <w:ind w:left="100" w:right="100"/>
              <w:jc w:val="center"/>
            </w:pPr>
            <w:r>
              <w:rPr>
                <w:rFonts w:ascii="Arial" w:eastAsia="Arial" w:hAnsi="Arial" w:cs="Arial"/>
                <w:color w:val="111111"/>
                <w:sz w:val="16"/>
                <w:szCs w:val="16"/>
              </w:rPr>
              <w:t>105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75B4E11" w14:textId="77777777" w:rsidR="00FB0A3F" w:rsidRDefault="00000000">
            <w:pPr>
              <w:spacing w:before="40" w:after="40"/>
              <w:ind w:left="100" w:right="100"/>
              <w:jc w:val="center"/>
            </w:pPr>
            <w:r>
              <w:rPr>
                <w:rFonts w:ascii="Arial" w:eastAsia="Arial" w:hAnsi="Arial" w:cs="Arial"/>
                <w:color w:val="111111"/>
                <w:sz w:val="16"/>
                <w:szCs w:val="16"/>
              </w:rPr>
              <w:t>117</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4CE9E1E" w14:textId="77777777" w:rsidR="00FB0A3F" w:rsidRDefault="00000000">
            <w:pPr>
              <w:spacing w:before="40" w:after="40"/>
              <w:ind w:left="100" w:right="100"/>
              <w:jc w:val="center"/>
            </w:pPr>
            <w:r>
              <w:rPr>
                <w:rFonts w:ascii="Arial" w:eastAsia="Arial" w:hAnsi="Arial" w:cs="Arial"/>
                <w:color w:val="111111"/>
                <w:sz w:val="16"/>
                <w:szCs w:val="16"/>
              </w:rPr>
              <w:t>110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594D63B" w14:textId="77777777" w:rsidR="00FB0A3F" w:rsidRDefault="00000000">
            <w:pPr>
              <w:spacing w:before="40" w:after="40"/>
              <w:ind w:left="100" w:right="100"/>
              <w:jc w:val="center"/>
            </w:pPr>
            <w:r>
              <w:rPr>
                <w:rFonts w:ascii="Arial" w:eastAsia="Arial" w:hAnsi="Arial" w:cs="Arial"/>
                <w:color w:val="111111"/>
                <w:sz w:val="16"/>
                <w:szCs w:val="16"/>
              </w:rPr>
              <w:t>110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9EB51D4" w14:textId="77777777" w:rsidR="00FB0A3F" w:rsidRDefault="00000000">
            <w:pPr>
              <w:spacing w:before="40" w:after="40"/>
              <w:ind w:left="100" w:right="100"/>
              <w:jc w:val="center"/>
            </w:pPr>
            <w:r>
              <w:rPr>
                <w:rFonts w:ascii="Arial" w:eastAsia="Arial" w:hAnsi="Arial" w:cs="Arial"/>
                <w:color w:val="111111"/>
                <w:sz w:val="16"/>
                <w:szCs w:val="16"/>
              </w:rPr>
              <w:t>110 &amp; 115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3AEF4EE" w14:textId="77777777" w:rsidR="00FB0A3F" w:rsidRDefault="00000000">
            <w:pPr>
              <w:spacing w:before="40" w:after="40"/>
              <w:ind w:left="100" w:right="100"/>
              <w:jc w:val="center"/>
            </w:pPr>
            <w:r>
              <w:rPr>
                <w:rFonts w:ascii="Arial" w:eastAsia="Arial" w:hAnsi="Arial" w:cs="Arial"/>
                <w:color w:val="111111"/>
                <w:sz w:val="16"/>
                <w:szCs w:val="16"/>
              </w:rPr>
              <w:t>105 &amp; 110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9F709CF" w14:textId="77777777" w:rsidR="00FB0A3F" w:rsidRDefault="00000000">
            <w:pPr>
              <w:spacing w:before="40" w:after="40"/>
              <w:ind w:left="100" w:right="100"/>
              <w:jc w:val="center"/>
            </w:pPr>
            <w:r>
              <w:rPr>
                <w:rFonts w:ascii="Arial" w:eastAsia="Arial" w:hAnsi="Arial" w:cs="Arial"/>
                <w:color w:val="111111"/>
                <w:sz w:val="16"/>
                <w:szCs w:val="16"/>
              </w:rPr>
              <w:t>115 &amp; 120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Pr>
          <w:p w14:paraId="653FF847" w14:textId="77777777" w:rsidR="00FB0A3F" w:rsidRDefault="00000000">
            <w:pPr>
              <w:spacing w:before="40" w:after="40"/>
              <w:ind w:left="100" w:right="100"/>
              <w:jc w:val="center"/>
              <w:rPr>
                <w:rFonts w:ascii="Arial" w:eastAsia="Arial" w:hAnsi="Arial" w:cs="Arial"/>
                <w:color w:val="111111"/>
                <w:sz w:val="16"/>
                <w:szCs w:val="16"/>
              </w:rPr>
            </w:pPr>
            <w:r>
              <w:rPr>
                <w:rFonts w:ascii="Arial" w:eastAsia="Arial" w:hAnsi="Arial" w:cs="Arial"/>
                <w:color w:val="111111"/>
                <w:sz w:val="16"/>
                <w:szCs w:val="16"/>
              </w:rPr>
              <w:t>110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Pr>
          <w:p w14:paraId="6224B0D4" w14:textId="77777777" w:rsidR="00FB0A3F" w:rsidRDefault="00000000">
            <w:pPr>
              <w:spacing w:before="40" w:after="40"/>
              <w:ind w:left="100" w:right="100"/>
              <w:jc w:val="center"/>
              <w:rPr>
                <w:rFonts w:ascii="Arial" w:eastAsia="Arial" w:hAnsi="Arial" w:cs="Arial"/>
                <w:color w:val="111111"/>
                <w:sz w:val="16"/>
                <w:szCs w:val="16"/>
              </w:rPr>
            </w:pPr>
            <w:r>
              <w:rPr>
                <w:rFonts w:ascii="Arial" w:eastAsia="Arial" w:hAnsi="Arial" w:cs="Arial"/>
                <w:color w:val="111111"/>
                <w:sz w:val="16"/>
                <w:szCs w:val="16"/>
              </w:rPr>
              <w:t>110</w:t>
            </w:r>
          </w:p>
        </w:tc>
      </w:tr>
      <w:tr w:rsidR="00FB0A3F" w14:paraId="4038FD1D" w14:textId="77777777">
        <w:trPr>
          <w:cantSplit/>
          <w:jc w:val="center"/>
        </w:trPr>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2BCC962" w14:textId="77777777" w:rsidR="00FB0A3F" w:rsidRDefault="00000000">
            <w:pPr>
              <w:spacing w:before="40" w:after="40"/>
              <w:ind w:left="100" w:right="100"/>
              <w:jc w:val="center"/>
            </w:pPr>
            <w:r>
              <w:rPr>
                <w:rFonts w:ascii="Arial" w:eastAsia="Arial" w:hAnsi="Arial" w:cs="Arial"/>
                <w:color w:val="111111"/>
                <w:sz w:val="16"/>
                <w:szCs w:val="16"/>
              </w:rPr>
              <w:t>1 Apr 2017</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F86715E" w14:textId="77777777" w:rsidR="00FB0A3F" w:rsidRDefault="00000000">
            <w:pPr>
              <w:spacing w:before="40" w:after="40"/>
              <w:ind w:left="100" w:right="100"/>
              <w:jc w:val="center"/>
            </w:pPr>
            <w:r>
              <w:rPr>
                <w:rFonts w:ascii="Arial" w:eastAsia="Arial" w:hAnsi="Arial" w:cs="Arial"/>
                <w:color w:val="111111"/>
                <w:sz w:val="16"/>
                <w:szCs w:val="16"/>
              </w:rPr>
              <w:t>125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3B808E7" w14:textId="77777777" w:rsidR="00FB0A3F" w:rsidRDefault="00000000">
            <w:pPr>
              <w:spacing w:before="40" w:after="40"/>
              <w:ind w:left="100" w:right="100"/>
              <w:jc w:val="center"/>
            </w:pPr>
            <w:r>
              <w:rPr>
                <w:rFonts w:ascii="Arial" w:eastAsia="Arial" w:hAnsi="Arial" w:cs="Arial"/>
                <w:color w:val="111111"/>
                <w:sz w:val="16"/>
                <w:szCs w:val="16"/>
              </w:rPr>
              <w:t>123</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63A532C" w14:textId="77777777" w:rsidR="00FB0A3F" w:rsidRDefault="00000000">
            <w:pPr>
              <w:spacing w:before="40" w:after="40"/>
              <w:ind w:left="100" w:right="100"/>
              <w:jc w:val="center"/>
            </w:pPr>
            <w:r>
              <w:rPr>
                <w:rFonts w:ascii="Arial" w:eastAsia="Arial" w:hAnsi="Arial" w:cs="Arial"/>
                <w:color w:val="111111"/>
                <w:sz w:val="16"/>
                <w:szCs w:val="16"/>
              </w:rPr>
              <w:t>110 &amp; 123</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6957CE0" w14:textId="77777777" w:rsidR="00FB0A3F" w:rsidRDefault="00000000">
            <w:pPr>
              <w:spacing w:before="40" w:after="40"/>
              <w:ind w:left="100" w:right="100"/>
              <w:jc w:val="center"/>
            </w:pPr>
            <w:r>
              <w:rPr>
                <w:rFonts w:ascii="Arial" w:eastAsia="Arial" w:hAnsi="Arial" w:cs="Arial"/>
                <w:color w:val="111111"/>
                <w:sz w:val="16"/>
                <w:szCs w:val="16"/>
              </w:rPr>
              <w:t>105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FE47890" w14:textId="77777777" w:rsidR="00FB0A3F" w:rsidRDefault="00000000">
            <w:pPr>
              <w:spacing w:before="40" w:after="40"/>
              <w:ind w:left="100" w:right="100"/>
              <w:jc w:val="center"/>
            </w:pPr>
            <w:r>
              <w:rPr>
                <w:rFonts w:ascii="Arial" w:eastAsia="Arial" w:hAnsi="Arial" w:cs="Arial"/>
                <w:color w:val="111111"/>
                <w:sz w:val="16"/>
                <w:szCs w:val="16"/>
              </w:rPr>
              <w:t>117</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AF20853" w14:textId="77777777" w:rsidR="00FB0A3F" w:rsidRDefault="00000000">
            <w:pPr>
              <w:spacing w:before="40" w:after="40"/>
              <w:ind w:left="100" w:right="100"/>
              <w:jc w:val="center"/>
            </w:pPr>
            <w:r>
              <w:rPr>
                <w:rFonts w:ascii="Arial" w:eastAsia="Arial" w:hAnsi="Arial" w:cs="Arial"/>
                <w:color w:val="111111"/>
                <w:sz w:val="16"/>
                <w:szCs w:val="16"/>
              </w:rPr>
              <w:t>110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2363416" w14:textId="77777777" w:rsidR="00FB0A3F" w:rsidRDefault="00000000">
            <w:pPr>
              <w:spacing w:before="40" w:after="40"/>
              <w:ind w:left="100" w:right="100"/>
              <w:jc w:val="center"/>
            </w:pPr>
            <w:r>
              <w:rPr>
                <w:rFonts w:ascii="Arial" w:eastAsia="Arial" w:hAnsi="Arial" w:cs="Arial"/>
                <w:color w:val="111111"/>
                <w:sz w:val="16"/>
                <w:szCs w:val="16"/>
              </w:rPr>
              <w:t>110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4792B54" w14:textId="77777777" w:rsidR="00FB0A3F" w:rsidRDefault="00000000">
            <w:pPr>
              <w:spacing w:before="40" w:after="40"/>
              <w:ind w:left="100" w:right="100"/>
              <w:jc w:val="center"/>
            </w:pPr>
            <w:r>
              <w:rPr>
                <w:rFonts w:ascii="Arial" w:eastAsia="Arial" w:hAnsi="Arial" w:cs="Arial"/>
                <w:color w:val="111111"/>
                <w:sz w:val="16"/>
                <w:szCs w:val="16"/>
              </w:rPr>
              <w:t>110 &amp; 115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77FE864" w14:textId="77777777" w:rsidR="00FB0A3F" w:rsidRDefault="00000000">
            <w:pPr>
              <w:spacing w:before="40" w:after="40"/>
              <w:ind w:left="100" w:right="100"/>
              <w:jc w:val="center"/>
            </w:pPr>
            <w:r>
              <w:rPr>
                <w:rFonts w:ascii="Arial" w:eastAsia="Arial" w:hAnsi="Arial" w:cs="Arial"/>
                <w:color w:val="111111"/>
                <w:sz w:val="16"/>
                <w:szCs w:val="16"/>
              </w:rPr>
              <w:t>105 &amp; 110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1032AFA" w14:textId="77777777" w:rsidR="00FB0A3F" w:rsidRDefault="00000000">
            <w:pPr>
              <w:spacing w:before="40" w:after="40"/>
              <w:ind w:left="100" w:right="100"/>
              <w:jc w:val="center"/>
            </w:pPr>
            <w:r>
              <w:rPr>
                <w:rFonts w:ascii="Arial" w:eastAsia="Arial" w:hAnsi="Arial" w:cs="Arial"/>
                <w:color w:val="111111"/>
                <w:sz w:val="16"/>
                <w:szCs w:val="16"/>
              </w:rPr>
              <w:t>115 &amp; 120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Pr>
          <w:p w14:paraId="5194B32D" w14:textId="77777777" w:rsidR="00FB0A3F" w:rsidRDefault="00000000">
            <w:pPr>
              <w:spacing w:before="40" w:after="40"/>
              <w:ind w:left="100" w:right="100"/>
              <w:jc w:val="center"/>
              <w:rPr>
                <w:rFonts w:ascii="Arial" w:eastAsia="Arial" w:hAnsi="Arial" w:cs="Arial"/>
                <w:color w:val="111111"/>
                <w:sz w:val="16"/>
                <w:szCs w:val="16"/>
              </w:rPr>
            </w:pPr>
            <w:r>
              <w:rPr>
                <w:rFonts w:ascii="Arial" w:eastAsia="Arial" w:hAnsi="Arial" w:cs="Arial"/>
                <w:color w:val="111111"/>
                <w:sz w:val="16"/>
                <w:szCs w:val="16"/>
              </w:rPr>
              <w:t>110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Pr>
          <w:p w14:paraId="50AAB6F0" w14:textId="77777777" w:rsidR="00FB0A3F" w:rsidRDefault="00000000">
            <w:pPr>
              <w:spacing w:before="40" w:after="40"/>
              <w:ind w:left="100" w:right="100"/>
              <w:jc w:val="center"/>
              <w:rPr>
                <w:rFonts w:ascii="Arial" w:eastAsia="Arial" w:hAnsi="Arial" w:cs="Arial"/>
                <w:color w:val="111111"/>
                <w:sz w:val="16"/>
                <w:szCs w:val="16"/>
              </w:rPr>
            </w:pPr>
            <w:r>
              <w:rPr>
                <w:rFonts w:ascii="Arial" w:eastAsia="Arial" w:hAnsi="Arial" w:cs="Arial"/>
                <w:color w:val="111111"/>
                <w:sz w:val="16"/>
                <w:szCs w:val="16"/>
              </w:rPr>
              <w:t>110</w:t>
            </w:r>
          </w:p>
        </w:tc>
      </w:tr>
      <w:tr w:rsidR="00FB0A3F" w14:paraId="38B8ABA6" w14:textId="77777777">
        <w:trPr>
          <w:cantSplit/>
          <w:jc w:val="center"/>
        </w:trPr>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55318E6" w14:textId="77777777" w:rsidR="00FB0A3F" w:rsidRDefault="00000000">
            <w:pPr>
              <w:spacing w:before="40" w:after="40"/>
              <w:ind w:left="100" w:right="100"/>
              <w:jc w:val="center"/>
            </w:pPr>
            <w:r>
              <w:rPr>
                <w:rFonts w:ascii="Arial" w:eastAsia="Arial" w:hAnsi="Arial" w:cs="Arial"/>
                <w:color w:val="111111"/>
                <w:sz w:val="16"/>
                <w:szCs w:val="16"/>
              </w:rPr>
              <w:t>1 Apr 2018</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FEF27D1" w14:textId="77777777" w:rsidR="00FB0A3F" w:rsidRDefault="00000000">
            <w:pPr>
              <w:spacing w:before="40" w:after="40"/>
              <w:ind w:left="100" w:right="100"/>
              <w:jc w:val="center"/>
            </w:pPr>
            <w:r>
              <w:rPr>
                <w:rFonts w:ascii="Arial" w:eastAsia="Arial" w:hAnsi="Arial" w:cs="Arial"/>
                <w:color w:val="111111"/>
                <w:sz w:val="16"/>
                <w:szCs w:val="16"/>
              </w:rPr>
              <w:t>125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4D744DB" w14:textId="77777777" w:rsidR="00FB0A3F" w:rsidRDefault="00000000">
            <w:pPr>
              <w:spacing w:before="40" w:after="40"/>
              <w:ind w:left="100" w:right="100"/>
              <w:jc w:val="center"/>
            </w:pPr>
            <w:r>
              <w:rPr>
                <w:rFonts w:ascii="Arial" w:eastAsia="Arial" w:hAnsi="Arial" w:cs="Arial"/>
                <w:color w:val="111111"/>
                <w:sz w:val="16"/>
                <w:szCs w:val="16"/>
              </w:rPr>
              <w:t>123</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1796DC8" w14:textId="77777777" w:rsidR="00FB0A3F" w:rsidRDefault="00000000">
            <w:pPr>
              <w:spacing w:before="40" w:after="40"/>
              <w:ind w:left="100" w:right="100"/>
              <w:jc w:val="center"/>
            </w:pPr>
            <w:r>
              <w:rPr>
                <w:rFonts w:ascii="Arial" w:eastAsia="Arial" w:hAnsi="Arial" w:cs="Arial"/>
                <w:color w:val="111111"/>
                <w:sz w:val="16"/>
                <w:szCs w:val="16"/>
              </w:rPr>
              <w:t>110 &amp; 123</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A7584E6" w14:textId="77777777" w:rsidR="00FB0A3F" w:rsidRDefault="00000000">
            <w:pPr>
              <w:spacing w:before="40" w:after="40"/>
              <w:ind w:left="100" w:right="100"/>
              <w:jc w:val="center"/>
            </w:pPr>
            <w:r>
              <w:rPr>
                <w:rFonts w:ascii="Arial" w:eastAsia="Arial" w:hAnsi="Arial" w:cs="Arial"/>
                <w:color w:val="111111"/>
                <w:sz w:val="16"/>
                <w:szCs w:val="16"/>
              </w:rPr>
              <w:t>105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9782CF7" w14:textId="77777777" w:rsidR="00FB0A3F" w:rsidRDefault="00000000">
            <w:pPr>
              <w:spacing w:before="40" w:after="40"/>
              <w:ind w:left="100" w:right="100"/>
              <w:jc w:val="center"/>
            </w:pPr>
            <w:r>
              <w:rPr>
                <w:rFonts w:ascii="Arial" w:eastAsia="Arial" w:hAnsi="Arial" w:cs="Arial"/>
                <w:color w:val="111111"/>
                <w:sz w:val="16"/>
                <w:szCs w:val="16"/>
              </w:rPr>
              <w:t>117</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261EF85" w14:textId="77777777" w:rsidR="00FB0A3F" w:rsidRDefault="00000000">
            <w:pPr>
              <w:spacing w:before="40" w:after="40"/>
              <w:ind w:left="100" w:right="100"/>
              <w:jc w:val="center"/>
            </w:pPr>
            <w:r>
              <w:rPr>
                <w:rFonts w:ascii="Arial" w:eastAsia="Arial" w:hAnsi="Arial" w:cs="Arial"/>
                <w:color w:val="111111"/>
                <w:sz w:val="16"/>
                <w:szCs w:val="16"/>
              </w:rPr>
              <w:t>110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22EC1D2" w14:textId="77777777" w:rsidR="00FB0A3F" w:rsidRDefault="00000000">
            <w:pPr>
              <w:spacing w:before="40" w:after="40"/>
              <w:ind w:left="100" w:right="100"/>
              <w:jc w:val="center"/>
            </w:pPr>
            <w:r>
              <w:rPr>
                <w:rFonts w:ascii="Arial" w:eastAsia="Arial" w:hAnsi="Arial" w:cs="Arial"/>
                <w:color w:val="111111"/>
                <w:sz w:val="16"/>
                <w:szCs w:val="16"/>
              </w:rPr>
              <w:t>110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6CE5C8C" w14:textId="77777777" w:rsidR="00FB0A3F" w:rsidRDefault="00000000">
            <w:pPr>
              <w:spacing w:before="40" w:after="40"/>
              <w:ind w:left="100" w:right="100"/>
              <w:jc w:val="center"/>
            </w:pPr>
            <w:r>
              <w:rPr>
                <w:rFonts w:ascii="Arial" w:eastAsia="Arial" w:hAnsi="Arial" w:cs="Arial"/>
                <w:color w:val="111111"/>
                <w:sz w:val="16"/>
                <w:szCs w:val="16"/>
              </w:rPr>
              <w:t>110 &amp; 115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5C136BB" w14:textId="77777777" w:rsidR="00FB0A3F" w:rsidRDefault="00000000">
            <w:pPr>
              <w:spacing w:before="40" w:after="40"/>
              <w:ind w:left="100" w:right="100"/>
              <w:jc w:val="center"/>
            </w:pPr>
            <w:r>
              <w:rPr>
                <w:rFonts w:ascii="Arial" w:eastAsia="Arial" w:hAnsi="Arial" w:cs="Arial"/>
                <w:color w:val="111111"/>
                <w:sz w:val="16"/>
                <w:szCs w:val="16"/>
              </w:rPr>
              <w:t>105 &amp; 110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05D95E7" w14:textId="77777777" w:rsidR="00FB0A3F" w:rsidRDefault="00000000">
            <w:pPr>
              <w:spacing w:before="40" w:after="40"/>
              <w:ind w:left="100" w:right="100"/>
              <w:jc w:val="center"/>
            </w:pPr>
            <w:r>
              <w:rPr>
                <w:rFonts w:ascii="Arial" w:eastAsia="Arial" w:hAnsi="Arial" w:cs="Arial"/>
                <w:color w:val="111111"/>
                <w:sz w:val="16"/>
                <w:szCs w:val="16"/>
              </w:rPr>
              <w:t>115 &amp; 120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Pr>
          <w:p w14:paraId="714C7D08" w14:textId="77777777" w:rsidR="00FB0A3F" w:rsidRDefault="00000000">
            <w:pPr>
              <w:spacing w:before="40" w:after="40"/>
              <w:ind w:left="100" w:right="100"/>
              <w:jc w:val="center"/>
              <w:rPr>
                <w:rFonts w:ascii="Arial" w:eastAsia="Arial" w:hAnsi="Arial" w:cs="Arial"/>
                <w:color w:val="111111"/>
                <w:sz w:val="16"/>
                <w:szCs w:val="16"/>
              </w:rPr>
            </w:pPr>
            <w:r>
              <w:rPr>
                <w:rFonts w:ascii="Arial" w:eastAsia="Arial" w:hAnsi="Arial" w:cs="Arial"/>
                <w:color w:val="111111"/>
                <w:sz w:val="16"/>
                <w:szCs w:val="16"/>
              </w:rPr>
              <w:t>110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Pr>
          <w:p w14:paraId="1E658C00" w14:textId="77777777" w:rsidR="00FB0A3F" w:rsidRDefault="00000000">
            <w:pPr>
              <w:spacing w:before="40" w:after="40"/>
              <w:ind w:left="100" w:right="100"/>
              <w:jc w:val="center"/>
              <w:rPr>
                <w:rFonts w:ascii="Arial" w:eastAsia="Arial" w:hAnsi="Arial" w:cs="Arial"/>
                <w:color w:val="111111"/>
                <w:sz w:val="16"/>
                <w:szCs w:val="16"/>
              </w:rPr>
            </w:pPr>
            <w:r>
              <w:rPr>
                <w:rFonts w:ascii="Arial" w:eastAsia="Arial" w:hAnsi="Arial" w:cs="Arial"/>
                <w:color w:val="111111"/>
                <w:sz w:val="16"/>
                <w:szCs w:val="16"/>
              </w:rPr>
              <w:t>110</w:t>
            </w:r>
          </w:p>
        </w:tc>
      </w:tr>
      <w:tr w:rsidR="00FB0A3F" w14:paraId="57426E1A" w14:textId="77777777">
        <w:trPr>
          <w:cantSplit/>
          <w:jc w:val="center"/>
        </w:trPr>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F9DDC5E" w14:textId="77777777" w:rsidR="00FB0A3F" w:rsidRDefault="00000000">
            <w:pPr>
              <w:spacing w:before="40" w:after="40"/>
              <w:ind w:left="100" w:right="100"/>
              <w:jc w:val="center"/>
              <w:rPr>
                <w:rFonts w:ascii="Arial" w:eastAsia="Arial" w:hAnsi="Arial" w:cs="Arial"/>
                <w:color w:val="111111"/>
                <w:sz w:val="16"/>
                <w:szCs w:val="16"/>
              </w:rPr>
            </w:pPr>
            <w:r>
              <w:rPr>
                <w:rFonts w:ascii="Arial" w:eastAsia="Arial" w:hAnsi="Arial" w:cs="Arial"/>
                <w:color w:val="111111"/>
                <w:sz w:val="16"/>
                <w:szCs w:val="16"/>
              </w:rPr>
              <w:t>1 Apr 2019</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61BCC8E" w14:textId="77777777" w:rsidR="00FB0A3F" w:rsidRDefault="00000000">
            <w:pPr>
              <w:spacing w:before="40" w:after="40"/>
              <w:ind w:left="100" w:right="100"/>
              <w:jc w:val="center"/>
              <w:rPr>
                <w:rFonts w:ascii="Arial" w:eastAsia="Arial" w:hAnsi="Arial" w:cs="Arial"/>
                <w:color w:val="111111"/>
                <w:sz w:val="16"/>
                <w:szCs w:val="16"/>
              </w:rPr>
            </w:pPr>
            <w:r>
              <w:rPr>
                <w:rFonts w:ascii="Arial" w:eastAsia="Arial" w:hAnsi="Arial" w:cs="Arial"/>
                <w:color w:val="111111"/>
                <w:sz w:val="16"/>
                <w:szCs w:val="16"/>
              </w:rPr>
              <w:t>125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3832538" w14:textId="77777777" w:rsidR="00FB0A3F" w:rsidRDefault="00000000">
            <w:pPr>
              <w:spacing w:before="40" w:after="40"/>
              <w:ind w:left="100" w:right="100"/>
              <w:jc w:val="center"/>
              <w:rPr>
                <w:rFonts w:ascii="Arial" w:eastAsia="Arial" w:hAnsi="Arial" w:cs="Arial"/>
                <w:color w:val="111111"/>
                <w:sz w:val="16"/>
                <w:szCs w:val="16"/>
              </w:rPr>
            </w:pPr>
            <w:r>
              <w:rPr>
                <w:rFonts w:ascii="Arial" w:eastAsia="Arial" w:hAnsi="Arial" w:cs="Arial"/>
                <w:color w:val="111111"/>
                <w:sz w:val="16"/>
                <w:szCs w:val="16"/>
              </w:rPr>
              <w:t>123</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937DA0C" w14:textId="77777777" w:rsidR="00FB0A3F" w:rsidRDefault="00000000">
            <w:pPr>
              <w:spacing w:before="40" w:after="40"/>
              <w:ind w:left="100" w:right="100"/>
              <w:jc w:val="center"/>
              <w:rPr>
                <w:rFonts w:ascii="Arial" w:eastAsia="Arial" w:hAnsi="Arial" w:cs="Arial"/>
                <w:color w:val="111111"/>
                <w:sz w:val="16"/>
                <w:szCs w:val="16"/>
              </w:rPr>
            </w:pPr>
            <w:r>
              <w:rPr>
                <w:rFonts w:ascii="Arial" w:eastAsia="Arial" w:hAnsi="Arial" w:cs="Arial"/>
                <w:color w:val="111111"/>
                <w:sz w:val="16"/>
                <w:szCs w:val="16"/>
              </w:rPr>
              <w:t>110 &amp; 123</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EB4A5D9" w14:textId="77777777" w:rsidR="00FB0A3F" w:rsidRDefault="00000000">
            <w:pPr>
              <w:spacing w:before="40" w:after="40"/>
              <w:ind w:left="100" w:right="100"/>
              <w:jc w:val="center"/>
              <w:rPr>
                <w:rFonts w:ascii="Arial" w:eastAsia="Arial" w:hAnsi="Arial" w:cs="Arial"/>
                <w:color w:val="111111"/>
                <w:sz w:val="16"/>
                <w:szCs w:val="16"/>
              </w:rPr>
            </w:pPr>
            <w:r>
              <w:rPr>
                <w:rFonts w:ascii="Arial" w:eastAsia="Arial" w:hAnsi="Arial" w:cs="Arial"/>
                <w:color w:val="111111"/>
                <w:sz w:val="16"/>
                <w:szCs w:val="16"/>
              </w:rPr>
              <w:t>105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34B451B" w14:textId="77777777" w:rsidR="00FB0A3F" w:rsidRDefault="00000000">
            <w:pPr>
              <w:spacing w:before="40" w:after="40"/>
              <w:ind w:left="100" w:right="100"/>
              <w:jc w:val="center"/>
              <w:rPr>
                <w:rFonts w:ascii="Arial" w:eastAsia="Arial" w:hAnsi="Arial" w:cs="Arial"/>
                <w:color w:val="111111"/>
                <w:sz w:val="16"/>
                <w:szCs w:val="16"/>
              </w:rPr>
            </w:pPr>
            <w:r>
              <w:rPr>
                <w:rFonts w:ascii="Arial" w:eastAsia="Arial" w:hAnsi="Arial" w:cs="Arial"/>
                <w:color w:val="111111"/>
                <w:sz w:val="16"/>
                <w:szCs w:val="16"/>
              </w:rPr>
              <w:t>117</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9A6FD64" w14:textId="77777777" w:rsidR="00FB0A3F" w:rsidRDefault="00000000">
            <w:pPr>
              <w:spacing w:before="40" w:after="40"/>
              <w:ind w:left="100" w:right="100"/>
              <w:jc w:val="center"/>
              <w:rPr>
                <w:rFonts w:ascii="Arial" w:eastAsia="Arial" w:hAnsi="Arial" w:cs="Arial"/>
                <w:color w:val="111111"/>
                <w:sz w:val="16"/>
                <w:szCs w:val="16"/>
              </w:rPr>
            </w:pPr>
            <w:r>
              <w:rPr>
                <w:rFonts w:ascii="Arial" w:eastAsia="Arial" w:hAnsi="Arial" w:cs="Arial"/>
                <w:color w:val="111111"/>
                <w:sz w:val="16"/>
                <w:szCs w:val="16"/>
              </w:rPr>
              <w:t>110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653C456" w14:textId="77777777" w:rsidR="00FB0A3F" w:rsidRDefault="00000000">
            <w:pPr>
              <w:spacing w:before="40" w:after="40"/>
              <w:ind w:left="100" w:right="100"/>
              <w:jc w:val="center"/>
              <w:rPr>
                <w:rFonts w:ascii="Arial" w:eastAsia="Arial" w:hAnsi="Arial" w:cs="Arial"/>
                <w:color w:val="111111"/>
                <w:sz w:val="16"/>
                <w:szCs w:val="16"/>
              </w:rPr>
            </w:pPr>
            <w:r>
              <w:rPr>
                <w:rFonts w:ascii="Arial" w:eastAsia="Arial" w:hAnsi="Arial" w:cs="Arial"/>
                <w:color w:val="111111"/>
                <w:sz w:val="16"/>
                <w:szCs w:val="16"/>
              </w:rPr>
              <w:t>110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69FFD5F" w14:textId="77777777" w:rsidR="00FB0A3F" w:rsidRDefault="00000000">
            <w:pPr>
              <w:spacing w:before="40" w:after="40"/>
              <w:ind w:left="100" w:right="100"/>
              <w:jc w:val="center"/>
              <w:rPr>
                <w:rFonts w:ascii="Arial" w:eastAsia="Arial" w:hAnsi="Arial" w:cs="Arial"/>
                <w:color w:val="111111"/>
                <w:sz w:val="16"/>
                <w:szCs w:val="16"/>
              </w:rPr>
            </w:pPr>
            <w:r>
              <w:rPr>
                <w:rFonts w:ascii="Arial" w:eastAsia="Arial" w:hAnsi="Arial" w:cs="Arial"/>
                <w:color w:val="111111"/>
                <w:sz w:val="16"/>
                <w:szCs w:val="16"/>
              </w:rPr>
              <w:t>110 &amp; 115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2C7EF18" w14:textId="77777777" w:rsidR="00FB0A3F" w:rsidRDefault="00000000">
            <w:pPr>
              <w:spacing w:before="40" w:after="40"/>
              <w:ind w:left="100" w:right="100"/>
              <w:jc w:val="center"/>
              <w:rPr>
                <w:rFonts w:ascii="Arial" w:eastAsia="Arial" w:hAnsi="Arial" w:cs="Arial"/>
                <w:color w:val="111111"/>
                <w:sz w:val="16"/>
                <w:szCs w:val="16"/>
              </w:rPr>
            </w:pPr>
            <w:r>
              <w:rPr>
                <w:rFonts w:ascii="Arial" w:eastAsia="Arial" w:hAnsi="Arial" w:cs="Arial"/>
                <w:color w:val="111111"/>
                <w:sz w:val="16"/>
                <w:szCs w:val="16"/>
              </w:rPr>
              <w:t>105 &amp; 110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B2C2D6F" w14:textId="77777777" w:rsidR="00FB0A3F" w:rsidRDefault="00000000">
            <w:pPr>
              <w:spacing w:before="40" w:after="40"/>
              <w:ind w:left="100" w:right="100"/>
              <w:jc w:val="center"/>
              <w:rPr>
                <w:rFonts w:ascii="Arial" w:eastAsia="Arial" w:hAnsi="Arial" w:cs="Arial"/>
                <w:color w:val="111111"/>
                <w:sz w:val="16"/>
                <w:szCs w:val="16"/>
              </w:rPr>
            </w:pPr>
            <w:r>
              <w:rPr>
                <w:rFonts w:ascii="Arial" w:eastAsia="Arial" w:hAnsi="Arial" w:cs="Arial"/>
                <w:color w:val="111111"/>
                <w:sz w:val="16"/>
                <w:szCs w:val="16"/>
              </w:rPr>
              <w:t>120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Pr>
          <w:p w14:paraId="08D7BA45" w14:textId="77777777" w:rsidR="00FB0A3F" w:rsidRDefault="00000000">
            <w:pPr>
              <w:spacing w:before="40" w:after="40"/>
              <w:ind w:left="100" w:right="100"/>
              <w:jc w:val="center"/>
              <w:rPr>
                <w:rFonts w:ascii="Arial" w:eastAsia="Arial" w:hAnsi="Arial" w:cs="Arial"/>
                <w:color w:val="111111"/>
                <w:sz w:val="16"/>
                <w:szCs w:val="16"/>
              </w:rPr>
            </w:pPr>
            <w:r>
              <w:rPr>
                <w:rFonts w:ascii="Arial" w:eastAsia="Arial" w:hAnsi="Arial" w:cs="Arial"/>
                <w:color w:val="111111"/>
                <w:sz w:val="16"/>
                <w:szCs w:val="16"/>
              </w:rPr>
              <w:t>110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Pr>
          <w:p w14:paraId="57118C5B" w14:textId="77777777" w:rsidR="00FB0A3F" w:rsidRDefault="00000000">
            <w:pPr>
              <w:spacing w:before="40" w:after="40"/>
              <w:ind w:left="100" w:right="100"/>
              <w:jc w:val="center"/>
              <w:rPr>
                <w:rFonts w:ascii="Arial" w:eastAsia="Arial" w:hAnsi="Arial" w:cs="Arial"/>
                <w:color w:val="111111"/>
                <w:sz w:val="16"/>
                <w:szCs w:val="16"/>
              </w:rPr>
            </w:pPr>
            <w:r>
              <w:rPr>
                <w:rFonts w:ascii="Arial" w:eastAsia="Arial" w:hAnsi="Arial" w:cs="Arial"/>
                <w:color w:val="111111"/>
                <w:sz w:val="16"/>
                <w:szCs w:val="16"/>
              </w:rPr>
              <w:t>110</w:t>
            </w:r>
          </w:p>
        </w:tc>
      </w:tr>
      <w:tr w:rsidR="00FB0A3F" w14:paraId="2821A2D5" w14:textId="77777777">
        <w:trPr>
          <w:cantSplit/>
          <w:jc w:val="center"/>
        </w:trPr>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A86BCA1" w14:textId="77777777" w:rsidR="00FB0A3F" w:rsidRDefault="00000000">
            <w:pPr>
              <w:spacing w:before="40" w:after="40"/>
              <w:ind w:left="100" w:right="100"/>
              <w:jc w:val="center"/>
            </w:pPr>
            <w:bookmarkStart w:id="518" w:name="_Hlk95822706"/>
            <w:r>
              <w:rPr>
                <w:rFonts w:ascii="Arial" w:eastAsia="Arial" w:hAnsi="Arial" w:cs="Arial"/>
                <w:color w:val="111111"/>
                <w:sz w:val="16"/>
                <w:szCs w:val="16"/>
              </w:rPr>
              <w:t>1 Apr 2020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DFF3685" w14:textId="77777777" w:rsidR="00FB0A3F" w:rsidRDefault="00000000">
            <w:pPr>
              <w:spacing w:before="40" w:after="40"/>
              <w:ind w:left="100" w:right="100"/>
              <w:jc w:val="center"/>
            </w:pPr>
            <w:r>
              <w:rPr>
                <w:rFonts w:ascii="Arial" w:eastAsia="Arial" w:hAnsi="Arial" w:cs="Arial"/>
                <w:color w:val="111111"/>
                <w:sz w:val="16"/>
                <w:szCs w:val="16"/>
              </w:rPr>
              <w:t>130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2DB517A" w14:textId="77777777" w:rsidR="00FB0A3F" w:rsidRDefault="00000000">
            <w:pPr>
              <w:spacing w:before="40" w:after="40"/>
              <w:ind w:left="100" w:right="100"/>
              <w:jc w:val="center"/>
            </w:pPr>
            <w:r>
              <w:rPr>
                <w:rFonts w:ascii="Arial" w:eastAsia="Arial" w:hAnsi="Arial" w:cs="Arial"/>
                <w:color w:val="111111"/>
                <w:sz w:val="16"/>
                <w:szCs w:val="16"/>
              </w:rPr>
              <w:t>125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2D181E7" w14:textId="77777777" w:rsidR="00FB0A3F" w:rsidRDefault="00000000">
            <w:pPr>
              <w:spacing w:before="40" w:after="40"/>
              <w:ind w:left="100" w:right="100"/>
              <w:jc w:val="center"/>
            </w:pPr>
            <w:r>
              <w:rPr>
                <w:rFonts w:ascii="Arial" w:eastAsia="Arial" w:hAnsi="Arial" w:cs="Arial"/>
                <w:color w:val="111111"/>
                <w:sz w:val="16"/>
                <w:szCs w:val="16"/>
              </w:rPr>
              <w:t>110 &amp; 123</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A712075" w14:textId="77777777" w:rsidR="00FB0A3F" w:rsidRDefault="00000000">
            <w:pPr>
              <w:spacing w:before="40" w:after="40"/>
              <w:ind w:left="100" w:right="100"/>
              <w:jc w:val="center"/>
            </w:pPr>
            <w:r>
              <w:rPr>
                <w:rFonts w:ascii="Arial" w:eastAsia="Arial" w:hAnsi="Arial" w:cs="Arial"/>
                <w:color w:val="111111"/>
                <w:sz w:val="16"/>
                <w:szCs w:val="16"/>
              </w:rPr>
              <w:t>105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0F7026C" w14:textId="77777777" w:rsidR="00FB0A3F" w:rsidRDefault="00000000">
            <w:pPr>
              <w:spacing w:before="40" w:after="40"/>
              <w:ind w:left="100" w:right="100"/>
              <w:jc w:val="center"/>
            </w:pPr>
            <w:r>
              <w:rPr>
                <w:rFonts w:ascii="Arial" w:eastAsia="Arial" w:hAnsi="Arial" w:cs="Arial"/>
                <w:color w:val="111111"/>
                <w:sz w:val="16"/>
                <w:szCs w:val="16"/>
              </w:rPr>
              <w:t>119</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F24B284" w14:textId="77777777" w:rsidR="00FB0A3F" w:rsidRDefault="00000000">
            <w:pPr>
              <w:spacing w:before="40" w:after="40"/>
              <w:ind w:left="100" w:right="100"/>
              <w:jc w:val="center"/>
            </w:pPr>
            <w:r>
              <w:rPr>
                <w:rFonts w:ascii="Arial" w:eastAsia="Arial" w:hAnsi="Arial" w:cs="Arial"/>
                <w:color w:val="111111"/>
                <w:sz w:val="16"/>
                <w:szCs w:val="16"/>
              </w:rPr>
              <w:t>112</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DE13E27" w14:textId="77777777" w:rsidR="00FB0A3F" w:rsidRDefault="00000000">
            <w:pPr>
              <w:spacing w:before="40" w:after="40"/>
              <w:ind w:left="100" w:right="100"/>
              <w:jc w:val="center"/>
            </w:pPr>
            <w:r>
              <w:rPr>
                <w:rFonts w:ascii="Arial" w:eastAsia="Arial" w:hAnsi="Arial" w:cs="Arial"/>
                <w:color w:val="111111"/>
                <w:sz w:val="16"/>
                <w:szCs w:val="16"/>
              </w:rPr>
              <w:t>112</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51A53F5" w14:textId="77777777" w:rsidR="00FB0A3F" w:rsidRDefault="00000000">
            <w:pPr>
              <w:spacing w:before="40" w:after="40"/>
              <w:ind w:left="100" w:right="100"/>
              <w:jc w:val="center"/>
            </w:pPr>
            <w:r>
              <w:rPr>
                <w:rFonts w:ascii="Arial" w:eastAsia="Arial" w:hAnsi="Arial" w:cs="Arial"/>
                <w:color w:val="111111"/>
                <w:sz w:val="16"/>
                <w:szCs w:val="16"/>
              </w:rPr>
              <w:t xml:space="preserve">115 </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E13A62A" w14:textId="77777777" w:rsidR="00FB0A3F" w:rsidRDefault="00000000">
            <w:pPr>
              <w:spacing w:before="40" w:after="40"/>
              <w:ind w:left="100" w:right="100"/>
              <w:jc w:val="center"/>
            </w:pPr>
            <w:r>
              <w:rPr>
                <w:rFonts w:ascii="Arial" w:eastAsia="Arial" w:hAnsi="Arial" w:cs="Arial"/>
                <w:color w:val="111111"/>
                <w:sz w:val="16"/>
                <w:szCs w:val="16"/>
              </w:rPr>
              <w:t>110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2DA49A9" w14:textId="77777777" w:rsidR="00FB0A3F" w:rsidRDefault="00000000">
            <w:pPr>
              <w:spacing w:before="40" w:after="40"/>
              <w:ind w:left="100" w:right="100"/>
              <w:jc w:val="center"/>
            </w:pPr>
            <w:r>
              <w:rPr>
                <w:rFonts w:ascii="Arial" w:eastAsia="Arial" w:hAnsi="Arial" w:cs="Arial"/>
                <w:color w:val="111111"/>
                <w:sz w:val="16"/>
                <w:szCs w:val="16"/>
              </w:rPr>
              <w:t>115 &amp; 120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Pr>
          <w:p w14:paraId="3B48BF46" w14:textId="77777777" w:rsidR="00FB0A3F" w:rsidRDefault="00000000">
            <w:pPr>
              <w:spacing w:before="40" w:after="40"/>
              <w:ind w:left="100" w:right="100"/>
              <w:jc w:val="center"/>
              <w:rPr>
                <w:rFonts w:ascii="Arial" w:eastAsia="Arial" w:hAnsi="Arial" w:cs="Arial"/>
                <w:color w:val="111111"/>
                <w:sz w:val="16"/>
                <w:szCs w:val="16"/>
              </w:rPr>
            </w:pPr>
            <w:r>
              <w:rPr>
                <w:rFonts w:ascii="Arial" w:eastAsia="Arial" w:hAnsi="Arial" w:cs="Arial"/>
                <w:color w:val="111111"/>
                <w:sz w:val="16"/>
                <w:szCs w:val="16"/>
              </w:rPr>
              <w:t>110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Pr>
          <w:p w14:paraId="70DEA30A" w14:textId="77777777" w:rsidR="00FB0A3F" w:rsidRDefault="00000000">
            <w:pPr>
              <w:spacing w:before="40" w:after="40"/>
              <w:ind w:left="100" w:right="100"/>
              <w:jc w:val="center"/>
              <w:rPr>
                <w:rFonts w:ascii="Arial" w:eastAsia="Arial" w:hAnsi="Arial" w:cs="Arial"/>
                <w:color w:val="111111"/>
                <w:sz w:val="16"/>
                <w:szCs w:val="16"/>
              </w:rPr>
            </w:pPr>
            <w:r>
              <w:rPr>
                <w:rFonts w:ascii="Arial" w:eastAsia="Arial" w:hAnsi="Arial" w:cs="Arial"/>
                <w:color w:val="111111"/>
                <w:sz w:val="16"/>
                <w:szCs w:val="16"/>
              </w:rPr>
              <w:t>110</w:t>
            </w:r>
          </w:p>
        </w:tc>
      </w:tr>
      <w:tr w:rsidR="00FB0A3F" w14:paraId="26911B10" w14:textId="77777777">
        <w:trPr>
          <w:cantSplit/>
          <w:jc w:val="center"/>
        </w:trPr>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D7083F2" w14:textId="77777777" w:rsidR="00FB0A3F" w:rsidRDefault="00000000">
            <w:pPr>
              <w:spacing w:before="40" w:after="40"/>
              <w:ind w:left="100" w:right="100"/>
              <w:jc w:val="center"/>
              <w:rPr>
                <w:rFonts w:ascii="Arial" w:eastAsia="Arial" w:hAnsi="Arial" w:cs="Arial"/>
                <w:color w:val="111111"/>
                <w:sz w:val="16"/>
                <w:szCs w:val="16"/>
              </w:rPr>
            </w:pPr>
            <w:r>
              <w:rPr>
                <w:rFonts w:ascii="Arial" w:eastAsia="Arial" w:hAnsi="Arial" w:cs="Arial"/>
                <w:color w:val="111111"/>
                <w:sz w:val="16"/>
                <w:szCs w:val="16"/>
              </w:rPr>
              <w:t>1 July 2021</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082A817" w14:textId="77777777" w:rsidR="00FB0A3F" w:rsidRDefault="00000000">
            <w:pPr>
              <w:spacing w:before="40" w:after="40"/>
              <w:ind w:left="100" w:right="100"/>
              <w:jc w:val="center"/>
              <w:rPr>
                <w:rFonts w:ascii="Arial" w:eastAsia="Arial" w:hAnsi="Arial" w:cs="Arial"/>
                <w:color w:val="111111"/>
                <w:sz w:val="16"/>
                <w:szCs w:val="16"/>
              </w:rPr>
            </w:pPr>
            <w:r>
              <w:rPr>
                <w:rFonts w:ascii="Arial" w:eastAsia="Arial" w:hAnsi="Arial" w:cs="Arial"/>
                <w:color w:val="111111"/>
                <w:sz w:val="16"/>
                <w:szCs w:val="16"/>
              </w:rPr>
              <w:t>130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F7757A4" w14:textId="77777777" w:rsidR="00FB0A3F" w:rsidRDefault="00000000">
            <w:pPr>
              <w:spacing w:before="40" w:after="40"/>
              <w:ind w:left="100" w:right="100"/>
              <w:jc w:val="center"/>
              <w:rPr>
                <w:rFonts w:ascii="Arial" w:eastAsia="Arial" w:hAnsi="Arial" w:cs="Arial"/>
                <w:color w:val="111111"/>
                <w:sz w:val="16"/>
                <w:szCs w:val="16"/>
              </w:rPr>
            </w:pPr>
            <w:r>
              <w:rPr>
                <w:rFonts w:ascii="Arial" w:eastAsia="Arial" w:hAnsi="Arial" w:cs="Arial"/>
                <w:color w:val="111111"/>
                <w:sz w:val="16"/>
                <w:szCs w:val="16"/>
              </w:rPr>
              <w:t>125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06A0DE3" w14:textId="77777777" w:rsidR="00FB0A3F" w:rsidRDefault="00000000">
            <w:pPr>
              <w:spacing w:before="40" w:after="40"/>
              <w:ind w:left="100" w:right="100"/>
              <w:jc w:val="center"/>
              <w:rPr>
                <w:rFonts w:ascii="Arial" w:eastAsia="Arial" w:hAnsi="Arial" w:cs="Arial"/>
                <w:color w:val="111111"/>
                <w:sz w:val="16"/>
                <w:szCs w:val="16"/>
              </w:rPr>
            </w:pPr>
            <w:r>
              <w:rPr>
                <w:rFonts w:ascii="Arial" w:eastAsia="Arial" w:hAnsi="Arial" w:cs="Arial"/>
                <w:color w:val="111111"/>
                <w:sz w:val="16"/>
                <w:szCs w:val="16"/>
              </w:rPr>
              <w:t>110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FA3991A" w14:textId="77777777" w:rsidR="00FB0A3F" w:rsidRDefault="00000000">
            <w:pPr>
              <w:spacing w:before="40" w:after="40"/>
              <w:ind w:left="100" w:right="100"/>
              <w:jc w:val="center"/>
              <w:rPr>
                <w:rFonts w:ascii="Arial" w:eastAsia="Arial" w:hAnsi="Arial" w:cs="Arial"/>
                <w:color w:val="111111"/>
                <w:sz w:val="16"/>
                <w:szCs w:val="16"/>
              </w:rPr>
            </w:pPr>
            <w:r>
              <w:rPr>
                <w:rFonts w:ascii="Arial" w:eastAsia="Arial" w:hAnsi="Arial" w:cs="Arial"/>
                <w:color w:val="111111"/>
                <w:sz w:val="16"/>
                <w:szCs w:val="16"/>
              </w:rPr>
              <w:t>105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23559E8" w14:textId="77777777" w:rsidR="00FB0A3F" w:rsidRDefault="00000000">
            <w:pPr>
              <w:spacing w:before="40" w:after="40"/>
              <w:ind w:left="100" w:right="100"/>
              <w:jc w:val="center"/>
              <w:rPr>
                <w:rFonts w:ascii="Arial" w:eastAsia="Arial" w:hAnsi="Arial" w:cs="Arial"/>
                <w:color w:val="111111"/>
                <w:sz w:val="16"/>
                <w:szCs w:val="16"/>
              </w:rPr>
            </w:pPr>
            <w:r>
              <w:rPr>
                <w:rFonts w:ascii="Arial" w:eastAsia="Arial" w:hAnsi="Arial" w:cs="Arial"/>
                <w:color w:val="111111"/>
                <w:sz w:val="16"/>
                <w:szCs w:val="16"/>
              </w:rPr>
              <w:t>119</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3C6DC7D" w14:textId="77777777" w:rsidR="00FB0A3F" w:rsidRDefault="00000000">
            <w:pPr>
              <w:spacing w:before="40" w:after="40"/>
              <w:ind w:left="100" w:right="100"/>
              <w:jc w:val="center"/>
              <w:rPr>
                <w:rFonts w:ascii="Arial" w:eastAsia="Arial" w:hAnsi="Arial" w:cs="Arial"/>
                <w:color w:val="111111"/>
                <w:sz w:val="16"/>
                <w:szCs w:val="16"/>
              </w:rPr>
            </w:pPr>
            <w:r>
              <w:rPr>
                <w:rFonts w:ascii="Arial" w:eastAsia="Arial" w:hAnsi="Arial" w:cs="Arial"/>
                <w:color w:val="111111"/>
                <w:sz w:val="16"/>
                <w:szCs w:val="16"/>
              </w:rPr>
              <w:t>114</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F05A4FE" w14:textId="77777777" w:rsidR="00FB0A3F" w:rsidRDefault="00000000">
            <w:pPr>
              <w:spacing w:before="40" w:after="40"/>
              <w:ind w:left="100" w:right="100"/>
              <w:jc w:val="center"/>
              <w:rPr>
                <w:rFonts w:ascii="Arial" w:eastAsia="Arial" w:hAnsi="Arial" w:cs="Arial"/>
                <w:color w:val="111111"/>
                <w:sz w:val="16"/>
                <w:szCs w:val="16"/>
              </w:rPr>
            </w:pPr>
            <w:r>
              <w:rPr>
                <w:rFonts w:ascii="Arial" w:eastAsia="Arial" w:hAnsi="Arial" w:cs="Arial"/>
                <w:color w:val="111111"/>
                <w:sz w:val="16"/>
                <w:szCs w:val="16"/>
              </w:rPr>
              <w:t>112</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697683D" w14:textId="77777777" w:rsidR="00FB0A3F" w:rsidRDefault="00000000">
            <w:pPr>
              <w:spacing w:before="40" w:after="40"/>
              <w:ind w:left="100" w:right="100"/>
              <w:jc w:val="center"/>
              <w:rPr>
                <w:rFonts w:ascii="Arial" w:eastAsia="Arial" w:hAnsi="Arial" w:cs="Arial"/>
                <w:color w:val="111111"/>
                <w:sz w:val="16"/>
                <w:szCs w:val="16"/>
              </w:rPr>
            </w:pPr>
            <w:r>
              <w:rPr>
                <w:rFonts w:ascii="Arial" w:eastAsia="Arial" w:hAnsi="Arial" w:cs="Arial"/>
                <w:color w:val="111111"/>
                <w:sz w:val="16"/>
                <w:szCs w:val="16"/>
              </w:rPr>
              <w:t xml:space="preserve">110 &amp; 115 </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98695F8" w14:textId="77777777" w:rsidR="00FB0A3F" w:rsidRDefault="00000000">
            <w:pPr>
              <w:spacing w:before="40" w:after="40"/>
              <w:ind w:left="100" w:right="100"/>
              <w:jc w:val="center"/>
              <w:rPr>
                <w:rFonts w:ascii="Arial" w:eastAsia="Arial" w:hAnsi="Arial" w:cs="Arial"/>
                <w:color w:val="111111"/>
                <w:sz w:val="16"/>
                <w:szCs w:val="16"/>
              </w:rPr>
            </w:pPr>
            <w:r>
              <w:rPr>
                <w:rFonts w:ascii="Arial" w:eastAsia="Arial" w:hAnsi="Arial" w:cs="Arial"/>
                <w:color w:val="111111"/>
                <w:sz w:val="16"/>
                <w:szCs w:val="16"/>
              </w:rPr>
              <w:t>110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B343292" w14:textId="77777777" w:rsidR="00FB0A3F" w:rsidRDefault="00000000">
            <w:pPr>
              <w:spacing w:before="40" w:after="40"/>
              <w:ind w:left="100" w:right="100"/>
              <w:jc w:val="center"/>
              <w:rPr>
                <w:rFonts w:ascii="Arial" w:eastAsia="Arial" w:hAnsi="Arial" w:cs="Arial"/>
                <w:color w:val="111111"/>
                <w:sz w:val="16"/>
                <w:szCs w:val="16"/>
              </w:rPr>
            </w:pPr>
            <w:r>
              <w:rPr>
                <w:rFonts w:ascii="Arial" w:eastAsia="Arial" w:hAnsi="Arial" w:cs="Arial"/>
                <w:color w:val="111111"/>
                <w:sz w:val="16"/>
                <w:szCs w:val="16"/>
              </w:rPr>
              <w:t>115 &amp; 120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Pr>
          <w:p w14:paraId="5C84DF08" w14:textId="77777777" w:rsidR="00FB0A3F" w:rsidRDefault="00000000">
            <w:pPr>
              <w:spacing w:before="40" w:after="40"/>
              <w:ind w:left="100" w:right="100"/>
              <w:jc w:val="center"/>
              <w:rPr>
                <w:rFonts w:ascii="Arial" w:eastAsia="Arial" w:hAnsi="Arial" w:cs="Arial"/>
                <w:color w:val="111111"/>
                <w:sz w:val="16"/>
                <w:szCs w:val="16"/>
              </w:rPr>
            </w:pPr>
            <w:r>
              <w:rPr>
                <w:rFonts w:ascii="Arial" w:eastAsia="Arial" w:hAnsi="Arial" w:cs="Arial"/>
                <w:color w:val="111111"/>
                <w:sz w:val="16"/>
                <w:szCs w:val="16"/>
              </w:rPr>
              <w:t>110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Pr>
          <w:p w14:paraId="706D277F" w14:textId="77777777" w:rsidR="00FB0A3F" w:rsidRDefault="00000000">
            <w:pPr>
              <w:spacing w:before="40" w:after="40"/>
              <w:ind w:left="100" w:right="100"/>
              <w:jc w:val="center"/>
              <w:rPr>
                <w:rFonts w:ascii="Arial" w:eastAsia="Arial" w:hAnsi="Arial" w:cs="Arial"/>
                <w:color w:val="111111"/>
                <w:sz w:val="16"/>
                <w:szCs w:val="16"/>
              </w:rPr>
            </w:pPr>
            <w:r>
              <w:rPr>
                <w:rFonts w:ascii="Arial" w:eastAsia="Arial" w:hAnsi="Arial" w:cs="Arial"/>
                <w:color w:val="111111"/>
                <w:sz w:val="16"/>
                <w:szCs w:val="16"/>
              </w:rPr>
              <w:t>110</w:t>
            </w:r>
          </w:p>
        </w:tc>
      </w:tr>
      <w:bookmarkEnd w:id="517"/>
      <w:bookmarkEnd w:id="518"/>
    </w:tbl>
    <w:p w14:paraId="27C80C41" w14:textId="77777777" w:rsidR="00FB0A3F" w:rsidRDefault="00FB0A3F"/>
    <w:sectPr w:rsidR="00FB0A3F">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E33EBA" w14:textId="77777777" w:rsidR="00582001" w:rsidRDefault="00582001">
      <w:r>
        <w:separator/>
      </w:r>
    </w:p>
  </w:endnote>
  <w:endnote w:type="continuationSeparator" w:id="0">
    <w:p w14:paraId="2015DCDA" w14:textId="77777777" w:rsidR="00582001" w:rsidRDefault="005820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309055" w14:textId="77777777" w:rsidR="00FB0A3F" w:rsidRDefault="00FB0A3F">
    <w:pPr>
      <w:pStyle w:val="Footer"/>
    </w:pPr>
  </w:p>
  <w:p w14:paraId="7E1DE105" w14:textId="77777777" w:rsidR="00FB0A3F" w:rsidRDefault="00000000">
    <w:pPr>
      <w:pStyle w:val="Footer"/>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BDD9F3" w14:textId="77777777" w:rsidR="00FB0A3F" w:rsidRDefault="00FB0A3F">
    <w:pPr>
      <w:pStyle w:val="Footer"/>
    </w:pPr>
  </w:p>
  <w:p w14:paraId="125F15E6" w14:textId="77777777" w:rsidR="00FB0A3F" w:rsidRDefault="00000000">
    <w:pPr>
      <w:pStyle w:val="Footer"/>
    </w:pPr>
    <w:r>
      <w:tab/>
    </w:r>
    <w:sdt>
      <w:sdtPr>
        <w:id w:val="829944406"/>
        <w:docPartObj>
          <w:docPartGallery w:val="AutoText"/>
        </w:docPartObj>
      </w:sdtP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D0844A" w14:textId="77777777" w:rsidR="00FB0A3F" w:rsidRDefault="00FB0A3F">
    <w:pPr>
      <w:pStyle w:val="Footer"/>
    </w:pPr>
  </w:p>
  <w:p w14:paraId="676FFEA5" w14:textId="77777777" w:rsidR="00FB0A3F" w:rsidRDefault="00000000">
    <w:pPr>
      <w:pStyle w:val="Footer"/>
      <w:tabs>
        <w:tab w:val="left" w:pos="4450"/>
      </w:tabs>
    </w:pPr>
    <w:r>
      <w:tab/>
    </w:r>
    <w:r>
      <w:tab/>
    </w:r>
    <w:sdt>
      <w:sdtPr>
        <w:id w:val="-402681892"/>
        <w:docPartObj>
          <w:docPartGallery w:val="AutoText"/>
        </w:docPartObj>
      </w:sdtPr>
      <w:sdtContent>
        <w:r>
          <w:fldChar w:fldCharType="begin"/>
        </w:r>
        <w:r>
          <w:instrText xml:space="preserve"> PAGE   \* MERGEFORMAT </w:instrText>
        </w:r>
        <w:r>
          <w:fldChar w:fldCharType="separate"/>
        </w:r>
        <w:r>
          <w:t>5</w:t>
        </w:r>
        <w: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E7675E" w14:textId="77777777" w:rsidR="00582001" w:rsidRDefault="00582001">
      <w:pPr>
        <w:spacing w:before="0" w:after="0"/>
      </w:pPr>
      <w:r>
        <w:separator/>
      </w:r>
    </w:p>
  </w:footnote>
  <w:footnote w:type="continuationSeparator" w:id="0">
    <w:p w14:paraId="6FDF6ED2" w14:textId="77777777" w:rsidR="00582001" w:rsidRDefault="0058200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0CDA4E" w14:textId="44DAC9E8" w:rsidR="00FB0A3F" w:rsidRDefault="00000000">
    <w:pPr>
      <w:pStyle w:val="Header"/>
      <w:tabs>
        <w:tab w:val="clear" w:pos="4513"/>
        <w:tab w:val="clear" w:pos="9026"/>
      </w:tabs>
      <w:jc w:val="right"/>
    </w:pPr>
    <w:r>
      <w:t>Central Zone Stock Assessment Report 202</w:t>
    </w:r>
    <w:r w:rsidR="007B3672">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C5817E" w14:textId="42896A29" w:rsidR="00FB0A3F" w:rsidRDefault="00000000">
    <w:pPr>
      <w:pStyle w:val="Header"/>
      <w:tabs>
        <w:tab w:val="clear" w:pos="4513"/>
        <w:tab w:val="clear" w:pos="9026"/>
      </w:tabs>
      <w:jc w:val="right"/>
    </w:pPr>
    <w:r>
      <w:tab/>
    </w:r>
    <w:r>
      <w:tab/>
      <w:t>Central Zone Stock Assessment Report 202</w:t>
    </w:r>
    <w:r w:rsidR="007B3672">
      <w:t>5</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A454B4C"/>
    <w:multiLevelType w:val="multilevel"/>
    <w:tmpl w:val="FFFFFFFF"/>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1" w15:restartNumberingAfterBreak="0">
    <w:nsid w:val="0A063D8D"/>
    <w:multiLevelType w:val="multilevel"/>
    <w:tmpl w:val="0A063D8D"/>
    <w:lvl w:ilvl="0">
      <w:start w:val="3"/>
      <w:numFmt w:val="decimal"/>
      <w:lvlText w:val="%1."/>
      <w:lvlJc w:val="left"/>
      <w:pPr>
        <w:ind w:left="719" w:hanging="360"/>
      </w:pPr>
      <w:rPr>
        <w:rFonts w:hint="default"/>
      </w:rPr>
    </w:lvl>
    <w:lvl w:ilvl="1">
      <w:start w:val="1"/>
      <w:numFmt w:val="decimal"/>
      <w:isLgl/>
      <w:lvlText w:val="%1.%2"/>
      <w:lvlJc w:val="left"/>
      <w:pPr>
        <w:ind w:left="719" w:hanging="360"/>
      </w:pPr>
      <w:rPr>
        <w:rFonts w:hint="default"/>
      </w:rPr>
    </w:lvl>
    <w:lvl w:ilvl="2">
      <w:start w:val="1"/>
      <w:numFmt w:val="decimal"/>
      <w:isLgl/>
      <w:lvlText w:val="%1.%2.%3"/>
      <w:lvlJc w:val="left"/>
      <w:pPr>
        <w:ind w:left="1079" w:hanging="720"/>
      </w:pPr>
      <w:rPr>
        <w:rFonts w:hint="default"/>
      </w:rPr>
    </w:lvl>
    <w:lvl w:ilvl="3">
      <w:start w:val="1"/>
      <w:numFmt w:val="decimal"/>
      <w:isLgl/>
      <w:lvlText w:val="%1.%2.%3.%4"/>
      <w:lvlJc w:val="left"/>
      <w:pPr>
        <w:ind w:left="1079" w:hanging="720"/>
      </w:pPr>
      <w:rPr>
        <w:rFonts w:hint="default"/>
      </w:rPr>
    </w:lvl>
    <w:lvl w:ilvl="4">
      <w:start w:val="1"/>
      <w:numFmt w:val="decimal"/>
      <w:isLgl/>
      <w:lvlText w:val="%1.%2.%3.%4.%5"/>
      <w:lvlJc w:val="left"/>
      <w:pPr>
        <w:ind w:left="1439" w:hanging="1080"/>
      </w:pPr>
      <w:rPr>
        <w:rFonts w:hint="default"/>
      </w:rPr>
    </w:lvl>
    <w:lvl w:ilvl="5">
      <w:start w:val="1"/>
      <w:numFmt w:val="decimal"/>
      <w:isLgl/>
      <w:lvlText w:val="%1.%2.%3.%4.%5.%6"/>
      <w:lvlJc w:val="left"/>
      <w:pPr>
        <w:ind w:left="1799" w:hanging="1440"/>
      </w:pPr>
      <w:rPr>
        <w:rFonts w:hint="default"/>
      </w:rPr>
    </w:lvl>
    <w:lvl w:ilvl="6">
      <w:start w:val="1"/>
      <w:numFmt w:val="decimal"/>
      <w:isLgl/>
      <w:lvlText w:val="%1.%2.%3.%4.%5.%6.%7"/>
      <w:lvlJc w:val="left"/>
      <w:pPr>
        <w:ind w:left="1799" w:hanging="1440"/>
      </w:pPr>
      <w:rPr>
        <w:rFonts w:hint="default"/>
      </w:rPr>
    </w:lvl>
    <w:lvl w:ilvl="7">
      <w:start w:val="1"/>
      <w:numFmt w:val="decimal"/>
      <w:isLgl/>
      <w:lvlText w:val="%1.%2.%3.%4.%5.%6.%7.%8"/>
      <w:lvlJc w:val="left"/>
      <w:pPr>
        <w:ind w:left="2159" w:hanging="1800"/>
      </w:pPr>
      <w:rPr>
        <w:rFonts w:hint="default"/>
      </w:rPr>
    </w:lvl>
    <w:lvl w:ilvl="8">
      <w:start w:val="1"/>
      <w:numFmt w:val="decimal"/>
      <w:isLgl/>
      <w:lvlText w:val="%1.%2.%3.%4.%5.%6.%7.%8.%9"/>
      <w:lvlJc w:val="left"/>
      <w:pPr>
        <w:ind w:left="2159" w:hanging="1800"/>
      </w:pPr>
      <w:rPr>
        <w:rFonts w:hint="default"/>
      </w:rPr>
    </w:lvl>
  </w:abstractNum>
  <w:abstractNum w:abstractNumId="2" w15:restartNumberingAfterBreak="0">
    <w:nsid w:val="0C7E7373"/>
    <w:multiLevelType w:val="multilevel"/>
    <w:tmpl w:val="0C7E7373"/>
    <w:lvl w:ilvl="0">
      <w:start w:val="1"/>
      <w:numFmt w:val="decimal"/>
      <w:lvlText w:val="%1."/>
      <w:lvlJc w:val="left"/>
      <w:pPr>
        <w:ind w:left="360" w:hanging="360"/>
      </w:pPr>
      <w:rPr>
        <w:rFonts w:hint="default"/>
      </w:rPr>
    </w:lvl>
    <w:lvl w:ilvl="1">
      <w:start w:val="1"/>
      <w:numFmt w:val="none"/>
      <w:lvlRestart w:val="0"/>
      <w:lvlText w:val="1.1."/>
      <w:lvlJc w:val="left"/>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30B25F8F"/>
    <w:multiLevelType w:val="multilevel"/>
    <w:tmpl w:val="30B25F8F"/>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A841805"/>
    <w:multiLevelType w:val="multilevel"/>
    <w:tmpl w:val="3A84180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StandardPrinciple3"/>
      <w:lvlText w:val="%1.%2.%3."/>
      <w:lvlJc w:val="left"/>
      <w:pPr>
        <w:ind w:left="1224" w:hanging="504"/>
      </w:pPr>
    </w:lvl>
    <w:lvl w:ilvl="3">
      <w:start w:val="1"/>
      <w:numFmt w:val="decimal"/>
      <w:pStyle w:val="StandardPrinciple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0763D6D"/>
    <w:multiLevelType w:val="multilevel"/>
    <w:tmpl w:val="40763D6D"/>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AAB4F28"/>
    <w:multiLevelType w:val="hybridMultilevel"/>
    <w:tmpl w:val="FFFFFFFF"/>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4C25D5B"/>
    <w:multiLevelType w:val="multilevel"/>
    <w:tmpl w:val="54C25D5B"/>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5C910205"/>
    <w:multiLevelType w:val="multilevel"/>
    <w:tmpl w:val="5C910205"/>
    <w:lvl w:ilvl="0">
      <w:start w:val="1"/>
      <w:numFmt w:val="decimal"/>
      <w:pStyle w:val="MRAGHeading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9A36175"/>
    <w:multiLevelType w:val="multilevel"/>
    <w:tmpl w:val="69A36175"/>
    <w:lvl w:ilvl="0">
      <w:start w:val="7"/>
      <w:numFmt w:val="decimal"/>
      <w:lvlText w:val="%1."/>
      <w:lvlJc w:val="left"/>
      <w:pPr>
        <w:ind w:left="3410" w:hanging="432"/>
      </w:pPr>
      <w:rPr>
        <w:rFonts w:hint="default"/>
      </w:rPr>
    </w:lvl>
    <w:lvl w:ilvl="1">
      <w:start w:val="1"/>
      <w:numFmt w:val="decimal"/>
      <w:lvlText w:val="%1.%2."/>
      <w:lvlJc w:val="left"/>
      <w:pPr>
        <w:ind w:left="718" w:hanging="718"/>
      </w:pPr>
      <w:rPr>
        <w:rFonts w:hint="default"/>
      </w:rPr>
    </w:lvl>
    <w:lvl w:ilvl="2">
      <w:start w:val="1"/>
      <w:numFmt w:val="decimal"/>
      <w:lvlText w:val="%1.%2.%3."/>
      <w:lvlJc w:val="left"/>
      <w:pPr>
        <w:ind w:left="1146" w:hanging="720"/>
      </w:pPr>
      <w:rPr>
        <w:rFonts w:hint="default"/>
        <w:b w:val="0"/>
        <w:bCs w:val="0"/>
        <w:i w:val="0"/>
        <w:iCs w:val="0"/>
        <w:caps w:val="0"/>
        <w:smallCaps w:val="0"/>
        <w:strike w:val="0"/>
        <w:dstrike w:val="0"/>
        <w:vanish w:val="0"/>
        <w:color w:val="1F4E79" w:themeColor="accent1" w:themeShade="80"/>
        <w:spacing w:val="0"/>
        <w:kern w:val="0"/>
        <w:position w:val="0"/>
        <w:u w:val="none"/>
        <w:vertAlign w:val="baseline"/>
      </w:rPr>
    </w:lvl>
    <w:lvl w:ilvl="3">
      <w:start w:val="1"/>
      <w:numFmt w:val="decimal"/>
      <w:lvlText w:val="%1.%2.%3.%4."/>
      <w:lvlJc w:val="left"/>
      <w:pPr>
        <w:ind w:left="1148"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6CEB3DDC"/>
    <w:multiLevelType w:val="multilevel"/>
    <w:tmpl w:val="6CEB3DDC"/>
    <w:lvl w:ilvl="0">
      <w:start w:val="1"/>
      <w:numFmt w:val="decimal"/>
      <w:pStyle w:val="Heading1"/>
      <w:lvlText w:val="%1."/>
      <w:lvlJc w:val="left"/>
      <w:pPr>
        <w:ind w:left="3410" w:hanging="432"/>
      </w:pPr>
      <w:rPr>
        <w:rFonts w:hint="default"/>
      </w:rPr>
    </w:lvl>
    <w:lvl w:ilvl="1">
      <w:start w:val="1"/>
      <w:numFmt w:val="decimal"/>
      <w:pStyle w:val="Heading2"/>
      <w:lvlText w:val="%1.%2."/>
      <w:lvlJc w:val="left"/>
      <w:pPr>
        <w:ind w:left="718" w:hanging="718"/>
      </w:pPr>
      <w:rPr>
        <w:rFonts w:hint="default"/>
      </w:rPr>
    </w:lvl>
    <w:lvl w:ilvl="2">
      <w:start w:val="1"/>
      <w:numFmt w:val="decimal"/>
      <w:pStyle w:val="Heading3"/>
      <w:lvlText w:val="%1.%2.%3."/>
      <w:lvlJc w:val="left"/>
      <w:pPr>
        <w:ind w:left="1146" w:hanging="720"/>
      </w:pPr>
      <w:rPr>
        <w:rFonts w:hint="default"/>
        <w:b w:val="0"/>
        <w:bCs w:val="0"/>
        <w:i w:val="0"/>
        <w:iCs w:val="0"/>
        <w:caps w:val="0"/>
        <w:smallCaps w:val="0"/>
        <w:strike w:val="0"/>
        <w:dstrike w:val="0"/>
        <w:vanish w:val="0"/>
        <w:color w:val="1F4E79" w:themeColor="accent1" w:themeShade="80"/>
        <w:spacing w:val="0"/>
        <w:kern w:val="0"/>
        <w:position w:val="0"/>
        <w:u w:val="none"/>
        <w:vertAlign w:val="baseline"/>
      </w:rPr>
    </w:lvl>
    <w:lvl w:ilvl="3">
      <w:start w:val="1"/>
      <w:numFmt w:val="decimal"/>
      <w:pStyle w:val="Heading4"/>
      <w:lvlText w:val="%1.%2.%3.%4."/>
      <w:lvlJc w:val="left"/>
      <w:pPr>
        <w:ind w:left="1148"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6CFA0EF4"/>
    <w:multiLevelType w:val="multilevel"/>
    <w:tmpl w:val="6CFA0E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814374514">
    <w:abstractNumId w:val="10"/>
  </w:num>
  <w:num w:numId="2" w16cid:durableId="2124297379">
    <w:abstractNumId w:val="4"/>
  </w:num>
  <w:num w:numId="3" w16cid:durableId="175198382">
    <w:abstractNumId w:val="8"/>
  </w:num>
  <w:num w:numId="4" w16cid:durableId="1139767670">
    <w:abstractNumId w:val="3"/>
  </w:num>
  <w:num w:numId="5" w16cid:durableId="1384524965">
    <w:abstractNumId w:val="2"/>
  </w:num>
  <w:num w:numId="6" w16cid:durableId="1556239034">
    <w:abstractNumId w:val="11"/>
  </w:num>
  <w:num w:numId="7" w16cid:durableId="1612545876">
    <w:abstractNumId w:val="1"/>
  </w:num>
  <w:num w:numId="8" w16cid:durableId="17009373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66500225">
    <w:abstractNumId w:val="5"/>
  </w:num>
  <w:num w:numId="10" w16cid:durableId="816917510">
    <w:abstractNumId w:val="7"/>
  </w:num>
  <w:num w:numId="11" w16cid:durableId="1717586673">
    <w:abstractNumId w:val="9"/>
  </w:num>
  <w:num w:numId="12" w16cid:durableId="1821000918">
    <w:abstractNumId w:val="0"/>
  </w:num>
  <w:num w:numId="13" w16cid:durableId="1083991211">
    <w:abstractNumId w:val="6"/>
  </w:num>
  <w:num w:numId="14" w16cid:durableId="14115410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D07"/>
    <w:rsid w:val="000057F7"/>
    <w:rsid w:val="00005BDD"/>
    <w:rsid w:val="00005C86"/>
    <w:rsid w:val="0000713A"/>
    <w:rsid w:val="00010FF2"/>
    <w:rsid w:val="00011C8B"/>
    <w:rsid w:val="0001483C"/>
    <w:rsid w:val="000149B1"/>
    <w:rsid w:val="00015D3C"/>
    <w:rsid w:val="00016785"/>
    <w:rsid w:val="00021BCF"/>
    <w:rsid w:val="00026856"/>
    <w:rsid w:val="0003085E"/>
    <w:rsid w:val="00030AE3"/>
    <w:rsid w:val="0003629B"/>
    <w:rsid w:val="000369DD"/>
    <w:rsid w:val="00037147"/>
    <w:rsid w:val="00040176"/>
    <w:rsid w:val="00040710"/>
    <w:rsid w:val="000414D6"/>
    <w:rsid w:val="00043732"/>
    <w:rsid w:val="00044A05"/>
    <w:rsid w:val="00045157"/>
    <w:rsid w:val="00050819"/>
    <w:rsid w:val="000548C3"/>
    <w:rsid w:val="00054BD1"/>
    <w:rsid w:val="00056CC8"/>
    <w:rsid w:val="0005764E"/>
    <w:rsid w:val="00060004"/>
    <w:rsid w:val="00063536"/>
    <w:rsid w:val="000637DE"/>
    <w:rsid w:val="00064222"/>
    <w:rsid w:val="00066F90"/>
    <w:rsid w:val="000674A1"/>
    <w:rsid w:val="00067BE8"/>
    <w:rsid w:val="00072DD2"/>
    <w:rsid w:val="00074F57"/>
    <w:rsid w:val="00075A4E"/>
    <w:rsid w:val="000807B1"/>
    <w:rsid w:val="000838A2"/>
    <w:rsid w:val="00085CC1"/>
    <w:rsid w:val="00086065"/>
    <w:rsid w:val="00087E14"/>
    <w:rsid w:val="00093A8B"/>
    <w:rsid w:val="00095E40"/>
    <w:rsid w:val="000A001F"/>
    <w:rsid w:val="000A098B"/>
    <w:rsid w:val="000A0FCB"/>
    <w:rsid w:val="000A153F"/>
    <w:rsid w:val="000A4F84"/>
    <w:rsid w:val="000A5472"/>
    <w:rsid w:val="000B012A"/>
    <w:rsid w:val="000B080E"/>
    <w:rsid w:val="000B3303"/>
    <w:rsid w:val="000B3B7C"/>
    <w:rsid w:val="000B7AA6"/>
    <w:rsid w:val="000B7DE2"/>
    <w:rsid w:val="000C05D9"/>
    <w:rsid w:val="000C13DC"/>
    <w:rsid w:val="000C1D0A"/>
    <w:rsid w:val="000C508C"/>
    <w:rsid w:val="000C57F0"/>
    <w:rsid w:val="000D0DE7"/>
    <w:rsid w:val="000D1FD1"/>
    <w:rsid w:val="000D2A10"/>
    <w:rsid w:val="000D2E88"/>
    <w:rsid w:val="000D353C"/>
    <w:rsid w:val="000D42FC"/>
    <w:rsid w:val="000D5210"/>
    <w:rsid w:val="000E0885"/>
    <w:rsid w:val="000E20BB"/>
    <w:rsid w:val="000E591C"/>
    <w:rsid w:val="000E5CBB"/>
    <w:rsid w:val="000E6E46"/>
    <w:rsid w:val="000F7ACA"/>
    <w:rsid w:val="00103047"/>
    <w:rsid w:val="00103CA6"/>
    <w:rsid w:val="0010413D"/>
    <w:rsid w:val="00110E67"/>
    <w:rsid w:val="0011153B"/>
    <w:rsid w:val="00115DA0"/>
    <w:rsid w:val="00117A9D"/>
    <w:rsid w:val="001222DC"/>
    <w:rsid w:val="00123746"/>
    <w:rsid w:val="001243CE"/>
    <w:rsid w:val="00125A81"/>
    <w:rsid w:val="001267F5"/>
    <w:rsid w:val="001303ED"/>
    <w:rsid w:val="00133F09"/>
    <w:rsid w:val="001349C4"/>
    <w:rsid w:val="00134C17"/>
    <w:rsid w:val="00134FEE"/>
    <w:rsid w:val="001364F9"/>
    <w:rsid w:val="0014483B"/>
    <w:rsid w:val="00144B36"/>
    <w:rsid w:val="00146B2F"/>
    <w:rsid w:val="00150611"/>
    <w:rsid w:val="00150CB5"/>
    <w:rsid w:val="00150D6F"/>
    <w:rsid w:val="00151CA0"/>
    <w:rsid w:val="00152151"/>
    <w:rsid w:val="0015251E"/>
    <w:rsid w:val="0015352B"/>
    <w:rsid w:val="00153810"/>
    <w:rsid w:val="00153F64"/>
    <w:rsid w:val="00155082"/>
    <w:rsid w:val="0015628D"/>
    <w:rsid w:val="00157FA2"/>
    <w:rsid w:val="0016117C"/>
    <w:rsid w:val="00162A2C"/>
    <w:rsid w:val="0016525C"/>
    <w:rsid w:val="001659E6"/>
    <w:rsid w:val="0016622F"/>
    <w:rsid w:val="00166C41"/>
    <w:rsid w:val="00166D0E"/>
    <w:rsid w:val="00167CD4"/>
    <w:rsid w:val="00171BA4"/>
    <w:rsid w:val="0017342F"/>
    <w:rsid w:val="001738D9"/>
    <w:rsid w:val="00177A8A"/>
    <w:rsid w:val="00180B71"/>
    <w:rsid w:val="001816B7"/>
    <w:rsid w:val="00181D45"/>
    <w:rsid w:val="00182AAA"/>
    <w:rsid w:val="001839BF"/>
    <w:rsid w:val="0018446E"/>
    <w:rsid w:val="001859E1"/>
    <w:rsid w:val="00190234"/>
    <w:rsid w:val="0019095F"/>
    <w:rsid w:val="00191C83"/>
    <w:rsid w:val="00192026"/>
    <w:rsid w:val="0019356F"/>
    <w:rsid w:val="001941C0"/>
    <w:rsid w:val="0019463B"/>
    <w:rsid w:val="001971D9"/>
    <w:rsid w:val="00197FB5"/>
    <w:rsid w:val="001A0B35"/>
    <w:rsid w:val="001A4E21"/>
    <w:rsid w:val="001A6F5B"/>
    <w:rsid w:val="001B00F4"/>
    <w:rsid w:val="001B4382"/>
    <w:rsid w:val="001B4BF3"/>
    <w:rsid w:val="001B5C96"/>
    <w:rsid w:val="001B5F05"/>
    <w:rsid w:val="001C0373"/>
    <w:rsid w:val="001C0D0A"/>
    <w:rsid w:val="001C1136"/>
    <w:rsid w:val="001C22FB"/>
    <w:rsid w:val="001C27B7"/>
    <w:rsid w:val="001C3965"/>
    <w:rsid w:val="001D3CF1"/>
    <w:rsid w:val="001D7D7E"/>
    <w:rsid w:val="001E07AC"/>
    <w:rsid w:val="001E4643"/>
    <w:rsid w:val="001E6769"/>
    <w:rsid w:val="001E6DC5"/>
    <w:rsid w:val="001E7898"/>
    <w:rsid w:val="001E7923"/>
    <w:rsid w:val="001F0CBD"/>
    <w:rsid w:val="001F1654"/>
    <w:rsid w:val="001F28BA"/>
    <w:rsid w:val="001F4B55"/>
    <w:rsid w:val="00201168"/>
    <w:rsid w:val="00201CDF"/>
    <w:rsid w:val="00203D1F"/>
    <w:rsid w:val="00206276"/>
    <w:rsid w:val="0020716E"/>
    <w:rsid w:val="00207E27"/>
    <w:rsid w:val="002119B6"/>
    <w:rsid w:val="002126E6"/>
    <w:rsid w:val="002158DD"/>
    <w:rsid w:val="002204A6"/>
    <w:rsid w:val="00223F37"/>
    <w:rsid w:val="00224C4C"/>
    <w:rsid w:val="00226F1D"/>
    <w:rsid w:val="00227A6E"/>
    <w:rsid w:val="00230CEC"/>
    <w:rsid w:val="002343BF"/>
    <w:rsid w:val="00234BC4"/>
    <w:rsid w:val="00234C68"/>
    <w:rsid w:val="002353F4"/>
    <w:rsid w:val="002415AC"/>
    <w:rsid w:val="00241C61"/>
    <w:rsid w:val="002429A6"/>
    <w:rsid w:val="00242DCF"/>
    <w:rsid w:val="002439C3"/>
    <w:rsid w:val="002455CB"/>
    <w:rsid w:val="002461C5"/>
    <w:rsid w:val="00252C61"/>
    <w:rsid w:val="00252E83"/>
    <w:rsid w:val="002572EE"/>
    <w:rsid w:val="002577A9"/>
    <w:rsid w:val="00260B63"/>
    <w:rsid w:val="002610CA"/>
    <w:rsid w:val="0026208D"/>
    <w:rsid w:val="00263C5D"/>
    <w:rsid w:val="002654EF"/>
    <w:rsid w:val="00266B81"/>
    <w:rsid w:val="00267A50"/>
    <w:rsid w:val="00270D69"/>
    <w:rsid w:val="00273842"/>
    <w:rsid w:val="002741CF"/>
    <w:rsid w:val="00274BC4"/>
    <w:rsid w:val="00276A0F"/>
    <w:rsid w:val="00277298"/>
    <w:rsid w:val="00277401"/>
    <w:rsid w:val="00280670"/>
    <w:rsid w:val="0028121D"/>
    <w:rsid w:val="0028412A"/>
    <w:rsid w:val="00285120"/>
    <w:rsid w:val="00286E63"/>
    <w:rsid w:val="00286ECE"/>
    <w:rsid w:val="00290DE9"/>
    <w:rsid w:val="002938F6"/>
    <w:rsid w:val="002954D7"/>
    <w:rsid w:val="00296385"/>
    <w:rsid w:val="00296A2E"/>
    <w:rsid w:val="00296A48"/>
    <w:rsid w:val="00297DF7"/>
    <w:rsid w:val="002A2CB6"/>
    <w:rsid w:val="002A2E3F"/>
    <w:rsid w:val="002A4EAB"/>
    <w:rsid w:val="002A5285"/>
    <w:rsid w:val="002A5E02"/>
    <w:rsid w:val="002A704B"/>
    <w:rsid w:val="002A7B31"/>
    <w:rsid w:val="002B20D7"/>
    <w:rsid w:val="002B2224"/>
    <w:rsid w:val="002B4E65"/>
    <w:rsid w:val="002B56CD"/>
    <w:rsid w:val="002B5B0C"/>
    <w:rsid w:val="002C01BA"/>
    <w:rsid w:val="002C0F2A"/>
    <w:rsid w:val="002C13F4"/>
    <w:rsid w:val="002C2A83"/>
    <w:rsid w:val="002C62D0"/>
    <w:rsid w:val="002C6766"/>
    <w:rsid w:val="002D05A2"/>
    <w:rsid w:val="002D0C88"/>
    <w:rsid w:val="002D1143"/>
    <w:rsid w:val="002D1876"/>
    <w:rsid w:val="002D30E5"/>
    <w:rsid w:val="002D3BAF"/>
    <w:rsid w:val="002D4134"/>
    <w:rsid w:val="002D54BB"/>
    <w:rsid w:val="002D6256"/>
    <w:rsid w:val="002D6A8B"/>
    <w:rsid w:val="002E04E3"/>
    <w:rsid w:val="002E0ED3"/>
    <w:rsid w:val="002E1BAB"/>
    <w:rsid w:val="002E1D8C"/>
    <w:rsid w:val="002E3025"/>
    <w:rsid w:val="002E7E10"/>
    <w:rsid w:val="002E7E9B"/>
    <w:rsid w:val="002F38D6"/>
    <w:rsid w:val="002F692C"/>
    <w:rsid w:val="002F7442"/>
    <w:rsid w:val="00300302"/>
    <w:rsid w:val="003004BD"/>
    <w:rsid w:val="00300FDC"/>
    <w:rsid w:val="003016A0"/>
    <w:rsid w:val="00304034"/>
    <w:rsid w:val="00304A5E"/>
    <w:rsid w:val="0030684A"/>
    <w:rsid w:val="003074E9"/>
    <w:rsid w:val="00310659"/>
    <w:rsid w:val="0031151C"/>
    <w:rsid w:val="00312C74"/>
    <w:rsid w:val="003135F1"/>
    <w:rsid w:val="003158BA"/>
    <w:rsid w:val="00315943"/>
    <w:rsid w:val="00317D30"/>
    <w:rsid w:val="003216A7"/>
    <w:rsid w:val="00321896"/>
    <w:rsid w:val="00323913"/>
    <w:rsid w:val="00324BF5"/>
    <w:rsid w:val="00327B08"/>
    <w:rsid w:val="00331507"/>
    <w:rsid w:val="00332098"/>
    <w:rsid w:val="003331F4"/>
    <w:rsid w:val="0033328D"/>
    <w:rsid w:val="00333B2A"/>
    <w:rsid w:val="00335D8D"/>
    <w:rsid w:val="00335EB9"/>
    <w:rsid w:val="00337934"/>
    <w:rsid w:val="00340B15"/>
    <w:rsid w:val="00343123"/>
    <w:rsid w:val="00343C6D"/>
    <w:rsid w:val="00344F1D"/>
    <w:rsid w:val="00346103"/>
    <w:rsid w:val="00350666"/>
    <w:rsid w:val="00352C8E"/>
    <w:rsid w:val="00355653"/>
    <w:rsid w:val="003558B2"/>
    <w:rsid w:val="00362223"/>
    <w:rsid w:val="00371DBD"/>
    <w:rsid w:val="003736E7"/>
    <w:rsid w:val="00376950"/>
    <w:rsid w:val="0037723B"/>
    <w:rsid w:val="0037799F"/>
    <w:rsid w:val="00380B5A"/>
    <w:rsid w:val="00381104"/>
    <w:rsid w:val="00383A7C"/>
    <w:rsid w:val="00386C7C"/>
    <w:rsid w:val="00387705"/>
    <w:rsid w:val="00387B40"/>
    <w:rsid w:val="00392485"/>
    <w:rsid w:val="00395B0C"/>
    <w:rsid w:val="003966A7"/>
    <w:rsid w:val="00396A1C"/>
    <w:rsid w:val="00396EF5"/>
    <w:rsid w:val="00397C40"/>
    <w:rsid w:val="003A0DC7"/>
    <w:rsid w:val="003A354F"/>
    <w:rsid w:val="003A3FDA"/>
    <w:rsid w:val="003A6A16"/>
    <w:rsid w:val="003A7F0A"/>
    <w:rsid w:val="003B0C65"/>
    <w:rsid w:val="003B2307"/>
    <w:rsid w:val="003B33EE"/>
    <w:rsid w:val="003B6037"/>
    <w:rsid w:val="003C0BE5"/>
    <w:rsid w:val="003C4361"/>
    <w:rsid w:val="003C4CC3"/>
    <w:rsid w:val="003C71C5"/>
    <w:rsid w:val="003C7D3F"/>
    <w:rsid w:val="003D0C54"/>
    <w:rsid w:val="003D12A9"/>
    <w:rsid w:val="003D132F"/>
    <w:rsid w:val="003D2180"/>
    <w:rsid w:val="003D2F6B"/>
    <w:rsid w:val="003D4825"/>
    <w:rsid w:val="003D4D09"/>
    <w:rsid w:val="003D4E17"/>
    <w:rsid w:val="003D5B71"/>
    <w:rsid w:val="003E07DE"/>
    <w:rsid w:val="003E1AE1"/>
    <w:rsid w:val="003E21B9"/>
    <w:rsid w:val="003E38AD"/>
    <w:rsid w:val="003E665B"/>
    <w:rsid w:val="003F0769"/>
    <w:rsid w:val="003F2441"/>
    <w:rsid w:val="003F264C"/>
    <w:rsid w:val="003F5544"/>
    <w:rsid w:val="003F5BB9"/>
    <w:rsid w:val="003F72B6"/>
    <w:rsid w:val="003F7496"/>
    <w:rsid w:val="003F7E85"/>
    <w:rsid w:val="004002E6"/>
    <w:rsid w:val="00400A91"/>
    <w:rsid w:val="00400C8E"/>
    <w:rsid w:val="00401580"/>
    <w:rsid w:val="00401847"/>
    <w:rsid w:val="00407412"/>
    <w:rsid w:val="00410648"/>
    <w:rsid w:val="00410A5F"/>
    <w:rsid w:val="004124AC"/>
    <w:rsid w:val="00413789"/>
    <w:rsid w:val="0041501A"/>
    <w:rsid w:val="00416C47"/>
    <w:rsid w:val="00416DDC"/>
    <w:rsid w:val="00420325"/>
    <w:rsid w:val="004204BD"/>
    <w:rsid w:val="00421815"/>
    <w:rsid w:val="004265A9"/>
    <w:rsid w:val="00431E6F"/>
    <w:rsid w:val="00432412"/>
    <w:rsid w:val="00432539"/>
    <w:rsid w:val="00434659"/>
    <w:rsid w:val="00434BF3"/>
    <w:rsid w:val="00434CFD"/>
    <w:rsid w:val="00435018"/>
    <w:rsid w:val="004374BA"/>
    <w:rsid w:val="0044127D"/>
    <w:rsid w:val="00442EA6"/>
    <w:rsid w:val="00445D83"/>
    <w:rsid w:val="00447D4C"/>
    <w:rsid w:val="00452433"/>
    <w:rsid w:val="00452D1C"/>
    <w:rsid w:val="004543B7"/>
    <w:rsid w:val="00460F62"/>
    <w:rsid w:val="0046129E"/>
    <w:rsid w:val="0046411C"/>
    <w:rsid w:val="00465094"/>
    <w:rsid w:val="00474BFE"/>
    <w:rsid w:val="00474E26"/>
    <w:rsid w:val="00474FC5"/>
    <w:rsid w:val="00475226"/>
    <w:rsid w:val="0047681B"/>
    <w:rsid w:val="0048109D"/>
    <w:rsid w:val="004847B0"/>
    <w:rsid w:val="00484E67"/>
    <w:rsid w:val="00485AA9"/>
    <w:rsid w:val="00487DBD"/>
    <w:rsid w:val="004909FA"/>
    <w:rsid w:val="00490B60"/>
    <w:rsid w:val="00490E7F"/>
    <w:rsid w:val="00491221"/>
    <w:rsid w:val="00493EFC"/>
    <w:rsid w:val="00495804"/>
    <w:rsid w:val="00496AB0"/>
    <w:rsid w:val="00497501"/>
    <w:rsid w:val="004A1EEE"/>
    <w:rsid w:val="004A4EFC"/>
    <w:rsid w:val="004A6F0D"/>
    <w:rsid w:val="004A70B8"/>
    <w:rsid w:val="004B137A"/>
    <w:rsid w:val="004B2920"/>
    <w:rsid w:val="004B3B88"/>
    <w:rsid w:val="004B697E"/>
    <w:rsid w:val="004C473E"/>
    <w:rsid w:val="004C7354"/>
    <w:rsid w:val="004D3FE1"/>
    <w:rsid w:val="004D7219"/>
    <w:rsid w:val="004E26E8"/>
    <w:rsid w:val="004E29B3"/>
    <w:rsid w:val="004E4392"/>
    <w:rsid w:val="004E4D08"/>
    <w:rsid w:val="004F1F87"/>
    <w:rsid w:val="004F34F4"/>
    <w:rsid w:val="004F3D21"/>
    <w:rsid w:val="004F4697"/>
    <w:rsid w:val="004F58E4"/>
    <w:rsid w:val="004F7787"/>
    <w:rsid w:val="004F78B3"/>
    <w:rsid w:val="00500668"/>
    <w:rsid w:val="005012DD"/>
    <w:rsid w:val="005040F6"/>
    <w:rsid w:val="00511D2F"/>
    <w:rsid w:val="00512524"/>
    <w:rsid w:val="00515968"/>
    <w:rsid w:val="005202A5"/>
    <w:rsid w:val="00520687"/>
    <w:rsid w:val="00520A69"/>
    <w:rsid w:val="0052110A"/>
    <w:rsid w:val="00521E4D"/>
    <w:rsid w:val="00522912"/>
    <w:rsid w:val="00523AD0"/>
    <w:rsid w:val="00525143"/>
    <w:rsid w:val="005266FB"/>
    <w:rsid w:val="00527F90"/>
    <w:rsid w:val="00531512"/>
    <w:rsid w:val="00534D29"/>
    <w:rsid w:val="00537729"/>
    <w:rsid w:val="0054029A"/>
    <w:rsid w:val="0054202F"/>
    <w:rsid w:val="005426A9"/>
    <w:rsid w:val="00543E27"/>
    <w:rsid w:val="00543FA9"/>
    <w:rsid w:val="005455C6"/>
    <w:rsid w:val="00545603"/>
    <w:rsid w:val="00550A3A"/>
    <w:rsid w:val="00550BB4"/>
    <w:rsid w:val="00552762"/>
    <w:rsid w:val="00554098"/>
    <w:rsid w:val="005563BF"/>
    <w:rsid w:val="00564200"/>
    <w:rsid w:val="00564C39"/>
    <w:rsid w:val="00565535"/>
    <w:rsid w:val="00567FD7"/>
    <w:rsid w:val="005700FB"/>
    <w:rsid w:val="00574976"/>
    <w:rsid w:val="005766E7"/>
    <w:rsid w:val="00582001"/>
    <w:rsid w:val="00584A6B"/>
    <w:rsid w:val="00585277"/>
    <w:rsid w:val="00587993"/>
    <w:rsid w:val="00590D07"/>
    <w:rsid w:val="005A1DCA"/>
    <w:rsid w:val="005A28A7"/>
    <w:rsid w:val="005A3061"/>
    <w:rsid w:val="005A570C"/>
    <w:rsid w:val="005B0A2D"/>
    <w:rsid w:val="005B2D65"/>
    <w:rsid w:val="005B6766"/>
    <w:rsid w:val="005C0401"/>
    <w:rsid w:val="005C3112"/>
    <w:rsid w:val="005C3846"/>
    <w:rsid w:val="005C3D14"/>
    <w:rsid w:val="005C78DD"/>
    <w:rsid w:val="005D0E1E"/>
    <w:rsid w:val="005D20E0"/>
    <w:rsid w:val="005D351D"/>
    <w:rsid w:val="005D4917"/>
    <w:rsid w:val="005D5DDD"/>
    <w:rsid w:val="005D6480"/>
    <w:rsid w:val="005E0CCB"/>
    <w:rsid w:val="005E0F8A"/>
    <w:rsid w:val="005E23A9"/>
    <w:rsid w:val="005E3686"/>
    <w:rsid w:val="005E3E38"/>
    <w:rsid w:val="005E6FE7"/>
    <w:rsid w:val="005E77F3"/>
    <w:rsid w:val="005F3688"/>
    <w:rsid w:val="005F6E2F"/>
    <w:rsid w:val="005F752C"/>
    <w:rsid w:val="005F7C01"/>
    <w:rsid w:val="00603A03"/>
    <w:rsid w:val="00611807"/>
    <w:rsid w:val="00612967"/>
    <w:rsid w:val="006139FB"/>
    <w:rsid w:val="00614BD4"/>
    <w:rsid w:val="00615ABA"/>
    <w:rsid w:val="006169F5"/>
    <w:rsid w:val="00620237"/>
    <w:rsid w:val="00620895"/>
    <w:rsid w:val="00623999"/>
    <w:rsid w:val="00624493"/>
    <w:rsid w:val="00632948"/>
    <w:rsid w:val="00635366"/>
    <w:rsid w:val="00635C7C"/>
    <w:rsid w:val="006364A3"/>
    <w:rsid w:val="00640981"/>
    <w:rsid w:val="00641570"/>
    <w:rsid w:val="006416F9"/>
    <w:rsid w:val="006451A0"/>
    <w:rsid w:val="00645F0A"/>
    <w:rsid w:val="0064741C"/>
    <w:rsid w:val="0064749B"/>
    <w:rsid w:val="0064797A"/>
    <w:rsid w:val="00650681"/>
    <w:rsid w:val="0065311D"/>
    <w:rsid w:val="0065729C"/>
    <w:rsid w:val="00660897"/>
    <w:rsid w:val="00664BBD"/>
    <w:rsid w:val="0066557D"/>
    <w:rsid w:val="00670522"/>
    <w:rsid w:val="0067235F"/>
    <w:rsid w:val="00674E8F"/>
    <w:rsid w:val="00675345"/>
    <w:rsid w:val="00677920"/>
    <w:rsid w:val="006810C4"/>
    <w:rsid w:val="0068251A"/>
    <w:rsid w:val="00683EC8"/>
    <w:rsid w:val="00686C8A"/>
    <w:rsid w:val="00686E2D"/>
    <w:rsid w:val="0069070C"/>
    <w:rsid w:val="006917F8"/>
    <w:rsid w:val="0069684F"/>
    <w:rsid w:val="0069711B"/>
    <w:rsid w:val="006A027F"/>
    <w:rsid w:val="006A1472"/>
    <w:rsid w:val="006A4A2B"/>
    <w:rsid w:val="006A56A1"/>
    <w:rsid w:val="006B0456"/>
    <w:rsid w:val="006B1307"/>
    <w:rsid w:val="006B1795"/>
    <w:rsid w:val="006B1B2E"/>
    <w:rsid w:val="006C18AA"/>
    <w:rsid w:val="006C1BE8"/>
    <w:rsid w:val="006C257C"/>
    <w:rsid w:val="006C583B"/>
    <w:rsid w:val="006D6FF3"/>
    <w:rsid w:val="006E0DBB"/>
    <w:rsid w:val="006E1A82"/>
    <w:rsid w:val="006E1BC3"/>
    <w:rsid w:val="006E226C"/>
    <w:rsid w:val="006E27D9"/>
    <w:rsid w:val="006E3F3D"/>
    <w:rsid w:val="006E478F"/>
    <w:rsid w:val="006E71B6"/>
    <w:rsid w:val="006E72DE"/>
    <w:rsid w:val="006E7635"/>
    <w:rsid w:val="006E7A89"/>
    <w:rsid w:val="006E7E99"/>
    <w:rsid w:val="006F02D0"/>
    <w:rsid w:val="006F2F35"/>
    <w:rsid w:val="006F7AD2"/>
    <w:rsid w:val="006F7CBE"/>
    <w:rsid w:val="007007E3"/>
    <w:rsid w:val="0070109D"/>
    <w:rsid w:val="00702762"/>
    <w:rsid w:val="007073AE"/>
    <w:rsid w:val="0071175E"/>
    <w:rsid w:val="00712158"/>
    <w:rsid w:val="007121A6"/>
    <w:rsid w:val="00714C30"/>
    <w:rsid w:val="00720662"/>
    <w:rsid w:val="00721E06"/>
    <w:rsid w:val="00723262"/>
    <w:rsid w:val="007232E1"/>
    <w:rsid w:val="00724664"/>
    <w:rsid w:val="00733B11"/>
    <w:rsid w:val="0073432E"/>
    <w:rsid w:val="007349E3"/>
    <w:rsid w:val="00734ACB"/>
    <w:rsid w:val="00741E8E"/>
    <w:rsid w:val="007448F8"/>
    <w:rsid w:val="00745CF3"/>
    <w:rsid w:val="00747787"/>
    <w:rsid w:val="00750041"/>
    <w:rsid w:val="00750F00"/>
    <w:rsid w:val="00750F9C"/>
    <w:rsid w:val="00751372"/>
    <w:rsid w:val="00752BA1"/>
    <w:rsid w:val="00753FC4"/>
    <w:rsid w:val="0075681C"/>
    <w:rsid w:val="00763FEC"/>
    <w:rsid w:val="00764A34"/>
    <w:rsid w:val="00765911"/>
    <w:rsid w:val="00765B82"/>
    <w:rsid w:val="00766065"/>
    <w:rsid w:val="00771073"/>
    <w:rsid w:val="0077165F"/>
    <w:rsid w:val="0077180A"/>
    <w:rsid w:val="0077458F"/>
    <w:rsid w:val="00780A92"/>
    <w:rsid w:val="00784356"/>
    <w:rsid w:val="00784711"/>
    <w:rsid w:val="0078483C"/>
    <w:rsid w:val="00784D58"/>
    <w:rsid w:val="00787AB4"/>
    <w:rsid w:val="00795F2A"/>
    <w:rsid w:val="00797DFE"/>
    <w:rsid w:val="007A0809"/>
    <w:rsid w:val="007A1709"/>
    <w:rsid w:val="007A17FA"/>
    <w:rsid w:val="007A1E15"/>
    <w:rsid w:val="007A233F"/>
    <w:rsid w:val="007A3295"/>
    <w:rsid w:val="007A422A"/>
    <w:rsid w:val="007A53B9"/>
    <w:rsid w:val="007A5922"/>
    <w:rsid w:val="007B04CD"/>
    <w:rsid w:val="007B331F"/>
    <w:rsid w:val="007B3672"/>
    <w:rsid w:val="007B3C80"/>
    <w:rsid w:val="007B5F1C"/>
    <w:rsid w:val="007B7A46"/>
    <w:rsid w:val="007C13C4"/>
    <w:rsid w:val="007C206E"/>
    <w:rsid w:val="007C2730"/>
    <w:rsid w:val="007C3AAA"/>
    <w:rsid w:val="007C4CD2"/>
    <w:rsid w:val="007C54F6"/>
    <w:rsid w:val="007C62B0"/>
    <w:rsid w:val="007C6D0A"/>
    <w:rsid w:val="007D1804"/>
    <w:rsid w:val="007D566A"/>
    <w:rsid w:val="007D6B82"/>
    <w:rsid w:val="007D70A1"/>
    <w:rsid w:val="007E022C"/>
    <w:rsid w:val="007E0296"/>
    <w:rsid w:val="007E087F"/>
    <w:rsid w:val="007E27C7"/>
    <w:rsid w:val="007E303D"/>
    <w:rsid w:val="007E34A0"/>
    <w:rsid w:val="007E61CE"/>
    <w:rsid w:val="007E7852"/>
    <w:rsid w:val="007F0E82"/>
    <w:rsid w:val="007F2EFE"/>
    <w:rsid w:val="007F58D9"/>
    <w:rsid w:val="00801AC4"/>
    <w:rsid w:val="00801F8D"/>
    <w:rsid w:val="00802858"/>
    <w:rsid w:val="008030E2"/>
    <w:rsid w:val="00803330"/>
    <w:rsid w:val="00803919"/>
    <w:rsid w:val="00804960"/>
    <w:rsid w:val="00805627"/>
    <w:rsid w:val="00806AF1"/>
    <w:rsid w:val="008102D7"/>
    <w:rsid w:val="0081071E"/>
    <w:rsid w:val="00810A63"/>
    <w:rsid w:val="0081280E"/>
    <w:rsid w:val="00814934"/>
    <w:rsid w:val="00815511"/>
    <w:rsid w:val="00816EE6"/>
    <w:rsid w:val="00820688"/>
    <w:rsid w:val="008214F0"/>
    <w:rsid w:val="00821792"/>
    <w:rsid w:val="00821D23"/>
    <w:rsid w:val="00822CCC"/>
    <w:rsid w:val="00822DD5"/>
    <w:rsid w:val="0082519B"/>
    <w:rsid w:val="00825C3B"/>
    <w:rsid w:val="008264DC"/>
    <w:rsid w:val="00827E7D"/>
    <w:rsid w:val="00834979"/>
    <w:rsid w:val="0083565E"/>
    <w:rsid w:val="00835E1A"/>
    <w:rsid w:val="008367BB"/>
    <w:rsid w:val="00844F1B"/>
    <w:rsid w:val="00845F39"/>
    <w:rsid w:val="0084698E"/>
    <w:rsid w:val="00854068"/>
    <w:rsid w:val="00854DEF"/>
    <w:rsid w:val="00855866"/>
    <w:rsid w:val="00856731"/>
    <w:rsid w:val="0086215F"/>
    <w:rsid w:val="0086323F"/>
    <w:rsid w:val="00863EFB"/>
    <w:rsid w:val="00866A3A"/>
    <w:rsid w:val="00873A16"/>
    <w:rsid w:val="0087527A"/>
    <w:rsid w:val="00876CA9"/>
    <w:rsid w:val="00876F52"/>
    <w:rsid w:val="008816CB"/>
    <w:rsid w:val="008832AF"/>
    <w:rsid w:val="00885CDA"/>
    <w:rsid w:val="00890B7B"/>
    <w:rsid w:val="0089271E"/>
    <w:rsid w:val="00893106"/>
    <w:rsid w:val="00894CE2"/>
    <w:rsid w:val="00895379"/>
    <w:rsid w:val="00896119"/>
    <w:rsid w:val="00896612"/>
    <w:rsid w:val="00897118"/>
    <w:rsid w:val="00897821"/>
    <w:rsid w:val="00897D43"/>
    <w:rsid w:val="008A02DA"/>
    <w:rsid w:val="008A161B"/>
    <w:rsid w:val="008A28EF"/>
    <w:rsid w:val="008A3F34"/>
    <w:rsid w:val="008A5FC9"/>
    <w:rsid w:val="008A6DD7"/>
    <w:rsid w:val="008A79F4"/>
    <w:rsid w:val="008A79F5"/>
    <w:rsid w:val="008B2BBE"/>
    <w:rsid w:val="008B558B"/>
    <w:rsid w:val="008B5DE8"/>
    <w:rsid w:val="008B7D51"/>
    <w:rsid w:val="008C0256"/>
    <w:rsid w:val="008C4911"/>
    <w:rsid w:val="008C6BB1"/>
    <w:rsid w:val="008C75A0"/>
    <w:rsid w:val="008D024B"/>
    <w:rsid w:val="008D06CA"/>
    <w:rsid w:val="008D0E2D"/>
    <w:rsid w:val="008D1347"/>
    <w:rsid w:val="008D2E31"/>
    <w:rsid w:val="008D3FE6"/>
    <w:rsid w:val="008D558E"/>
    <w:rsid w:val="008D6442"/>
    <w:rsid w:val="008D6863"/>
    <w:rsid w:val="008E019F"/>
    <w:rsid w:val="008E1B66"/>
    <w:rsid w:val="008E2AAF"/>
    <w:rsid w:val="008E30BB"/>
    <w:rsid w:val="008E460F"/>
    <w:rsid w:val="008E4725"/>
    <w:rsid w:val="008E48B3"/>
    <w:rsid w:val="008E4E20"/>
    <w:rsid w:val="008E5BA5"/>
    <w:rsid w:val="008E5FA2"/>
    <w:rsid w:val="008E6717"/>
    <w:rsid w:val="008F0105"/>
    <w:rsid w:val="008F17A4"/>
    <w:rsid w:val="008F2259"/>
    <w:rsid w:val="008F3DAF"/>
    <w:rsid w:val="008F4E28"/>
    <w:rsid w:val="008F7BA5"/>
    <w:rsid w:val="00900000"/>
    <w:rsid w:val="0090073D"/>
    <w:rsid w:val="0090184E"/>
    <w:rsid w:val="009051D7"/>
    <w:rsid w:val="0090572B"/>
    <w:rsid w:val="00906D3B"/>
    <w:rsid w:val="00911716"/>
    <w:rsid w:val="00914AB3"/>
    <w:rsid w:val="00914C60"/>
    <w:rsid w:val="009172D7"/>
    <w:rsid w:val="00917E65"/>
    <w:rsid w:val="00920C4F"/>
    <w:rsid w:val="00921671"/>
    <w:rsid w:val="00923079"/>
    <w:rsid w:val="00927D37"/>
    <w:rsid w:val="009310A3"/>
    <w:rsid w:val="00933076"/>
    <w:rsid w:val="00933797"/>
    <w:rsid w:val="009362CD"/>
    <w:rsid w:val="009405D8"/>
    <w:rsid w:val="00941632"/>
    <w:rsid w:val="00944D32"/>
    <w:rsid w:val="00945E7E"/>
    <w:rsid w:val="00946524"/>
    <w:rsid w:val="0094726F"/>
    <w:rsid w:val="00947B63"/>
    <w:rsid w:val="009508E6"/>
    <w:rsid w:val="00950A4D"/>
    <w:rsid w:val="009536A9"/>
    <w:rsid w:val="00954547"/>
    <w:rsid w:val="00954A92"/>
    <w:rsid w:val="0095666B"/>
    <w:rsid w:val="00957387"/>
    <w:rsid w:val="0096046D"/>
    <w:rsid w:val="00962617"/>
    <w:rsid w:val="00962AB5"/>
    <w:rsid w:val="009654A4"/>
    <w:rsid w:val="0096742A"/>
    <w:rsid w:val="00967B51"/>
    <w:rsid w:val="009721EE"/>
    <w:rsid w:val="009838AE"/>
    <w:rsid w:val="00983A87"/>
    <w:rsid w:val="00986A1C"/>
    <w:rsid w:val="00987F14"/>
    <w:rsid w:val="00990105"/>
    <w:rsid w:val="009935B4"/>
    <w:rsid w:val="00994D0A"/>
    <w:rsid w:val="00996025"/>
    <w:rsid w:val="00996BE3"/>
    <w:rsid w:val="009A132B"/>
    <w:rsid w:val="009A190F"/>
    <w:rsid w:val="009A4437"/>
    <w:rsid w:val="009A4F6C"/>
    <w:rsid w:val="009A6198"/>
    <w:rsid w:val="009A665D"/>
    <w:rsid w:val="009A68FA"/>
    <w:rsid w:val="009A7F92"/>
    <w:rsid w:val="009B031D"/>
    <w:rsid w:val="009B330A"/>
    <w:rsid w:val="009B378D"/>
    <w:rsid w:val="009B55B7"/>
    <w:rsid w:val="009B5E24"/>
    <w:rsid w:val="009B62E2"/>
    <w:rsid w:val="009B6484"/>
    <w:rsid w:val="009B6822"/>
    <w:rsid w:val="009B7937"/>
    <w:rsid w:val="009B7B58"/>
    <w:rsid w:val="009C02F7"/>
    <w:rsid w:val="009C0F48"/>
    <w:rsid w:val="009C295D"/>
    <w:rsid w:val="009C2F5F"/>
    <w:rsid w:val="009C3F2C"/>
    <w:rsid w:val="009C56B2"/>
    <w:rsid w:val="009C5A91"/>
    <w:rsid w:val="009D23BB"/>
    <w:rsid w:val="009D687F"/>
    <w:rsid w:val="009D6B66"/>
    <w:rsid w:val="009E06C4"/>
    <w:rsid w:val="009E4ADB"/>
    <w:rsid w:val="009E4E69"/>
    <w:rsid w:val="009E5AB5"/>
    <w:rsid w:val="009F1571"/>
    <w:rsid w:val="009F1A6A"/>
    <w:rsid w:val="009F3163"/>
    <w:rsid w:val="009F5FEE"/>
    <w:rsid w:val="009F7062"/>
    <w:rsid w:val="00A032C6"/>
    <w:rsid w:val="00A03424"/>
    <w:rsid w:val="00A055A9"/>
    <w:rsid w:val="00A05FFD"/>
    <w:rsid w:val="00A11005"/>
    <w:rsid w:val="00A14336"/>
    <w:rsid w:val="00A16C70"/>
    <w:rsid w:val="00A16C81"/>
    <w:rsid w:val="00A231A3"/>
    <w:rsid w:val="00A23829"/>
    <w:rsid w:val="00A240CA"/>
    <w:rsid w:val="00A2485F"/>
    <w:rsid w:val="00A25EEC"/>
    <w:rsid w:val="00A2630F"/>
    <w:rsid w:val="00A2714F"/>
    <w:rsid w:val="00A273F9"/>
    <w:rsid w:val="00A275E2"/>
    <w:rsid w:val="00A30F89"/>
    <w:rsid w:val="00A31F6E"/>
    <w:rsid w:val="00A337EC"/>
    <w:rsid w:val="00A3447D"/>
    <w:rsid w:val="00A36D6D"/>
    <w:rsid w:val="00A41207"/>
    <w:rsid w:val="00A41407"/>
    <w:rsid w:val="00A42A86"/>
    <w:rsid w:val="00A448D0"/>
    <w:rsid w:val="00A451C2"/>
    <w:rsid w:val="00A45816"/>
    <w:rsid w:val="00A46D57"/>
    <w:rsid w:val="00A505C7"/>
    <w:rsid w:val="00A52D97"/>
    <w:rsid w:val="00A534BB"/>
    <w:rsid w:val="00A56C32"/>
    <w:rsid w:val="00A61101"/>
    <w:rsid w:val="00A61CBC"/>
    <w:rsid w:val="00A7338F"/>
    <w:rsid w:val="00A7568D"/>
    <w:rsid w:val="00A80F66"/>
    <w:rsid w:val="00A817D9"/>
    <w:rsid w:val="00A8400C"/>
    <w:rsid w:val="00A85B6C"/>
    <w:rsid w:val="00A8797F"/>
    <w:rsid w:val="00A879F3"/>
    <w:rsid w:val="00A912F1"/>
    <w:rsid w:val="00A928F0"/>
    <w:rsid w:val="00A92E12"/>
    <w:rsid w:val="00A93B2C"/>
    <w:rsid w:val="00A93C5F"/>
    <w:rsid w:val="00A94676"/>
    <w:rsid w:val="00A95406"/>
    <w:rsid w:val="00A962A9"/>
    <w:rsid w:val="00A96F34"/>
    <w:rsid w:val="00A97E90"/>
    <w:rsid w:val="00AA2556"/>
    <w:rsid w:val="00AA3E52"/>
    <w:rsid w:val="00AA7CBA"/>
    <w:rsid w:val="00AB3276"/>
    <w:rsid w:val="00AB51D0"/>
    <w:rsid w:val="00AB675E"/>
    <w:rsid w:val="00AB6B3E"/>
    <w:rsid w:val="00AC095F"/>
    <w:rsid w:val="00AC0A76"/>
    <w:rsid w:val="00AC25C3"/>
    <w:rsid w:val="00AC52BF"/>
    <w:rsid w:val="00AC6D9A"/>
    <w:rsid w:val="00AC6F07"/>
    <w:rsid w:val="00AC7202"/>
    <w:rsid w:val="00AC7EBD"/>
    <w:rsid w:val="00AD12C1"/>
    <w:rsid w:val="00AD44B8"/>
    <w:rsid w:val="00AD4740"/>
    <w:rsid w:val="00AD54F6"/>
    <w:rsid w:val="00AD647F"/>
    <w:rsid w:val="00AE0AD2"/>
    <w:rsid w:val="00AE1812"/>
    <w:rsid w:val="00AE1FBC"/>
    <w:rsid w:val="00AE2650"/>
    <w:rsid w:val="00AE338A"/>
    <w:rsid w:val="00AE57FA"/>
    <w:rsid w:val="00AE61BF"/>
    <w:rsid w:val="00AF21D9"/>
    <w:rsid w:val="00AF3638"/>
    <w:rsid w:val="00AF41EA"/>
    <w:rsid w:val="00AF4A19"/>
    <w:rsid w:val="00AF7123"/>
    <w:rsid w:val="00AF7F42"/>
    <w:rsid w:val="00B0176C"/>
    <w:rsid w:val="00B01A23"/>
    <w:rsid w:val="00B028BB"/>
    <w:rsid w:val="00B1754D"/>
    <w:rsid w:val="00B21CB1"/>
    <w:rsid w:val="00B23F2C"/>
    <w:rsid w:val="00B26741"/>
    <w:rsid w:val="00B323EF"/>
    <w:rsid w:val="00B327A0"/>
    <w:rsid w:val="00B34A8D"/>
    <w:rsid w:val="00B36B57"/>
    <w:rsid w:val="00B4004F"/>
    <w:rsid w:val="00B41505"/>
    <w:rsid w:val="00B428C4"/>
    <w:rsid w:val="00B44E96"/>
    <w:rsid w:val="00B45372"/>
    <w:rsid w:val="00B4625E"/>
    <w:rsid w:val="00B46F29"/>
    <w:rsid w:val="00B471AB"/>
    <w:rsid w:val="00B562D6"/>
    <w:rsid w:val="00B57C11"/>
    <w:rsid w:val="00B607D5"/>
    <w:rsid w:val="00B64EDA"/>
    <w:rsid w:val="00B64FD3"/>
    <w:rsid w:val="00B65BD8"/>
    <w:rsid w:val="00B66754"/>
    <w:rsid w:val="00B6675B"/>
    <w:rsid w:val="00B67593"/>
    <w:rsid w:val="00B70170"/>
    <w:rsid w:val="00B70214"/>
    <w:rsid w:val="00B71CD5"/>
    <w:rsid w:val="00B73332"/>
    <w:rsid w:val="00B758E8"/>
    <w:rsid w:val="00B775BE"/>
    <w:rsid w:val="00B825D7"/>
    <w:rsid w:val="00B86B75"/>
    <w:rsid w:val="00B9529F"/>
    <w:rsid w:val="00B964CC"/>
    <w:rsid w:val="00B96785"/>
    <w:rsid w:val="00B9679F"/>
    <w:rsid w:val="00B9759C"/>
    <w:rsid w:val="00BA089C"/>
    <w:rsid w:val="00BA23C0"/>
    <w:rsid w:val="00BA2712"/>
    <w:rsid w:val="00BA34A5"/>
    <w:rsid w:val="00BA4844"/>
    <w:rsid w:val="00BA626F"/>
    <w:rsid w:val="00BA67DE"/>
    <w:rsid w:val="00BA6D3D"/>
    <w:rsid w:val="00BB07A2"/>
    <w:rsid w:val="00BB0AA2"/>
    <w:rsid w:val="00BB2DDC"/>
    <w:rsid w:val="00BB4721"/>
    <w:rsid w:val="00BB54C3"/>
    <w:rsid w:val="00BB6DC5"/>
    <w:rsid w:val="00BB717E"/>
    <w:rsid w:val="00BB7F86"/>
    <w:rsid w:val="00BC0206"/>
    <w:rsid w:val="00BC48D5"/>
    <w:rsid w:val="00BC6C9A"/>
    <w:rsid w:val="00BC7B00"/>
    <w:rsid w:val="00BD01C6"/>
    <w:rsid w:val="00BD53F2"/>
    <w:rsid w:val="00BD6E73"/>
    <w:rsid w:val="00BD7CC2"/>
    <w:rsid w:val="00BD7E7B"/>
    <w:rsid w:val="00BE07ED"/>
    <w:rsid w:val="00BE17A4"/>
    <w:rsid w:val="00BE19E3"/>
    <w:rsid w:val="00BE3291"/>
    <w:rsid w:val="00BE3B54"/>
    <w:rsid w:val="00BE3C7E"/>
    <w:rsid w:val="00BE58A3"/>
    <w:rsid w:val="00BF11BA"/>
    <w:rsid w:val="00BF4631"/>
    <w:rsid w:val="00BF48A2"/>
    <w:rsid w:val="00BF48B3"/>
    <w:rsid w:val="00C016F5"/>
    <w:rsid w:val="00C0298B"/>
    <w:rsid w:val="00C03CA5"/>
    <w:rsid w:val="00C07A4B"/>
    <w:rsid w:val="00C11DC7"/>
    <w:rsid w:val="00C14F0A"/>
    <w:rsid w:val="00C15ED4"/>
    <w:rsid w:val="00C17A78"/>
    <w:rsid w:val="00C200B6"/>
    <w:rsid w:val="00C21A1A"/>
    <w:rsid w:val="00C2230A"/>
    <w:rsid w:val="00C22D4C"/>
    <w:rsid w:val="00C23232"/>
    <w:rsid w:val="00C23752"/>
    <w:rsid w:val="00C256DA"/>
    <w:rsid w:val="00C2591B"/>
    <w:rsid w:val="00C2612C"/>
    <w:rsid w:val="00C27633"/>
    <w:rsid w:val="00C35125"/>
    <w:rsid w:val="00C36279"/>
    <w:rsid w:val="00C37ECA"/>
    <w:rsid w:val="00C41BEA"/>
    <w:rsid w:val="00C42C43"/>
    <w:rsid w:val="00C43933"/>
    <w:rsid w:val="00C510C6"/>
    <w:rsid w:val="00C52FC7"/>
    <w:rsid w:val="00C531F7"/>
    <w:rsid w:val="00C535D7"/>
    <w:rsid w:val="00C54AFA"/>
    <w:rsid w:val="00C55C5E"/>
    <w:rsid w:val="00C665EF"/>
    <w:rsid w:val="00C67850"/>
    <w:rsid w:val="00C759EF"/>
    <w:rsid w:val="00C76CE3"/>
    <w:rsid w:val="00C819E9"/>
    <w:rsid w:val="00C82EE4"/>
    <w:rsid w:val="00C83B3F"/>
    <w:rsid w:val="00C84732"/>
    <w:rsid w:val="00C86632"/>
    <w:rsid w:val="00C93E14"/>
    <w:rsid w:val="00C94E6E"/>
    <w:rsid w:val="00C9555F"/>
    <w:rsid w:val="00C95797"/>
    <w:rsid w:val="00CA1E12"/>
    <w:rsid w:val="00CA2031"/>
    <w:rsid w:val="00CA4DEE"/>
    <w:rsid w:val="00CA5651"/>
    <w:rsid w:val="00CB4A4F"/>
    <w:rsid w:val="00CB50B0"/>
    <w:rsid w:val="00CB57AF"/>
    <w:rsid w:val="00CB6575"/>
    <w:rsid w:val="00CB675C"/>
    <w:rsid w:val="00CB6A02"/>
    <w:rsid w:val="00CB745E"/>
    <w:rsid w:val="00CC0432"/>
    <w:rsid w:val="00CC0C91"/>
    <w:rsid w:val="00CC1C88"/>
    <w:rsid w:val="00CC3FD3"/>
    <w:rsid w:val="00CC56A4"/>
    <w:rsid w:val="00CC65F7"/>
    <w:rsid w:val="00CD18AC"/>
    <w:rsid w:val="00CD27DB"/>
    <w:rsid w:val="00CD32EB"/>
    <w:rsid w:val="00CD3B51"/>
    <w:rsid w:val="00CD444D"/>
    <w:rsid w:val="00CD7419"/>
    <w:rsid w:val="00CE22DD"/>
    <w:rsid w:val="00CE5459"/>
    <w:rsid w:val="00CE5AA5"/>
    <w:rsid w:val="00CE72BB"/>
    <w:rsid w:val="00CF015C"/>
    <w:rsid w:val="00CF0AEE"/>
    <w:rsid w:val="00CF0DC4"/>
    <w:rsid w:val="00CF2FA6"/>
    <w:rsid w:val="00CF4F43"/>
    <w:rsid w:val="00D03E32"/>
    <w:rsid w:val="00D0466C"/>
    <w:rsid w:val="00D110AD"/>
    <w:rsid w:val="00D12C8D"/>
    <w:rsid w:val="00D14104"/>
    <w:rsid w:val="00D14B1C"/>
    <w:rsid w:val="00D202DB"/>
    <w:rsid w:val="00D20E53"/>
    <w:rsid w:val="00D2115A"/>
    <w:rsid w:val="00D2338C"/>
    <w:rsid w:val="00D23E10"/>
    <w:rsid w:val="00D24DC3"/>
    <w:rsid w:val="00D25AF9"/>
    <w:rsid w:val="00D261FC"/>
    <w:rsid w:val="00D2721B"/>
    <w:rsid w:val="00D32BF3"/>
    <w:rsid w:val="00D33009"/>
    <w:rsid w:val="00D35D97"/>
    <w:rsid w:val="00D42251"/>
    <w:rsid w:val="00D440EF"/>
    <w:rsid w:val="00D46956"/>
    <w:rsid w:val="00D47A9C"/>
    <w:rsid w:val="00D506BC"/>
    <w:rsid w:val="00D520F3"/>
    <w:rsid w:val="00D545EA"/>
    <w:rsid w:val="00D55A25"/>
    <w:rsid w:val="00D57D46"/>
    <w:rsid w:val="00D60CD3"/>
    <w:rsid w:val="00D62DA1"/>
    <w:rsid w:val="00D64FAC"/>
    <w:rsid w:val="00D7136D"/>
    <w:rsid w:val="00D72256"/>
    <w:rsid w:val="00D72CAB"/>
    <w:rsid w:val="00D759DC"/>
    <w:rsid w:val="00D85E69"/>
    <w:rsid w:val="00D86162"/>
    <w:rsid w:val="00D87B11"/>
    <w:rsid w:val="00D9223A"/>
    <w:rsid w:val="00D9781F"/>
    <w:rsid w:val="00DA1A01"/>
    <w:rsid w:val="00DA24D6"/>
    <w:rsid w:val="00DA6136"/>
    <w:rsid w:val="00DB2DDA"/>
    <w:rsid w:val="00DB370A"/>
    <w:rsid w:val="00DB5215"/>
    <w:rsid w:val="00DB66DD"/>
    <w:rsid w:val="00DB7D18"/>
    <w:rsid w:val="00DC03BE"/>
    <w:rsid w:val="00DC1887"/>
    <w:rsid w:val="00DC298F"/>
    <w:rsid w:val="00DC2DDE"/>
    <w:rsid w:val="00DC3D2F"/>
    <w:rsid w:val="00DC45BF"/>
    <w:rsid w:val="00DD2B50"/>
    <w:rsid w:val="00DD52CB"/>
    <w:rsid w:val="00DD7095"/>
    <w:rsid w:val="00DE060B"/>
    <w:rsid w:val="00DE1163"/>
    <w:rsid w:val="00DE44DA"/>
    <w:rsid w:val="00DE4B2D"/>
    <w:rsid w:val="00DE55C9"/>
    <w:rsid w:val="00DE5E3B"/>
    <w:rsid w:val="00DF0350"/>
    <w:rsid w:val="00DF0DFC"/>
    <w:rsid w:val="00DF329A"/>
    <w:rsid w:val="00DF7D10"/>
    <w:rsid w:val="00E00DD0"/>
    <w:rsid w:val="00E02B2D"/>
    <w:rsid w:val="00E03D8B"/>
    <w:rsid w:val="00E07132"/>
    <w:rsid w:val="00E07EFB"/>
    <w:rsid w:val="00E107C0"/>
    <w:rsid w:val="00E11B6E"/>
    <w:rsid w:val="00E13ABB"/>
    <w:rsid w:val="00E1420A"/>
    <w:rsid w:val="00E15232"/>
    <w:rsid w:val="00E15697"/>
    <w:rsid w:val="00E17120"/>
    <w:rsid w:val="00E20BFA"/>
    <w:rsid w:val="00E22EF4"/>
    <w:rsid w:val="00E2309B"/>
    <w:rsid w:val="00E24DE5"/>
    <w:rsid w:val="00E25E34"/>
    <w:rsid w:val="00E315A3"/>
    <w:rsid w:val="00E32587"/>
    <w:rsid w:val="00E370BA"/>
    <w:rsid w:val="00E370F9"/>
    <w:rsid w:val="00E3741E"/>
    <w:rsid w:val="00E37F78"/>
    <w:rsid w:val="00E41ECF"/>
    <w:rsid w:val="00E42E31"/>
    <w:rsid w:val="00E4306B"/>
    <w:rsid w:val="00E451AA"/>
    <w:rsid w:val="00E45F2E"/>
    <w:rsid w:val="00E46B44"/>
    <w:rsid w:val="00E46F92"/>
    <w:rsid w:val="00E50F45"/>
    <w:rsid w:val="00E54FBA"/>
    <w:rsid w:val="00E6327B"/>
    <w:rsid w:val="00E677A4"/>
    <w:rsid w:val="00E7061E"/>
    <w:rsid w:val="00E708A7"/>
    <w:rsid w:val="00E7100F"/>
    <w:rsid w:val="00E71E27"/>
    <w:rsid w:val="00E72ABD"/>
    <w:rsid w:val="00E74175"/>
    <w:rsid w:val="00E748F2"/>
    <w:rsid w:val="00E762CB"/>
    <w:rsid w:val="00E80CBF"/>
    <w:rsid w:val="00E81E54"/>
    <w:rsid w:val="00E83109"/>
    <w:rsid w:val="00E831D0"/>
    <w:rsid w:val="00E833F6"/>
    <w:rsid w:val="00E85C26"/>
    <w:rsid w:val="00E86E05"/>
    <w:rsid w:val="00E87C50"/>
    <w:rsid w:val="00E901FD"/>
    <w:rsid w:val="00E92F0D"/>
    <w:rsid w:val="00EA03E2"/>
    <w:rsid w:val="00EA1436"/>
    <w:rsid w:val="00EA1B36"/>
    <w:rsid w:val="00EA3E76"/>
    <w:rsid w:val="00EA7727"/>
    <w:rsid w:val="00EA7EB6"/>
    <w:rsid w:val="00EB03B9"/>
    <w:rsid w:val="00EB08AD"/>
    <w:rsid w:val="00EB0D44"/>
    <w:rsid w:val="00EB6018"/>
    <w:rsid w:val="00EC1A1B"/>
    <w:rsid w:val="00EC1C1A"/>
    <w:rsid w:val="00EC251B"/>
    <w:rsid w:val="00EC2912"/>
    <w:rsid w:val="00EC3293"/>
    <w:rsid w:val="00EC5BF2"/>
    <w:rsid w:val="00ED1170"/>
    <w:rsid w:val="00ED611A"/>
    <w:rsid w:val="00ED7FEF"/>
    <w:rsid w:val="00EE0B11"/>
    <w:rsid w:val="00EE4073"/>
    <w:rsid w:val="00EE5339"/>
    <w:rsid w:val="00EE554C"/>
    <w:rsid w:val="00EE5E01"/>
    <w:rsid w:val="00EE5E90"/>
    <w:rsid w:val="00EE754D"/>
    <w:rsid w:val="00EE76A5"/>
    <w:rsid w:val="00EF1AAA"/>
    <w:rsid w:val="00EF4B3A"/>
    <w:rsid w:val="00EF6A68"/>
    <w:rsid w:val="00F005FC"/>
    <w:rsid w:val="00F01438"/>
    <w:rsid w:val="00F01A25"/>
    <w:rsid w:val="00F0258C"/>
    <w:rsid w:val="00F057D3"/>
    <w:rsid w:val="00F06424"/>
    <w:rsid w:val="00F13002"/>
    <w:rsid w:val="00F13E3D"/>
    <w:rsid w:val="00F16B0E"/>
    <w:rsid w:val="00F16BFD"/>
    <w:rsid w:val="00F1748A"/>
    <w:rsid w:val="00F21AB4"/>
    <w:rsid w:val="00F21CA8"/>
    <w:rsid w:val="00F22FEE"/>
    <w:rsid w:val="00F2312C"/>
    <w:rsid w:val="00F245A2"/>
    <w:rsid w:val="00F249F2"/>
    <w:rsid w:val="00F24D38"/>
    <w:rsid w:val="00F3043B"/>
    <w:rsid w:val="00F31C6C"/>
    <w:rsid w:val="00F34783"/>
    <w:rsid w:val="00F34881"/>
    <w:rsid w:val="00F36019"/>
    <w:rsid w:val="00F3723E"/>
    <w:rsid w:val="00F40F47"/>
    <w:rsid w:val="00F41290"/>
    <w:rsid w:val="00F4668A"/>
    <w:rsid w:val="00F4712D"/>
    <w:rsid w:val="00F50207"/>
    <w:rsid w:val="00F5431E"/>
    <w:rsid w:val="00F60C2D"/>
    <w:rsid w:val="00F60F60"/>
    <w:rsid w:val="00F62490"/>
    <w:rsid w:val="00F63FC0"/>
    <w:rsid w:val="00F64429"/>
    <w:rsid w:val="00F64A10"/>
    <w:rsid w:val="00F7692A"/>
    <w:rsid w:val="00F82379"/>
    <w:rsid w:val="00F83410"/>
    <w:rsid w:val="00F84E6A"/>
    <w:rsid w:val="00F87E41"/>
    <w:rsid w:val="00F93150"/>
    <w:rsid w:val="00F93D72"/>
    <w:rsid w:val="00F93E5B"/>
    <w:rsid w:val="00F9725E"/>
    <w:rsid w:val="00F97D4A"/>
    <w:rsid w:val="00FA1C11"/>
    <w:rsid w:val="00FA22FB"/>
    <w:rsid w:val="00FA3386"/>
    <w:rsid w:val="00FA3D1A"/>
    <w:rsid w:val="00FA5C8A"/>
    <w:rsid w:val="00FA610B"/>
    <w:rsid w:val="00FA6E1A"/>
    <w:rsid w:val="00FA78C6"/>
    <w:rsid w:val="00FB0A3F"/>
    <w:rsid w:val="00FB1AE6"/>
    <w:rsid w:val="00FB2804"/>
    <w:rsid w:val="00FB312F"/>
    <w:rsid w:val="00FB3E66"/>
    <w:rsid w:val="00FB6A87"/>
    <w:rsid w:val="00FB6C18"/>
    <w:rsid w:val="00FB74B3"/>
    <w:rsid w:val="00FC014A"/>
    <w:rsid w:val="00FC0A2B"/>
    <w:rsid w:val="00FC14FA"/>
    <w:rsid w:val="00FC1BDA"/>
    <w:rsid w:val="00FC5F1F"/>
    <w:rsid w:val="00FC67A7"/>
    <w:rsid w:val="00FC7A7D"/>
    <w:rsid w:val="00FD0251"/>
    <w:rsid w:val="00FD2CE6"/>
    <w:rsid w:val="00FD63EF"/>
    <w:rsid w:val="00FE0006"/>
    <w:rsid w:val="00FE0542"/>
    <w:rsid w:val="00FE2B73"/>
    <w:rsid w:val="00FE491A"/>
    <w:rsid w:val="00FE6102"/>
    <w:rsid w:val="00FE61EE"/>
    <w:rsid w:val="00FE7251"/>
    <w:rsid w:val="00FE7559"/>
    <w:rsid w:val="00FE761B"/>
    <w:rsid w:val="00FF022C"/>
    <w:rsid w:val="00FF29EF"/>
    <w:rsid w:val="00FF2F21"/>
    <w:rsid w:val="00FF2F84"/>
    <w:rsid w:val="6AE21B94"/>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9969E3E"/>
  <w15:docId w15:val="{5CFB8496-1ACA-46F0-BE07-374CBF987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unhideWhenUsed="1"/>
    <w:lsdException w:name="annotation text" w:unhideWhenUsed="1"/>
    <w:lsdException w:name="header" w:unhideWhenUsed="1"/>
    <w:lsdException w:name="footer" w:unhideWhenUsed="1"/>
    <w:lsdException w:name="index heading" w:semiHidden="1" w:unhideWhenUsed="1"/>
    <w:lsdException w:name="caption" w:uiPriority="35" w:unhideWhenUsed="1" w:qFormat="1"/>
    <w:lsdException w:name="table of figures"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after="120"/>
    </w:pPr>
    <w:rPr>
      <w:sz w:val="22"/>
      <w:szCs w:val="22"/>
      <w:lang w:eastAsia="en-US"/>
    </w:rPr>
  </w:style>
  <w:style w:type="paragraph" w:styleId="Heading1">
    <w:name w:val="heading 1"/>
    <w:basedOn w:val="Normal"/>
    <w:next w:val="Normal"/>
    <w:link w:val="Heading1Char"/>
    <w:uiPriority w:val="9"/>
    <w:qFormat/>
    <w:pPr>
      <w:keepNext/>
      <w:keepLines/>
      <w:numPr>
        <w:numId w:val="1"/>
      </w:numPr>
      <w:spacing w:before="240"/>
      <w:outlineLvl w:val="0"/>
    </w:pPr>
    <w:rPr>
      <w:rFonts w:asciiTheme="majorHAnsi" w:eastAsiaTheme="majorEastAsia" w:hAnsiTheme="majorHAnsi" w:cstheme="minorHAnsi"/>
      <w:color w:val="2E74B5" w:themeColor="accent1" w:themeShade="BF"/>
      <w:sz w:val="32"/>
      <w:szCs w:val="32"/>
      <w:lang w:val="en-US"/>
    </w:rPr>
  </w:style>
  <w:style w:type="paragraph" w:styleId="Heading2">
    <w:name w:val="heading 2"/>
    <w:basedOn w:val="Normal"/>
    <w:next w:val="Normal"/>
    <w:link w:val="Heading2Char"/>
    <w:uiPriority w:val="9"/>
    <w:unhideWhenUsed/>
    <w:qFormat/>
    <w:pPr>
      <w:keepNext/>
      <w:keepLines/>
      <w:numPr>
        <w:ilvl w:val="1"/>
        <w:numId w:val="1"/>
      </w:numPr>
      <w:spacing w:before="240"/>
      <w:outlineLvl w:val="1"/>
    </w:pPr>
    <w:rPr>
      <w:rFonts w:asciiTheme="majorHAnsi" w:eastAsiaTheme="majorEastAsia" w:hAnsiTheme="majorHAnsi" w:cstheme="majorBidi"/>
      <w:color w:val="2E74B5" w:themeColor="accent1" w:themeShade="BF"/>
      <w:sz w:val="26"/>
      <w:szCs w:val="26"/>
      <w:lang w:val="en-US"/>
    </w:rPr>
  </w:style>
  <w:style w:type="paragraph" w:styleId="Heading3">
    <w:name w:val="heading 3"/>
    <w:basedOn w:val="Normal"/>
    <w:next w:val="Normal"/>
    <w:link w:val="Heading3Char"/>
    <w:uiPriority w:val="9"/>
    <w:unhideWhenUsed/>
    <w:qFormat/>
    <w:pPr>
      <w:keepNext/>
      <w:keepLines/>
      <w:numPr>
        <w:ilvl w:val="2"/>
        <w:numId w:val="1"/>
      </w:numPr>
      <w:spacing w:before="0" w:after="200"/>
      <w:outlineLvl w:val="2"/>
    </w:pPr>
    <w:rPr>
      <w:rFonts w:asciiTheme="majorHAnsi" w:eastAsiaTheme="majorEastAsia" w:hAnsiTheme="majorHAnsi" w:cstheme="majorBidi"/>
      <w:color w:val="1F4E79" w:themeColor="accent1" w:themeShade="80"/>
      <w:sz w:val="24"/>
      <w:szCs w:val="24"/>
      <w:lang w:val="en-US"/>
    </w:rPr>
  </w:style>
  <w:style w:type="paragraph" w:styleId="Heading4">
    <w:name w:val="heading 4"/>
    <w:basedOn w:val="Normal"/>
    <w:next w:val="Normal"/>
    <w:link w:val="Heading4Char"/>
    <w:uiPriority w:val="9"/>
    <w:unhideWhenUsed/>
    <w:qFormat/>
    <w:pPr>
      <w:keepNext/>
      <w:keepLines/>
      <w:numPr>
        <w:ilvl w:val="3"/>
        <w:numId w:val="1"/>
      </w:numPr>
      <w:spacing w:before="0" w:after="200"/>
      <w:outlineLvl w:val="3"/>
    </w:pPr>
    <w:rPr>
      <w:rFonts w:asciiTheme="majorHAnsi" w:eastAsiaTheme="majorEastAsia" w:hAnsiTheme="majorHAnsi" w:cstheme="majorBidi"/>
      <w:i/>
      <w:iCs/>
      <w:color w:val="2E74B5" w:themeColor="accent1" w:themeShade="BF"/>
      <w:lang w:val="en-US"/>
    </w:rPr>
  </w:style>
  <w:style w:type="paragraph" w:styleId="Heading5">
    <w:name w:val="heading 5"/>
    <w:basedOn w:val="Heading1"/>
    <w:next w:val="Normal"/>
    <w:link w:val="Heading5Char"/>
    <w:uiPriority w:val="9"/>
    <w:unhideWhenUsed/>
    <w:qFormat/>
    <w:pPr>
      <w:numPr>
        <w:numId w:val="0"/>
      </w:numPr>
      <w:ind w:left="426" w:hanging="426"/>
      <w:outlineLvl w:val="4"/>
    </w:pPr>
  </w:style>
  <w:style w:type="paragraph" w:styleId="Heading6">
    <w:name w:val="heading 6"/>
    <w:basedOn w:val="Normal"/>
    <w:next w:val="Normal"/>
    <w:link w:val="Heading6Char"/>
    <w:uiPriority w:val="9"/>
    <w:unhideWhenUsed/>
    <w:qFormat/>
    <w:pPr>
      <w:keepNext/>
      <w:keepLines/>
      <w:numPr>
        <w:ilvl w:val="5"/>
        <w:numId w:val="1"/>
      </w:numPr>
      <w:spacing w:before="40" w:after="0"/>
      <w:outlineLvl w:val="5"/>
    </w:pPr>
    <w:rPr>
      <w:rFonts w:asciiTheme="majorHAnsi" w:eastAsiaTheme="majorEastAsia" w:hAnsiTheme="majorHAnsi" w:cstheme="majorBidi"/>
      <w:color w:val="1F4E79" w:themeColor="accent1" w:themeShade="80"/>
    </w:rPr>
  </w:style>
  <w:style w:type="paragraph" w:styleId="Heading7">
    <w:name w:val="heading 7"/>
    <w:basedOn w:val="Normal"/>
    <w:next w:val="Normal"/>
    <w:link w:val="Heading7Char"/>
    <w:uiPriority w:val="9"/>
    <w:semiHidden/>
    <w:unhideWhenUsed/>
    <w:qFormat/>
    <w:pPr>
      <w:keepNext/>
      <w:keepLines/>
      <w:numPr>
        <w:ilvl w:val="6"/>
        <w:numId w:val="1"/>
      </w:numPr>
      <w:spacing w:before="40" w:after="0"/>
      <w:outlineLvl w:val="6"/>
    </w:pPr>
    <w:rPr>
      <w:rFonts w:asciiTheme="majorHAnsi" w:eastAsiaTheme="majorEastAsia" w:hAnsiTheme="majorHAnsi" w:cstheme="majorBidi"/>
      <w:i/>
      <w:iCs/>
      <w:color w:val="1F4E79" w:themeColor="accent1" w:themeShade="80"/>
    </w:rPr>
  </w:style>
  <w:style w:type="paragraph" w:styleId="Heading8">
    <w:name w:val="heading 8"/>
    <w:basedOn w:val="Normal"/>
    <w:next w:val="Normal"/>
    <w:link w:val="Heading8Char"/>
    <w:uiPriority w:val="9"/>
    <w:semiHidden/>
    <w:unhideWhenUsed/>
    <w:qFormat/>
    <w:pPr>
      <w:keepNext/>
      <w:keepLines/>
      <w:numPr>
        <w:ilvl w:val="7"/>
        <w:numId w:val="1"/>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pPr>
      <w:keepNext/>
      <w:keepLines/>
      <w:numPr>
        <w:ilvl w:val="8"/>
        <w:numId w:val="1"/>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pPr>
    <w:rPr>
      <w:rFonts w:ascii="Segoe UI" w:hAnsi="Segoe UI" w:cs="Segoe UI"/>
      <w:sz w:val="18"/>
      <w:szCs w:val="18"/>
    </w:rPr>
  </w:style>
  <w:style w:type="paragraph" w:styleId="BodyText">
    <w:name w:val="Body Text"/>
    <w:basedOn w:val="Normal"/>
    <w:link w:val="BodyTextChar"/>
    <w:qFormat/>
    <w:pPr>
      <w:spacing w:before="100" w:line="260" w:lineRule="atLeast"/>
    </w:pPr>
    <w:rPr>
      <w:rFonts w:ascii="Calibri" w:eastAsia="Times New Roman" w:hAnsi="Calibri" w:cs="Calibri"/>
      <w:lang w:eastAsia="en-AU"/>
    </w:rPr>
  </w:style>
  <w:style w:type="paragraph" w:styleId="Caption">
    <w:name w:val="caption"/>
    <w:basedOn w:val="Normal"/>
    <w:next w:val="Normal"/>
    <w:link w:val="CaptionChar"/>
    <w:uiPriority w:val="35"/>
    <w:unhideWhenUsed/>
    <w:qFormat/>
    <w:pPr>
      <w:spacing w:after="200"/>
    </w:pPr>
    <w:rPr>
      <w:i/>
      <w:iCs/>
      <w:color w:val="44546A" w:themeColor="text2"/>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rPr>
      <w:color w:val="954F72" w:themeColor="followedHyperlink"/>
      <w:u w:val="single"/>
    </w:rPr>
  </w:style>
  <w:style w:type="paragraph" w:styleId="Footer">
    <w:name w:val="footer"/>
    <w:basedOn w:val="Normal"/>
    <w:link w:val="FooterChar"/>
    <w:uiPriority w:val="99"/>
    <w:unhideWhenUsed/>
    <w:pPr>
      <w:tabs>
        <w:tab w:val="center" w:pos="4513"/>
        <w:tab w:val="right" w:pos="9026"/>
      </w:tabs>
      <w:spacing w:before="0" w:after="0"/>
    </w:pPr>
  </w:style>
  <w:style w:type="character" w:styleId="FootnoteReference">
    <w:name w:val="footnote reference"/>
    <w:basedOn w:val="DefaultParagraphFont"/>
    <w:uiPriority w:val="99"/>
    <w:unhideWhenUsed/>
    <w:rPr>
      <w:vertAlign w:val="superscript"/>
    </w:rPr>
  </w:style>
  <w:style w:type="paragraph" w:styleId="FootnoteText">
    <w:name w:val="footnote text"/>
    <w:basedOn w:val="Normal"/>
    <w:link w:val="FootnoteTextChar"/>
    <w:uiPriority w:val="99"/>
    <w:unhideWhenUsed/>
    <w:pPr>
      <w:spacing w:after="0"/>
    </w:pPr>
    <w:rPr>
      <w:sz w:val="20"/>
      <w:szCs w:val="20"/>
    </w:rPr>
  </w:style>
  <w:style w:type="paragraph" w:styleId="Header">
    <w:name w:val="header"/>
    <w:basedOn w:val="Normal"/>
    <w:link w:val="HeaderChar"/>
    <w:uiPriority w:val="99"/>
    <w:unhideWhenUsed/>
    <w:pPr>
      <w:tabs>
        <w:tab w:val="center" w:pos="4513"/>
        <w:tab w:val="right" w:pos="9026"/>
      </w:tabs>
      <w:spacing w:before="0" w:after="0"/>
    </w:p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cs="Times New Roman"/>
      <w:sz w:val="24"/>
      <w:szCs w:val="24"/>
      <w:lang w:eastAsia="en-AU"/>
    </w:rPr>
  </w:style>
  <w:style w:type="character" w:styleId="PageNumber">
    <w:name w:val="page number"/>
    <w:basedOn w:val="DefaultParagraphFont"/>
    <w:uiPriority w:val="99"/>
    <w:semiHidden/>
    <w:unhideWhenUsed/>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asciiTheme="majorHAnsi" w:eastAsiaTheme="majorEastAsia" w:hAnsiTheme="majorHAnsi" w:cstheme="majorBidi"/>
      <w:b/>
      <w:i/>
      <w:iCs/>
      <w:color w:val="5B9BD5" w:themeColor="accent1"/>
      <w:spacing w:val="15"/>
      <w:sz w:val="24"/>
      <w:szCs w:val="24"/>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pPr>
      <w:spacing w:before="0" w:after="0"/>
      <w:ind w:left="440" w:hanging="440"/>
    </w:pPr>
    <w:rPr>
      <w:smallCaps/>
      <w:sz w:val="20"/>
      <w:szCs w:val="20"/>
    </w:rPr>
  </w:style>
  <w:style w:type="paragraph" w:styleId="Title">
    <w:name w:val="Title"/>
    <w:basedOn w:val="MRAGDocHeading"/>
    <w:next w:val="Normal"/>
    <w:link w:val="TitleChar"/>
    <w:uiPriority w:val="10"/>
    <w:qFormat/>
    <w:rPr>
      <w:sz w:val="44"/>
      <w:szCs w:val="44"/>
    </w:rPr>
  </w:style>
  <w:style w:type="paragraph" w:customStyle="1" w:styleId="MRAGDocHeading">
    <w:name w:val="MRAG Doc Heading"/>
    <w:basedOn w:val="Normal"/>
    <w:qFormat/>
    <w:pPr>
      <w:spacing w:before="0" w:after="0"/>
      <w:jc w:val="right"/>
    </w:pPr>
    <w:rPr>
      <w:rFonts w:ascii="Arial" w:eastAsia="Calibri" w:hAnsi="Arial" w:cs="Times New Roman"/>
      <w:b/>
      <w:color w:val="F2F2F2"/>
      <w:sz w:val="36"/>
    </w:rPr>
  </w:style>
  <w:style w:type="paragraph" w:styleId="TOC1">
    <w:name w:val="toc 1"/>
    <w:basedOn w:val="Normal"/>
    <w:next w:val="Normal"/>
    <w:uiPriority w:val="39"/>
    <w:unhideWhenUsed/>
    <w:rPr>
      <w:b/>
      <w:bCs/>
      <w:caps/>
      <w:sz w:val="20"/>
      <w:szCs w:val="20"/>
    </w:rPr>
  </w:style>
  <w:style w:type="paragraph" w:styleId="TOC2">
    <w:name w:val="toc 2"/>
    <w:basedOn w:val="Normal"/>
    <w:next w:val="Normal"/>
    <w:uiPriority w:val="39"/>
    <w:unhideWhenUsed/>
    <w:pPr>
      <w:spacing w:before="0" w:after="0"/>
      <w:ind w:left="220"/>
    </w:pPr>
    <w:rPr>
      <w:smallCaps/>
      <w:sz w:val="20"/>
      <w:szCs w:val="20"/>
    </w:rPr>
  </w:style>
  <w:style w:type="paragraph" w:styleId="TOC3">
    <w:name w:val="toc 3"/>
    <w:basedOn w:val="Normal"/>
    <w:next w:val="Normal"/>
    <w:uiPriority w:val="39"/>
    <w:unhideWhenUsed/>
    <w:pPr>
      <w:spacing w:before="0" w:after="0"/>
      <w:ind w:left="440"/>
    </w:pPr>
    <w:rPr>
      <w:i/>
      <w:iCs/>
      <w:sz w:val="20"/>
      <w:szCs w:val="20"/>
    </w:rPr>
  </w:style>
  <w:style w:type="paragraph" w:styleId="TOC4">
    <w:name w:val="toc 4"/>
    <w:basedOn w:val="Normal"/>
    <w:next w:val="Normal"/>
    <w:uiPriority w:val="39"/>
    <w:unhideWhenUsed/>
    <w:pPr>
      <w:spacing w:before="0" w:after="0"/>
      <w:ind w:left="660"/>
    </w:pPr>
    <w:rPr>
      <w:sz w:val="18"/>
      <w:szCs w:val="18"/>
    </w:rPr>
  </w:style>
  <w:style w:type="paragraph" w:styleId="TOC5">
    <w:name w:val="toc 5"/>
    <w:basedOn w:val="TOC1"/>
    <w:next w:val="Normal"/>
    <w:uiPriority w:val="39"/>
    <w:unhideWhenUsed/>
    <w:rPr>
      <w:sz w:val="18"/>
      <w:szCs w:val="18"/>
    </w:rPr>
  </w:style>
  <w:style w:type="paragraph" w:styleId="TOC6">
    <w:name w:val="toc 6"/>
    <w:basedOn w:val="Normal"/>
    <w:next w:val="Normal"/>
    <w:uiPriority w:val="39"/>
    <w:unhideWhenUsed/>
    <w:pPr>
      <w:spacing w:before="0" w:after="0"/>
      <w:ind w:left="1100"/>
    </w:pPr>
    <w:rPr>
      <w:sz w:val="18"/>
      <w:szCs w:val="18"/>
    </w:rPr>
  </w:style>
  <w:style w:type="paragraph" w:styleId="TOC7">
    <w:name w:val="toc 7"/>
    <w:basedOn w:val="Normal"/>
    <w:next w:val="Normal"/>
    <w:uiPriority w:val="39"/>
    <w:unhideWhenUsed/>
    <w:pPr>
      <w:spacing w:before="0" w:after="0"/>
      <w:ind w:left="1320"/>
    </w:pPr>
    <w:rPr>
      <w:sz w:val="18"/>
      <w:szCs w:val="18"/>
    </w:rPr>
  </w:style>
  <w:style w:type="paragraph" w:styleId="TOC8">
    <w:name w:val="toc 8"/>
    <w:basedOn w:val="Normal"/>
    <w:next w:val="Normal"/>
    <w:uiPriority w:val="39"/>
    <w:unhideWhenUsed/>
    <w:pPr>
      <w:spacing w:before="0" w:after="0"/>
      <w:ind w:left="1540"/>
    </w:pPr>
    <w:rPr>
      <w:sz w:val="18"/>
      <w:szCs w:val="18"/>
    </w:rPr>
  </w:style>
  <w:style w:type="paragraph" w:styleId="TOC9">
    <w:name w:val="toc 9"/>
    <w:basedOn w:val="Normal"/>
    <w:next w:val="Normal"/>
    <w:uiPriority w:val="39"/>
    <w:unhideWhenUsed/>
    <w:pPr>
      <w:spacing w:before="0" w:after="0"/>
      <w:ind w:left="1760"/>
    </w:pPr>
    <w:rPr>
      <w:sz w:val="18"/>
      <w:szCs w:val="18"/>
    </w:rPr>
  </w:style>
  <w:style w:type="table" w:styleId="LightList-Accent1">
    <w:name w:val="Light List Accent 1"/>
    <w:basedOn w:val="TableNormal"/>
    <w:uiPriority w:val="61"/>
    <w:qFormat/>
    <w:rPr>
      <w:rFonts w:ascii="Arial" w:eastAsia="Times New Roman" w:hAnsi="Arial" w:cs="Times New Roman"/>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Heading1Char">
    <w:name w:val="Heading 1 Char"/>
    <w:basedOn w:val="DefaultParagraphFont"/>
    <w:link w:val="Heading1"/>
    <w:uiPriority w:val="9"/>
    <w:rPr>
      <w:rFonts w:asciiTheme="majorHAnsi" w:eastAsiaTheme="majorEastAsia" w:hAnsiTheme="majorHAnsi" w:cstheme="minorHAnsi"/>
      <w:color w:val="2E74B5" w:themeColor="accent1" w:themeShade="BF"/>
      <w:sz w:val="32"/>
      <w:szCs w:val="32"/>
      <w:lang w:val="en-US"/>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lang w:val="en-US"/>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E79" w:themeColor="accent1" w:themeShade="80"/>
      <w:sz w:val="24"/>
      <w:szCs w:val="24"/>
      <w:lang w:val="en-US"/>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E74B5" w:themeColor="accent1" w:themeShade="BF"/>
      <w:lang w:val="en-US"/>
    </w:rPr>
  </w:style>
  <w:style w:type="character" w:customStyle="1" w:styleId="Heading5Char">
    <w:name w:val="Heading 5 Char"/>
    <w:basedOn w:val="DefaultParagraphFont"/>
    <w:link w:val="Heading5"/>
    <w:uiPriority w:val="9"/>
    <w:rPr>
      <w:rFonts w:asciiTheme="majorHAnsi" w:eastAsiaTheme="majorEastAsia" w:hAnsiTheme="majorHAnsi" w:cstheme="minorHAnsi"/>
      <w:color w:val="2E74B5" w:themeColor="accent1" w:themeShade="BF"/>
      <w:sz w:val="32"/>
      <w:szCs w:val="32"/>
      <w:lang w:val="en-US"/>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E79"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F4E79" w:themeColor="accent1" w:themeShade="8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62626" w:themeColor="text1" w:themeTint="D9"/>
      <w:sz w:val="21"/>
      <w:szCs w:val="21"/>
    </w:r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basedOn w:val="DefaultParagraphFont"/>
    <w:link w:val="ListParagraph"/>
    <w:uiPriority w:val="34"/>
    <w:qFormat/>
    <w:locked/>
  </w:style>
  <w:style w:type="character" w:customStyle="1" w:styleId="CommentTextChar">
    <w:name w:val="Comment Text Char"/>
    <w:basedOn w:val="DefaultParagraphFont"/>
    <w:link w:val="CommentText"/>
    <w:uiPriority w:val="99"/>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EndNoteBibliographyTitle">
    <w:name w:val="EndNote Bibliography Title"/>
    <w:basedOn w:val="Normal"/>
    <w:link w:val="EndNoteBibliographyTitleChar"/>
    <w:pPr>
      <w:spacing w:after="0"/>
      <w:jc w:val="center"/>
    </w:pPr>
    <w:rPr>
      <w:rFonts w:ascii="Calibri" w:hAnsi="Calibri"/>
      <w:lang w:val="en-US"/>
    </w:rPr>
  </w:style>
  <w:style w:type="character" w:customStyle="1" w:styleId="EndNoteBibliographyTitleChar">
    <w:name w:val="EndNote Bibliography Title Char"/>
    <w:basedOn w:val="DefaultParagraphFont"/>
    <w:link w:val="EndNoteBibliographyTitle"/>
    <w:rPr>
      <w:rFonts w:ascii="Calibri" w:hAnsi="Calibri"/>
      <w:lang w:val="en-US"/>
    </w:rPr>
  </w:style>
  <w:style w:type="paragraph" w:customStyle="1" w:styleId="EndNoteBibliography">
    <w:name w:val="EndNote Bibliography"/>
    <w:basedOn w:val="Normal"/>
    <w:link w:val="EndNoteBibliographyChar"/>
    <w:rPr>
      <w:rFonts w:ascii="Calibri" w:hAnsi="Calibri"/>
      <w:lang w:val="en-US"/>
    </w:rPr>
  </w:style>
  <w:style w:type="character" w:customStyle="1" w:styleId="EndNoteBibliographyChar">
    <w:name w:val="EndNote Bibliography Char"/>
    <w:basedOn w:val="DefaultParagraphFont"/>
    <w:link w:val="EndNoteBibliography"/>
    <w:rPr>
      <w:rFonts w:ascii="Calibri" w:hAnsi="Calibri"/>
      <w:lang w:val="en-US"/>
    </w:rPr>
  </w:style>
  <w:style w:type="character" w:customStyle="1" w:styleId="CaptionChar">
    <w:name w:val="Caption Char"/>
    <w:basedOn w:val="DefaultParagraphFont"/>
    <w:link w:val="Caption"/>
    <w:uiPriority w:val="35"/>
    <w:locked/>
    <w:rPr>
      <w:i/>
      <w:iCs/>
      <w:color w:val="44546A" w:themeColor="text2"/>
      <w:sz w:val="18"/>
      <w:szCs w:val="18"/>
    </w:rPr>
  </w:style>
  <w:style w:type="character" w:customStyle="1" w:styleId="FootnoteTextChar">
    <w:name w:val="Footnote Text Char"/>
    <w:basedOn w:val="DefaultParagraphFont"/>
    <w:link w:val="FootnoteText"/>
    <w:uiPriority w:val="99"/>
    <w:rPr>
      <w:sz w:val="20"/>
      <w:szCs w:val="20"/>
    </w:rPr>
  </w:style>
  <w:style w:type="paragraph" w:customStyle="1" w:styleId="TOCHeading1">
    <w:name w:val="TOC Heading1"/>
    <w:basedOn w:val="Heading1"/>
    <w:next w:val="Normal"/>
    <w:uiPriority w:val="39"/>
    <w:unhideWhenUsed/>
    <w:qFormat/>
    <w:pPr>
      <w:numPr>
        <w:numId w:val="0"/>
      </w:numPr>
      <w:outlineLvl w:val="9"/>
    </w:pPr>
  </w:style>
  <w:style w:type="paragraph" w:customStyle="1" w:styleId="MRAGDocCoverOther">
    <w:name w:val="MRAG Doc Cover Other"/>
    <w:basedOn w:val="Normal"/>
    <w:pPr>
      <w:spacing w:before="0"/>
      <w:jc w:val="right"/>
    </w:pPr>
    <w:rPr>
      <w:rFonts w:ascii="Arial" w:eastAsia="Calibri" w:hAnsi="Arial" w:cs="Times New Roman"/>
      <w:color w:val="F2F2F2"/>
      <w:sz w:val="24"/>
    </w:rPr>
  </w:style>
  <w:style w:type="character" w:customStyle="1" w:styleId="IDDVariableMarker">
    <w:name w:val="IDDVariableMarker"/>
    <w:rPr>
      <w:b/>
    </w:rPr>
  </w:style>
  <w:style w:type="paragraph" w:customStyle="1" w:styleId="About">
    <w:name w:val="About"/>
    <w:basedOn w:val="Normal"/>
    <w:qFormat/>
    <w:pPr>
      <w:pBdr>
        <w:top w:val="single" w:sz="4" w:space="1" w:color="auto"/>
        <w:left w:val="single" w:sz="4" w:space="1" w:color="auto"/>
        <w:bottom w:val="single" w:sz="4" w:space="1" w:color="auto"/>
        <w:right w:val="single" w:sz="4" w:space="1" w:color="auto"/>
      </w:pBdr>
      <w:spacing w:line="276" w:lineRule="auto"/>
    </w:pPr>
    <w:rPr>
      <w:rFonts w:ascii="Arial Narrow" w:eastAsia="Calibri" w:hAnsi="Arial Narrow" w:cs="Times New Roman"/>
      <w:b/>
      <w:color w:val="0054A4"/>
      <w:sz w:val="26"/>
      <w:szCs w:val="26"/>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apple-converted-space">
    <w:name w:val="apple-converted-space"/>
    <w:basedOn w:val="DefaultParagraphFont"/>
  </w:style>
  <w:style w:type="paragraph" w:customStyle="1" w:styleId="Default">
    <w:name w:val="Default"/>
    <w:pPr>
      <w:autoSpaceDE w:val="0"/>
      <w:autoSpaceDN w:val="0"/>
      <w:adjustRightInd w:val="0"/>
    </w:pPr>
    <w:rPr>
      <w:rFonts w:ascii="Calibri" w:hAnsi="Calibri" w:cs="Calibri"/>
      <w:color w:val="000000"/>
      <w:sz w:val="24"/>
      <w:szCs w:val="24"/>
      <w:lang w:eastAsia="en-US"/>
    </w:rPr>
  </w:style>
  <w:style w:type="character" w:customStyle="1" w:styleId="hvr">
    <w:name w:val="hvr"/>
    <w:basedOn w:val="DefaultParagraphFont"/>
  </w:style>
  <w:style w:type="character" w:customStyle="1" w:styleId="IntenseEmphasis1">
    <w:name w:val="Intense Emphasis1"/>
    <w:basedOn w:val="DefaultParagraphFont"/>
    <w:uiPriority w:val="21"/>
    <w:qFormat/>
    <w:rPr>
      <w:b/>
      <w:bCs/>
      <w:i/>
      <w:iCs/>
      <w:color w:val="5B9BD5" w:themeColor="accent1"/>
    </w:rPr>
  </w:style>
  <w:style w:type="character" w:customStyle="1" w:styleId="SubtitleChar">
    <w:name w:val="Subtitle Char"/>
    <w:basedOn w:val="DefaultParagraphFont"/>
    <w:link w:val="Subtitle"/>
    <w:uiPriority w:val="11"/>
    <w:rPr>
      <w:rFonts w:asciiTheme="majorHAnsi" w:eastAsiaTheme="majorEastAsia" w:hAnsiTheme="majorHAnsi" w:cstheme="majorBidi"/>
      <w:b/>
      <w:i/>
      <w:iCs/>
      <w:color w:val="5B9BD5" w:themeColor="accent1"/>
      <w:spacing w:val="15"/>
      <w:sz w:val="24"/>
      <w:szCs w:val="24"/>
    </w:rPr>
  </w:style>
  <w:style w:type="paragraph" w:styleId="NoSpacing">
    <w:name w:val="No Spacing"/>
    <w:uiPriority w:val="1"/>
    <w:qFormat/>
    <w:rPr>
      <w:sz w:val="22"/>
      <w:szCs w:val="22"/>
      <w:lang w:eastAsia="en-US"/>
    </w:rPr>
  </w:style>
  <w:style w:type="character" w:customStyle="1" w:styleId="IntenseReference1">
    <w:name w:val="Intense Reference1"/>
    <w:basedOn w:val="DefaultParagraphFont"/>
    <w:uiPriority w:val="32"/>
    <w:qFormat/>
    <w:rPr>
      <w:b/>
      <w:bCs/>
      <w:smallCaps/>
      <w:color w:val="5B9BD5" w:themeColor="accent1"/>
      <w:spacing w:val="5"/>
    </w:rPr>
  </w:style>
  <w:style w:type="table" w:customStyle="1" w:styleId="GridTable4-Accent51">
    <w:name w:val="Grid Table 4 - Accent 51"/>
    <w:basedOn w:val="TableNormal"/>
    <w:uiPriority w:val="49"/>
    <w:rPr>
      <w:lang w:val="en-US"/>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Mention1">
    <w:name w:val="Mention1"/>
    <w:basedOn w:val="DefaultParagraphFont"/>
    <w:uiPriority w:val="99"/>
    <w:semiHidden/>
    <w:unhideWhenUsed/>
    <w:rPr>
      <w:color w:val="2B579A"/>
      <w:shd w:val="clear" w:color="auto" w:fill="E6E6E6"/>
    </w:rPr>
  </w:style>
  <w:style w:type="table" w:customStyle="1" w:styleId="TableGrid1">
    <w:name w:val="Table Grid1"/>
    <w:basedOn w:val="TableNormal"/>
    <w:uiPriority w:val="5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DefaultParagraphFont"/>
  </w:style>
  <w:style w:type="character" w:customStyle="1" w:styleId="SubtleEmphasis1">
    <w:name w:val="Subtle Emphasis1"/>
    <w:basedOn w:val="DefaultParagraphFont"/>
    <w:uiPriority w:val="19"/>
    <w:qFormat/>
    <w:rPr>
      <w:b/>
      <w:i/>
      <w:iCs/>
    </w:rPr>
  </w:style>
  <w:style w:type="paragraph" w:customStyle="1" w:styleId="Revision1">
    <w:name w:val="Revision1"/>
    <w:hidden/>
    <w:uiPriority w:val="99"/>
    <w:semiHidden/>
    <w:rPr>
      <w:sz w:val="22"/>
      <w:szCs w:val="22"/>
      <w:lang w:eastAsia="en-US"/>
    </w:rPr>
  </w:style>
  <w:style w:type="paragraph" w:customStyle="1" w:styleId="MRAGDocSubHeading">
    <w:name w:val="MRAG Doc SubHeading"/>
    <w:basedOn w:val="Normal"/>
    <w:qFormat/>
    <w:pPr>
      <w:spacing w:before="60" w:after="60"/>
      <w:jc w:val="right"/>
    </w:pPr>
    <w:rPr>
      <w:color w:val="F2F2F2" w:themeColor="background1" w:themeShade="F2"/>
      <w:sz w:val="30"/>
    </w:rPr>
  </w:style>
  <w:style w:type="paragraph" w:customStyle="1" w:styleId="to-top">
    <w:name w:val="to-top"/>
    <w:basedOn w:val="Normal"/>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ex-sent">
    <w:name w:val="ex-sent"/>
    <w:basedOn w:val="DefaultParagraphFont"/>
  </w:style>
  <w:style w:type="character" w:customStyle="1" w:styleId="mwtwi">
    <w:name w:val="mw_t_wi"/>
    <w:basedOn w:val="DefaultParagraphFont"/>
  </w:style>
  <w:style w:type="paragraph" w:customStyle="1" w:styleId="xmsonormal">
    <w:name w:val="x_msonormal"/>
    <w:basedOn w:val="Normal"/>
    <w:pPr>
      <w:spacing w:before="0" w:after="0"/>
    </w:pPr>
    <w:rPr>
      <w:rFonts w:ascii="Calibri" w:hAnsi="Calibri" w:cs="Times New Roman"/>
      <w:lang w:eastAsia="en-AU"/>
    </w:rPr>
  </w:style>
  <w:style w:type="character" w:customStyle="1" w:styleId="SubtleReference1">
    <w:name w:val="Subtle Reference1"/>
    <w:basedOn w:val="DefaultParagraphFont"/>
    <w:uiPriority w:val="31"/>
    <w:qFormat/>
    <w:rPr>
      <w:smallCaps/>
      <w:color w:val="595959" w:themeColor="text1" w:themeTint="A6"/>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Pr>
      <w:i/>
      <w:iCs/>
      <w:color w:val="5B9BD5" w:themeColor="accent1"/>
    </w:rPr>
  </w:style>
  <w:style w:type="character" w:customStyle="1" w:styleId="StandardPrinciple1Char">
    <w:name w:val="Standard Principle 1 Char"/>
    <w:basedOn w:val="DefaultParagraphFont"/>
    <w:link w:val="StandardPrinciple1"/>
    <w:locked/>
    <w:rPr>
      <w:rFonts w:asciiTheme="majorHAnsi" w:eastAsiaTheme="majorEastAsia" w:hAnsiTheme="majorHAnsi" w:cstheme="majorBidi"/>
      <w:color w:val="2E74B5" w:themeColor="accent1" w:themeShade="BF"/>
      <w:sz w:val="28"/>
      <w:szCs w:val="32"/>
    </w:rPr>
  </w:style>
  <w:style w:type="paragraph" w:customStyle="1" w:styleId="StandardPrinciple1">
    <w:name w:val="Standard Principle 1"/>
    <w:basedOn w:val="Heading1"/>
    <w:next w:val="StandardPrinciple2"/>
    <w:link w:val="StandardPrinciple1Char"/>
    <w:qFormat/>
    <w:pPr>
      <w:numPr>
        <w:numId w:val="0"/>
      </w:numPr>
      <w:spacing w:after="0" w:line="256" w:lineRule="auto"/>
      <w:ind w:left="360" w:hanging="360"/>
    </w:pPr>
    <w:rPr>
      <w:rFonts w:cstheme="majorBidi"/>
      <w:sz w:val="28"/>
      <w:lang w:val="en-AU"/>
    </w:rPr>
  </w:style>
  <w:style w:type="paragraph" w:customStyle="1" w:styleId="StandardPrinciple2">
    <w:name w:val="Standard Principle 2"/>
    <w:basedOn w:val="ListParagraph"/>
    <w:link w:val="StandardPrinciple2Char"/>
    <w:qFormat/>
    <w:pPr>
      <w:ind w:left="792" w:hanging="432"/>
      <w:contextualSpacing w:val="0"/>
    </w:pPr>
  </w:style>
  <w:style w:type="character" w:customStyle="1" w:styleId="StandardPrinciple2Char">
    <w:name w:val="Standard Principle 2 Char"/>
    <w:basedOn w:val="DefaultParagraphFont"/>
    <w:link w:val="StandardPrinciple2"/>
    <w:locked/>
  </w:style>
  <w:style w:type="character" w:customStyle="1" w:styleId="StandardPrinciple3Char">
    <w:name w:val="Standard Principle 3 Char"/>
    <w:basedOn w:val="DefaultParagraphFont"/>
    <w:link w:val="StandardPrinciple3"/>
    <w:locked/>
  </w:style>
  <w:style w:type="paragraph" w:customStyle="1" w:styleId="StandardPrinciple3">
    <w:name w:val="Standard Principle 3"/>
    <w:basedOn w:val="ListParagraph"/>
    <w:link w:val="StandardPrinciple3Char"/>
    <w:qFormat/>
    <w:pPr>
      <w:numPr>
        <w:ilvl w:val="2"/>
        <w:numId w:val="2"/>
      </w:numPr>
      <w:contextualSpacing w:val="0"/>
    </w:pPr>
  </w:style>
  <w:style w:type="paragraph" w:customStyle="1" w:styleId="StandardPrinciple4">
    <w:name w:val="Standard Principle 4"/>
    <w:basedOn w:val="StandardPrinciple3"/>
    <w:link w:val="StandardPrinciple4Char"/>
    <w:qFormat/>
    <w:pPr>
      <w:numPr>
        <w:ilvl w:val="3"/>
      </w:numPr>
    </w:pPr>
  </w:style>
  <w:style w:type="character" w:customStyle="1" w:styleId="StandardPrinciple4Char">
    <w:name w:val="Standard Principle 4 Char"/>
    <w:basedOn w:val="StandardPrinciple3Char"/>
    <w:link w:val="StandardPrinciple4"/>
    <w:locked/>
  </w:style>
  <w:style w:type="character" w:customStyle="1" w:styleId="TitleChar">
    <w:name w:val="Title Char"/>
    <w:basedOn w:val="DefaultParagraphFont"/>
    <w:link w:val="Title"/>
    <w:uiPriority w:val="10"/>
    <w:rPr>
      <w:rFonts w:ascii="Arial" w:eastAsia="Calibri" w:hAnsi="Arial" w:cs="Times New Roman"/>
      <w:b/>
      <w:color w:val="F2F2F2"/>
      <w:sz w:val="44"/>
      <w:szCs w:val="44"/>
    </w:rPr>
  </w:style>
  <w:style w:type="paragraph" w:customStyle="1" w:styleId="TableCaption">
    <w:name w:val="Table Caption"/>
    <w:qFormat/>
    <w:pPr>
      <w:spacing w:after="160" w:line="259" w:lineRule="auto"/>
    </w:pPr>
    <w:rPr>
      <w:i/>
      <w:sz w:val="18"/>
      <w:szCs w:val="22"/>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000000"/>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color w:val="0000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color w:val="000000"/>
      <w:shd w:val="clear" w:color="auto" w:fill="F8F8F8"/>
    </w:rPr>
  </w:style>
  <w:style w:type="character" w:customStyle="1" w:styleId="VariableTok">
    <w:name w:val="VariableTok"/>
    <w:qFormat/>
    <w:rPr>
      <w:color w:val="000000"/>
      <w:shd w:val="clear" w:color="auto" w:fill="F8F8F8"/>
    </w:rPr>
  </w:style>
  <w:style w:type="character" w:customStyle="1" w:styleId="ControlFlowTok">
    <w:name w:val="ControlFlowTok"/>
    <w:qFormat/>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C4A000"/>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paragraph" w:customStyle="1" w:styleId="tablecaption0">
    <w:name w:val="table caption"/>
    <w:basedOn w:val="Caption"/>
    <w:link w:val="tablecaptionChar"/>
    <w:qFormat/>
    <w:rPr>
      <w:lang w:val="en-US"/>
    </w:rPr>
  </w:style>
  <w:style w:type="character" w:customStyle="1" w:styleId="tablecaptionChar">
    <w:name w:val="table caption Char"/>
    <w:basedOn w:val="CaptionChar"/>
    <w:link w:val="tablecaption0"/>
    <w:rPr>
      <w:i/>
      <w:iCs/>
      <w:color w:val="44546A" w:themeColor="text2"/>
      <w:sz w:val="18"/>
      <w:szCs w:val="18"/>
      <w:lang w:val="en-US"/>
    </w:rPr>
  </w:style>
  <w:style w:type="character" w:customStyle="1" w:styleId="UnresolvedMention1">
    <w:name w:val="Unresolved Mention1"/>
    <w:basedOn w:val="DefaultParagraphFont"/>
    <w:uiPriority w:val="99"/>
    <w:semiHidden/>
    <w:unhideWhenUsed/>
    <w:rPr>
      <w:color w:val="808080"/>
      <w:shd w:val="clear" w:color="auto" w:fill="E6E6E6"/>
    </w:rPr>
  </w:style>
  <w:style w:type="character" w:customStyle="1" w:styleId="Preparersnotenobold">
    <w:name w:val="Preparer's note (no bold)"/>
    <w:rPr>
      <w:i/>
    </w:rPr>
  </w:style>
  <w:style w:type="paragraph" w:customStyle="1" w:styleId="msonormal0">
    <w:name w:val="msonormal"/>
    <w:basedOn w:val="Normal"/>
    <w:uiPriority w:val="99"/>
    <w:semiHidden/>
    <w:pPr>
      <w:spacing w:before="100" w:beforeAutospacing="1" w:after="100" w:afterAutospacing="1"/>
    </w:pPr>
    <w:rPr>
      <w:rFonts w:ascii="Times New Roman" w:eastAsiaTheme="minorEastAsia" w:hAnsi="Times New Roman" w:cs="Times New Roman"/>
      <w:sz w:val="24"/>
      <w:szCs w:val="24"/>
      <w:lang w:eastAsia="en-AU"/>
    </w:rPr>
  </w:style>
  <w:style w:type="paragraph" w:customStyle="1" w:styleId="ydp6a5bb8bemsonormal">
    <w:name w:val="ydp6a5bb8bemsonormal"/>
    <w:basedOn w:val="Normal"/>
    <w:pPr>
      <w:spacing w:before="100" w:beforeAutospacing="1" w:after="100" w:afterAutospacing="1"/>
    </w:pPr>
    <w:rPr>
      <w:rFonts w:ascii="Times New Roman" w:eastAsia="Times New Roman" w:hAnsi="Times New Roman" w:cs="Times New Roman"/>
      <w:sz w:val="24"/>
      <w:szCs w:val="24"/>
      <w:lang w:val="en-US"/>
    </w:rPr>
  </w:style>
  <w:style w:type="paragraph" w:customStyle="1" w:styleId="yiv9468137775ydpef8f7c83yiv8354969507ydpcc648037yiv5820371427msolistparagraph">
    <w:name w:val="yiv9468137775ydpef8f7c83yiv8354969507ydpcc648037yiv5820371427msolistparagraph"/>
    <w:basedOn w:val="Normal"/>
    <w:uiPriority w:val="99"/>
    <w:semiHidden/>
    <w:qFormat/>
    <w:pPr>
      <w:spacing w:before="100" w:beforeAutospacing="1" w:after="100" w:afterAutospacing="1"/>
    </w:pPr>
    <w:rPr>
      <w:rFonts w:ascii="Times New Roman" w:eastAsia="Times New Roman" w:hAnsi="Times New Roman" w:cs="Times New Roman"/>
      <w:sz w:val="24"/>
      <w:szCs w:val="24"/>
      <w:lang w:val="en-US"/>
    </w:rPr>
  </w:style>
  <w:style w:type="paragraph" w:customStyle="1" w:styleId="yiv0246033149msolistparagraph">
    <w:name w:val="yiv0246033149msolistparagraph"/>
    <w:basedOn w:val="Normal"/>
    <w:uiPriority w:val="99"/>
    <w:semiHidden/>
    <w:pPr>
      <w:spacing w:before="100" w:beforeAutospacing="1" w:after="100" w:afterAutospacing="1"/>
    </w:pPr>
    <w:rPr>
      <w:rFonts w:ascii="Times New Roman" w:eastAsia="Times New Roman" w:hAnsi="Times New Roman" w:cs="Times New Roman"/>
      <w:sz w:val="24"/>
      <w:szCs w:val="24"/>
      <w:lang w:val="en-US"/>
    </w:rPr>
  </w:style>
  <w:style w:type="character" w:customStyle="1" w:styleId="Style1Char">
    <w:name w:val="Style1 Char"/>
    <w:basedOn w:val="DefaultParagraphFont"/>
    <w:link w:val="Style1"/>
    <w:semiHidden/>
    <w:locked/>
    <w:rPr>
      <w:rFonts w:ascii="Times New Roman" w:hAnsi="Times New Roman" w:cs="Times New Roman"/>
      <w:b/>
      <w:color w:val="5B9BD5" w:themeColor="accent1"/>
    </w:rPr>
  </w:style>
  <w:style w:type="paragraph" w:customStyle="1" w:styleId="Style1">
    <w:name w:val="Style1"/>
    <w:basedOn w:val="Normal"/>
    <w:link w:val="Style1Char"/>
    <w:semiHidden/>
    <w:qFormat/>
    <w:pPr>
      <w:spacing w:before="0" w:after="160"/>
    </w:pPr>
    <w:rPr>
      <w:rFonts w:ascii="Times New Roman" w:hAnsi="Times New Roman" w:cs="Times New Roman"/>
      <w:b/>
      <w:color w:val="5B9BD5" w:themeColor="accent1"/>
    </w:rPr>
  </w:style>
  <w:style w:type="character" w:customStyle="1" w:styleId="Heading1PCCOSChar">
    <w:name w:val="Heading 1 PCCOS Char"/>
    <w:basedOn w:val="Style1Char"/>
    <w:link w:val="Heading1PCCOS"/>
    <w:semiHidden/>
    <w:qFormat/>
    <w:locked/>
    <w:rPr>
      <w:rFonts w:ascii="Times New Roman" w:hAnsi="Times New Roman" w:cs="Times New Roman"/>
      <w:b/>
      <w:color w:val="5B9BD5" w:themeColor="accent1"/>
    </w:rPr>
  </w:style>
  <w:style w:type="paragraph" w:customStyle="1" w:styleId="Heading1PCCOS">
    <w:name w:val="Heading 1 PCCOS"/>
    <w:basedOn w:val="Style1"/>
    <w:link w:val="Heading1PCCOSChar"/>
    <w:semiHidden/>
    <w:qFormat/>
  </w:style>
  <w:style w:type="character" w:customStyle="1" w:styleId="Heading2-PCCOSChar">
    <w:name w:val="Heading 2 - PCCOS Char"/>
    <w:basedOn w:val="DefaultParagraphFont"/>
    <w:link w:val="Heading2-PCCOS"/>
    <w:semiHidden/>
    <w:qFormat/>
    <w:locked/>
    <w:rPr>
      <w:rFonts w:ascii="Times New Roman" w:hAnsi="Times New Roman" w:cs="Times New Roman"/>
      <w:i/>
      <w:color w:val="2E74B5" w:themeColor="accent1" w:themeShade="BF"/>
    </w:rPr>
  </w:style>
  <w:style w:type="paragraph" w:customStyle="1" w:styleId="Heading2-PCCOS">
    <w:name w:val="Heading 2 - PCCOS"/>
    <w:basedOn w:val="Normal"/>
    <w:link w:val="Heading2-PCCOSChar"/>
    <w:semiHidden/>
    <w:qFormat/>
    <w:pPr>
      <w:spacing w:before="0" w:after="160"/>
    </w:pPr>
    <w:rPr>
      <w:rFonts w:ascii="Times New Roman" w:hAnsi="Times New Roman" w:cs="Times New Roman"/>
      <w:i/>
      <w:color w:val="2E74B5" w:themeColor="accent1" w:themeShade="BF"/>
    </w:rPr>
  </w:style>
  <w:style w:type="paragraph" w:customStyle="1" w:styleId="bodytext0">
    <w:name w:val="bodytext"/>
    <w:basedOn w:val="Normal"/>
    <w:uiPriority w:val="99"/>
    <w:semiHidden/>
    <w:qFormat/>
    <w:pPr>
      <w:spacing w:before="100" w:beforeAutospacing="1" w:after="100" w:afterAutospacing="1"/>
    </w:pPr>
    <w:rPr>
      <w:rFonts w:ascii="Times New Roman" w:eastAsia="Times New Roman" w:hAnsi="Times New Roman" w:cs="Times New Roman"/>
      <w:sz w:val="24"/>
      <w:szCs w:val="24"/>
      <w:lang w:val="en-US"/>
    </w:rPr>
  </w:style>
  <w:style w:type="paragraph" w:customStyle="1" w:styleId="yiv0967987596msonormal">
    <w:name w:val="yiv0967987596msonormal"/>
    <w:basedOn w:val="Normal"/>
    <w:uiPriority w:val="99"/>
    <w:semiHidden/>
    <w:qFormat/>
    <w:pPr>
      <w:spacing w:before="100" w:beforeAutospacing="1" w:after="100" w:afterAutospacing="1"/>
    </w:pPr>
    <w:rPr>
      <w:rFonts w:ascii="Times New Roman" w:eastAsia="Times New Roman" w:hAnsi="Times New Roman" w:cs="Times New Roman"/>
      <w:sz w:val="24"/>
      <w:szCs w:val="24"/>
      <w:lang w:val="en-US"/>
    </w:rPr>
  </w:style>
  <w:style w:type="character" w:customStyle="1" w:styleId="yiv0246033149fontstyle01">
    <w:name w:val="yiv0246033149fontstyle01"/>
    <w:basedOn w:val="DefaultParagraphFont"/>
    <w:qFormat/>
  </w:style>
  <w:style w:type="paragraph" w:customStyle="1" w:styleId="yiv1992861802msonormal">
    <w:name w:val="yiv1992861802msonormal"/>
    <w:basedOn w:val="Normal"/>
    <w:qFormat/>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yiv8963522518ydp1762fbf3yiv1478861104msonormal">
    <w:name w:val="yiv8963522518ydp1762fbf3yiv1478861104msonormal"/>
    <w:basedOn w:val="Normal"/>
    <w:qFormat/>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c4z2avtcy">
    <w:name w:val="c4_z2avtcy"/>
    <w:basedOn w:val="DefaultParagraphFont"/>
    <w:qFormat/>
  </w:style>
  <w:style w:type="character" w:customStyle="1" w:styleId="efq7">
    <w:name w:val="e_fq7"/>
    <w:basedOn w:val="DefaultParagraphFont"/>
    <w:qFormat/>
  </w:style>
  <w:style w:type="character" w:customStyle="1" w:styleId="fn">
    <w:name w:val="fn"/>
    <w:basedOn w:val="DefaultParagraphFont"/>
    <w:qFormat/>
  </w:style>
  <w:style w:type="character" w:customStyle="1" w:styleId="BodyTextChar">
    <w:name w:val="Body Text Char"/>
    <w:basedOn w:val="DefaultParagraphFont"/>
    <w:link w:val="BodyText"/>
    <w:qFormat/>
    <w:rPr>
      <w:rFonts w:ascii="Calibri" w:eastAsia="Times New Roman" w:hAnsi="Calibri" w:cs="Calibri"/>
      <w:lang w:eastAsia="en-AU"/>
    </w:rPr>
  </w:style>
  <w:style w:type="paragraph" w:customStyle="1" w:styleId="StyleBulletPointRed">
    <w:name w:val="Style Bullet Point + Red"/>
    <w:basedOn w:val="Normal"/>
    <w:qFormat/>
    <w:pPr>
      <w:tabs>
        <w:tab w:val="left" w:pos="1080"/>
        <w:tab w:val="left" w:pos="1701"/>
      </w:tabs>
      <w:ind w:left="1080" w:hanging="720"/>
      <w:jc w:val="both"/>
    </w:pPr>
    <w:rPr>
      <w:rFonts w:ascii="Times New Roman" w:eastAsia="Times New Roman" w:hAnsi="Times New Roman" w:cs="Times New Roman"/>
      <w:b/>
      <w:color w:val="FF0000"/>
      <w:szCs w:val="24"/>
      <w:lang w:eastAsia="en-AU"/>
    </w:rPr>
  </w:style>
  <w:style w:type="paragraph" w:customStyle="1" w:styleId="MRAGHeading1">
    <w:name w:val="MRAG Heading 1"/>
    <w:basedOn w:val="Normal"/>
    <w:next w:val="Normal"/>
    <w:qFormat/>
    <w:pPr>
      <w:numPr>
        <w:numId w:val="3"/>
      </w:numPr>
      <w:spacing w:before="400" w:after="240"/>
      <w:jc w:val="both"/>
    </w:pPr>
    <w:rPr>
      <w:rFonts w:ascii="Arial" w:hAnsi="Arial" w:cs="Arial"/>
      <w:b/>
      <w:color w:val="0054A4"/>
      <w:sz w:val="26"/>
      <w:szCs w:val="24"/>
    </w:rPr>
  </w:style>
  <w:style w:type="paragraph" w:customStyle="1" w:styleId="MRAGHeading4">
    <w:name w:val="MRAG Heading 4"/>
    <w:basedOn w:val="Heading4"/>
    <w:next w:val="Normal"/>
    <w:link w:val="MRAGHeading4Char"/>
    <w:qFormat/>
    <w:pPr>
      <w:numPr>
        <w:ilvl w:val="0"/>
        <w:numId w:val="0"/>
      </w:numPr>
      <w:spacing w:before="200" w:after="120"/>
      <w:ind w:left="284"/>
      <w:jc w:val="both"/>
    </w:pPr>
    <w:rPr>
      <w:rFonts w:ascii="Arial Narrow" w:hAnsi="Arial Narrow" w:cs="Arial"/>
      <w:b/>
      <w:bCs/>
      <w:color w:val="5B9BD5" w:themeColor="accent1"/>
      <w:lang w:val="en-AU"/>
    </w:rPr>
  </w:style>
  <w:style w:type="character" w:customStyle="1" w:styleId="MRAGHeading4Char">
    <w:name w:val="MRAG Heading 4 Char"/>
    <w:basedOn w:val="DefaultParagraphFont"/>
    <w:link w:val="MRAGHeading4"/>
    <w:qFormat/>
    <w:rPr>
      <w:rFonts w:ascii="Arial Narrow" w:eastAsiaTheme="majorEastAsia" w:hAnsi="Arial Narrow" w:cs="Arial"/>
      <w:b/>
      <w:bCs/>
      <w:i/>
      <w:iCs/>
      <w:color w:val="5B9BD5" w:themeColor="accent1"/>
    </w:rPr>
  </w:style>
  <w:style w:type="paragraph" w:customStyle="1" w:styleId="Body">
    <w:name w:val="_Body"/>
    <w:qFormat/>
    <w:pPr>
      <w:spacing w:after="113" w:line="240" w:lineRule="atLeast"/>
    </w:pPr>
    <w:rPr>
      <w:rFonts w:ascii="Arial" w:eastAsia="Times New Roman" w:hAnsi="Arial" w:cs="Arial"/>
      <w:sz w:val="18"/>
      <w:szCs w:val="24"/>
      <w:lang w:eastAsia="en-US"/>
    </w:rPr>
  </w:style>
  <w:style w:type="character" w:customStyle="1" w:styleId="UnresolvedMention2">
    <w:name w:val="Unresolved Mention2"/>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8.png"/><Relationship Id="rId16" Type="http://schemas.openxmlformats.org/officeDocument/2006/relationships/image" Target="media/image3.emf"/><Relationship Id="rId107" Type="http://schemas.openxmlformats.org/officeDocument/2006/relationships/image" Target="media/image93.png"/><Relationship Id="rId11" Type="http://schemas.openxmlformats.org/officeDocument/2006/relationships/footer" Target="footer1.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emf"/><Relationship Id="rId5" Type="http://schemas.openxmlformats.org/officeDocument/2006/relationships/settings" Target="settings.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99.png"/><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image" Target="media/image2.png"/><Relationship Id="rId17" Type="http://schemas.openxmlformats.org/officeDocument/2006/relationships/image" Target="media/image4.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89.png"/><Relationship Id="rId108" Type="http://schemas.openxmlformats.org/officeDocument/2006/relationships/image" Target="media/image94.png"/><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2.png"/><Relationship Id="rId114"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hyperlink" Target="https://cert.msc.org/FileLoader/FileLinkDownload.asmx/GetFile?encryptedKey=Ih6ZdaU2HT27++VYrZCd3J457PVTQCDZFrEQ6ooDj0LkJpcslkS+XHF6UnFliYA4" TargetMode="External"/><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emf"/><Relationship Id="rId101" Type="http://schemas.openxmlformats.org/officeDocument/2006/relationships/image" Target="media/image87.emf"/><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image" Target="media/image95.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image" Target="media/image78.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theme" Target="theme/theme1.xml"/><Relationship Id="rId61" Type="http://schemas.openxmlformats.org/officeDocument/2006/relationships/image" Target="media/image48.png"/><Relationship Id="rId82" Type="http://schemas.openxmlformats.org/officeDocument/2006/relationships/image" Target="media/image68.png"/><Relationship Id="rId19" Type="http://schemas.openxmlformats.org/officeDocument/2006/relationships/image" Target="media/image6.png"/><Relationship Id="rId14" Type="http://schemas.openxmlformats.org/officeDocument/2006/relationships/header" Target="header2.xm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3.png"/><Relationship Id="rId100" Type="http://schemas.openxmlformats.org/officeDocument/2006/relationships/image" Target="media/image86.emf"/><Relationship Id="rId105" Type="http://schemas.openxmlformats.org/officeDocument/2006/relationships/image" Target="media/image91.pn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79.png"/><Relationship Id="rId98" Type="http://schemas.openxmlformats.org/officeDocument/2006/relationships/image" Target="media/image84.emf"/><Relationship Id="rId3" Type="http://schemas.openxmlformats.org/officeDocument/2006/relationships/numbering" Target="numbering.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B6E66CA-58BB-41C2-B926-CF5CE9910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94</Pages>
  <Words>29576</Words>
  <Characters>168584</Characters>
  <Application>Microsoft Office Word</Application>
  <DocSecurity>0</DocSecurity>
  <Lines>1404</Lines>
  <Paragraphs>395</Paragraphs>
  <ScaleCrop>false</ScaleCrop>
  <HeadingPairs>
    <vt:vector size="2" baseType="variant">
      <vt:variant>
        <vt:lpstr>Title</vt:lpstr>
      </vt:variant>
      <vt:variant>
        <vt:i4>1</vt:i4>
      </vt:variant>
    </vt:vector>
  </HeadingPairs>
  <TitlesOfParts>
    <vt:vector size="1" baseType="lpstr">
      <vt:lpstr>DRAFT STOCK ASSESSMENT FOR THE CENTRAL ZONE OF THE VICTORIAN ABALONE FISHERY 2019/2020</vt:lpstr>
    </vt:vector>
  </TitlesOfParts>
  <Company/>
  <LinksUpToDate>false</LinksUpToDate>
  <CharactersWithSpaces>197765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STOCK ASSESSMENT FOR THE CENTRAL ZONE OF THE VICTORIAN ABALONE FISHERY 2019/2020</dc:title>
  <dc:creator>MRAG Guest</dc:creator>
  <cp:lastModifiedBy>app1 mrag</cp:lastModifiedBy>
  <cp:revision>2</cp:revision>
  <cp:lastPrinted>2025-03-13T06:53:00Z</cp:lastPrinted>
  <dcterms:created xsi:type="dcterms:W3CDTF">2025-05-14T22:00:00Z</dcterms:created>
  <dcterms:modified xsi:type="dcterms:W3CDTF">2025-05-14T22:00:00Z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864E962BDF1740C99CA4CF6AC4FF96FD_12</vt:lpwstr>
  </property>
</Properties>
</file>